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0DC3" w14:textId="77777777" w:rsidR="00425230" w:rsidRDefault="00425230" w:rsidP="007352C8">
      <w:pPr>
        <w:spacing w:after="0" w:line="240" w:lineRule="auto"/>
        <w:rPr>
          <w:rFonts w:ascii="Arial" w:hAnsi="Arial"/>
          <w:sz w:val="28"/>
          <w:szCs w:val="28"/>
        </w:rPr>
        <w:sectPr w:rsidR="00425230" w:rsidSect="00941EF8">
          <w:headerReference w:type="default" r:id="rId11"/>
          <w:footerReference w:type="default" r:id="rId12"/>
          <w:headerReference w:type="first" r:id="rId13"/>
          <w:pgSz w:w="11906" w:h="16838"/>
          <w:pgMar w:top="2097" w:right="991" w:bottom="1134" w:left="993" w:header="426" w:footer="322" w:gutter="0"/>
          <w:cols w:space="708"/>
          <w:docGrid w:linePitch="360"/>
        </w:sectPr>
      </w:pPr>
    </w:p>
    <w:p w14:paraId="7D30550A" w14:textId="76ED0C55" w:rsidR="00C414F9" w:rsidRDefault="00C414F9" w:rsidP="007352C8">
      <w:pPr>
        <w:spacing w:after="0" w:line="240" w:lineRule="auto"/>
        <w:rPr>
          <w:rFonts w:ascii="Arial" w:hAnsi="Arial" w:cs="Arial"/>
          <w:color w:val="000000"/>
          <w:sz w:val="28"/>
          <w:szCs w:val="28"/>
        </w:rPr>
      </w:pPr>
      <w:r>
        <w:rPr>
          <w:rFonts w:ascii="Arial" w:hAnsi="Arial" w:cs="Arial"/>
          <w:color w:val="000000"/>
          <w:sz w:val="28"/>
          <w:szCs w:val="28"/>
        </w:rPr>
        <w:t xml:space="preserve">Ms </w:t>
      </w:r>
      <w:r w:rsidR="003F5E05" w:rsidRPr="003F5E05">
        <w:rPr>
          <w:rFonts w:ascii="Arial" w:hAnsi="Arial" w:cs="Arial"/>
          <w:color w:val="000000"/>
          <w:sz w:val="28"/>
          <w:szCs w:val="28"/>
        </w:rPr>
        <w:t xml:space="preserve">Melissa Case &amp; </w:t>
      </w:r>
      <w:r>
        <w:rPr>
          <w:rFonts w:ascii="Arial" w:hAnsi="Arial" w:cs="Arial"/>
          <w:color w:val="000000"/>
          <w:sz w:val="28"/>
          <w:szCs w:val="28"/>
        </w:rPr>
        <w:t xml:space="preserve">Ms Nicola </w:t>
      </w:r>
      <w:proofErr w:type="spellStart"/>
      <w:r>
        <w:rPr>
          <w:rFonts w:ascii="Arial" w:hAnsi="Arial" w:cs="Arial"/>
          <w:color w:val="000000"/>
          <w:sz w:val="28"/>
          <w:szCs w:val="28"/>
        </w:rPr>
        <w:t>Hewer</w:t>
      </w:r>
      <w:proofErr w:type="spellEnd"/>
    </w:p>
    <w:p w14:paraId="63C271FC" w14:textId="77777777" w:rsidR="007352C8" w:rsidRDefault="003F5E05" w:rsidP="007352C8">
      <w:pPr>
        <w:spacing w:after="0" w:line="240" w:lineRule="auto"/>
        <w:rPr>
          <w:rFonts w:ascii="Arial" w:hAnsi="Arial" w:cs="Arial"/>
          <w:color w:val="000000"/>
          <w:sz w:val="28"/>
          <w:szCs w:val="28"/>
        </w:rPr>
      </w:pPr>
      <w:r w:rsidRPr="003F5E05">
        <w:rPr>
          <w:rFonts w:ascii="Arial" w:hAnsi="Arial" w:cs="Arial"/>
          <w:color w:val="000000"/>
          <w:sz w:val="28"/>
          <w:szCs w:val="28"/>
        </w:rPr>
        <w:t>Director of Fami</w:t>
      </w:r>
      <w:r w:rsidR="007352C8">
        <w:rPr>
          <w:rFonts w:ascii="Arial" w:hAnsi="Arial" w:cs="Arial"/>
          <w:color w:val="000000"/>
          <w:sz w:val="28"/>
          <w:szCs w:val="28"/>
        </w:rPr>
        <w:t>ly and Criminal</w:t>
      </w:r>
    </w:p>
    <w:p w14:paraId="25E17B2F" w14:textId="1CC59A70" w:rsidR="003F5E05" w:rsidRDefault="003F5E05" w:rsidP="007352C8">
      <w:pPr>
        <w:spacing w:after="0" w:line="240" w:lineRule="auto"/>
        <w:rPr>
          <w:rFonts w:ascii="Arial" w:hAnsi="Arial" w:cs="Arial"/>
          <w:color w:val="000000"/>
          <w:sz w:val="28"/>
          <w:szCs w:val="28"/>
        </w:rPr>
      </w:pPr>
      <w:r>
        <w:rPr>
          <w:rFonts w:ascii="Arial" w:hAnsi="Arial" w:cs="Arial"/>
          <w:color w:val="000000"/>
          <w:sz w:val="28"/>
          <w:szCs w:val="28"/>
        </w:rPr>
        <w:t>Justice Policy</w:t>
      </w:r>
      <w:r w:rsidR="00C414F9">
        <w:rPr>
          <w:rFonts w:ascii="Arial" w:hAnsi="Arial" w:cs="Arial"/>
          <w:color w:val="000000"/>
          <w:sz w:val="28"/>
          <w:szCs w:val="28"/>
        </w:rPr>
        <w:t>,</w:t>
      </w:r>
    </w:p>
    <w:p w14:paraId="58F23533" w14:textId="3A523816" w:rsidR="00975EF6" w:rsidRDefault="00975EF6" w:rsidP="007352C8">
      <w:pPr>
        <w:spacing w:after="0" w:line="240" w:lineRule="auto"/>
        <w:rPr>
          <w:rFonts w:ascii="Arial" w:hAnsi="Arial" w:cs="Arial"/>
          <w:color w:val="000000"/>
          <w:sz w:val="28"/>
          <w:szCs w:val="28"/>
        </w:rPr>
      </w:pPr>
      <w:r>
        <w:rPr>
          <w:rFonts w:ascii="Arial" w:hAnsi="Arial" w:cs="Arial"/>
          <w:color w:val="000000"/>
          <w:sz w:val="28"/>
          <w:szCs w:val="28"/>
        </w:rPr>
        <w:t>Ministry of Justice</w:t>
      </w:r>
    </w:p>
    <w:p w14:paraId="0880F4B4" w14:textId="77777777" w:rsidR="009C06F2" w:rsidRDefault="009C06F2" w:rsidP="007352C8">
      <w:pPr>
        <w:spacing w:after="0" w:line="240" w:lineRule="auto"/>
        <w:rPr>
          <w:rFonts w:ascii="Arial" w:hAnsi="Arial" w:cs="Arial"/>
          <w:color w:val="000000"/>
          <w:sz w:val="28"/>
          <w:szCs w:val="28"/>
        </w:rPr>
      </w:pPr>
      <w:r>
        <w:rPr>
          <w:rFonts w:ascii="Arial" w:hAnsi="Arial" w:cs="Arial"/>
          <w:color w:val="000000"/>
          <w:sz w:val="28"/>
          <w:szCs w:val="28"/>
        </w:rPr>
        <w:t>102 Petty France,</w:t>
      </w:r>
    </w:p>
    <w:p w14:paraId="2267DF16" w14:textId="3214535A" w:rsidR="007352C8" w:rsidRDefault="003F5E05" w:rsidP="007352C8">
      <w:pPr>
        <w:spacing w:after="0" w:line="240" w:lineRule="auto"/>
        <w:rPr>
          <w:rFonts w:ascii="Arial" w:hAnsi="Arial" w:cs="Arial"/>
          <w:color w:val="000000"/>
          <w:sz w:val="28"/>
          <w:szCs w:val="28"/>
        </w:rPr>
      </w:pPr>
      <w:r w:rsidRPr="003F5E05">
        <w:rPr>
          <w:rFonts w:ascii="Arial" w:hAnsi="Arial" w:cs="Arial"/>
          <w:color w:val="000000"/>
          <w:sz w:val="28"/>
          <w:szCs w:val="28"/>
        </w:rPr>
        <w:t>London SW1H 9AJ</w:t>
      </w:r>
    </w:p>
    <w:p w14:paraId="261DA684" w14:textId="48B9FE91" w:rsidR="007D6DFB" w:rsidRDefault="007D6DFB" w:rsidP="007352C8">
      <w:pPr>
        <w:spacing w:line="240" w:lineRule="auto"/>
        <w:jc w:val="right"/>
        <w:rPr>
          <w:rFonts w:ascii="Arial" w:hAnsi="Arial" w:cs="Arial"/>
          <w:sz w:val="28"/>
          <w:szCs w:val="28"/>
        </w:rPr>
        <w:sectPr w:rsidR="007D6DFB" w:rsidSect="007352C8">
          <w:headerReference w:type="default" r:id="rId14"/>
          <w:type w:val="continuous"/>
          <w:pgSz w:w="11906" w:h="16838"/>
          <w:pgMar w:top="2097" w:right="991" w:bottom="1134" w:left="993" w:header="426" w:footer="322" w:gutter="0"/>
          <w:cols w:space="708"/>
          <w:docGrid w:linePitch="360"/>
        </w:sectPr>
      </w:pPr>
      <w:r w:rsidRPr="00176E11">
        <w:rPr>
          <w:rFonts w:ascii="Arial" w:hAnsi="Arial" w:cs="Arial"/>
          <w:sz w:val="28"/>
          <w:szCs w:val="28"/>
        </w:rPr>
        <w:t xml:space="preserve">Date: </w:t>
      </w:r>
      <w:r w:rsidR="00763E21">
        <w:rPr>
          <w:rFonts w:ascii="Arial" w:hAnsi="Arial" w:cs="Arial"/>
          <w:sz w:val="28"/>
          <w:szCs w:val="28"/>
        </w:rPr>
        <w:t>21</w:t>
      </w:r>
      <w:r w:rsidR="003F5E05">
        <w:rPr>
          <w:rFonts w:ascii="Arial" w:hAnsi="Arial" w:cs="Arial"/>
          <w:sz w:val="28"/>
          <w:szCs w:val="28"/>
        </w:rPr>
        <w:t xml:space="preserve"> August</w:t>
      </w:r>
      <w:r w:rsidR="00176E11" w:rsidRPr="00176E11">
        <w:rPr>
          <w:rFonts w:ascii="Arial" w:hAnsi="Arial" w:cs="Arial"/>
          <w:sz w:val="28"/>
          <w:szCs w:val="28"/>
        </w:rPr>
        <w:t xml:space="preserve"> 2019</w:t>
      </w:r>
    </w:p>
    <w:p w14:paraId="5BA38F8A" w14:textId="77777777" w:rsidR="007352C8" w:rsidRDefault="007352C8" w:rsidP="00425230">
      <w:pPr>
        <w:spacing w:line="240" w:lineRule="auto"/>
        <w:rPr>
          <w:rFonts w:ascii="Arial" w:hAnsi="Arial" w:cs="Arial"/>
          <w:sz w:val="28"/>
          <w:szCs w:val="28"/>
        </w:rPr>
      </w:pPr>
    </w:p>
    <w:p w14:paraId="5A89EC45" w14:textId="005BC50F" w:rsidR="00425230" w:rsidRDefault="007D6DFB" w:rsidP="00425230">
      <w:pPr>
        <w:spacing w:line="240" w:lineRule="auto"/>
        <w:rPr>
          <w:rFonts w:ascii="Arial" w:hAnsi="Arial" w:cs="Arial"/>
          <w:sz w:val="28"/>
          <w:szCs w:val="28"/>
        </w:rPr>
      </w:pPr>
      <w:r>
        <w:rPr>
          <w:rFonts w:ascii="Arial" w:hAnsi="Arial" w:cs="Arial"/>
          <w:sz w:val="28"/>
          <w:szCs w:val="28"/>
        </w:rPr>
        <w:t>D</w:t>
      </w:r>
      <w:r w:rsidR="00425230" w:rsidRPr="005A1E2D">
        <w:rPr>
          <w:rFonts w:ascii="Arial" w:hAnsi="Arial" w:cs="Arial"/>
          <w:sz w:val="28"/>
          <w:szCs w:val="28"/>
        </w:rPr>
        <w:t xml:space="preserve">ear </w:t>
      </w:r>
      <w:r w:rsidR="003F5E05">
        <w:rPr>
          <w:rFonts w:ascii="Arial" w:hAnsi="Arial" w:cs="Arial"/>
          <w:sz w:val="28"/>
          <w:szCs w:val="28"/>
        </w:rPr>
        <w:t xml:space="preserve">Ms Case and Ms </w:t>
      </w:r>
      <w:proofErr w:type="spellStart"/>
      <w:r w:rsidR="003F5E05">
        <w:rPr>
          <w:rFonts w:ascii="Arial" w:hAnsi="Arial" w:cs="Arial"/>
          <w:sz w:val="28"/>
          <w:szCs w:val="28"/>
        </w:rPr>
        <w:t>Hewer</w:t>
      </w:r>
      <w:proofErr w:type="spellEnd"/>
    </w:p>
    <w:p w14:paraId="1F766CD7" w14:textId="172F5232" w:rsidR="003F5E05" w:rsidRDefault="003F5E05" w:rsidP="003F5E05">
      <w:pPr>
        <w:spacing w:line="240" w:lineRule="auto"/>
        <w:jc w:val="center"/>
        <w:rPr>
          <w:rFonts w:ascii="Arial" w:hAnsi="Arial" w:cs="Arial"/>
          <w:b/>
          <w:sz w:val="28"/>
          <w:szCs w:val="28"/>
        </w:rPr>
      </w:pPr>
      <w:r>
        <w:rPr>
          <w:rFonts w:ascii="Arial" w:hAnsi="Arial" w:cs="Arial"/>
          <w:b/>
          <w:sz w:val="28"/>
          <w:szCs w:val="28"/>
        </w:rPr>
        <w:t xml:space="preserve">Call for evidence: </w:t>
      </w:r>
      <w:r w:rsidRPr="003F5E05">
        <w:rPr>
          <w:rFonts w:ascii="Arial" w:hAnsi="Arial" w:cs="Arial"/>
          <w:b/>
          <w:sz w:val="28"/>
          <w:szCs w:val="28"/>
        </w:rPr>
        <w:t>Assessing risk of harm to children and parents in private law children cases</w:t>
      </w:r>
    </w:p>
    <w:p w14:paraId="0D70F426" w14:textId="10D60994" w:rsidR="003F5E05" w:rsidRDefault="003F5E05" w:rsidP="00A54C6C">
      <w:pPr>
        <w:spacing w:line="240" w:lineRule="auto"/>
        <w:rPr>
          <w:rFonts w:ascii="Arial" w:hAnsi="Arial" w:cs="Arial"/>
          <w:sz w:val="28"/>
          <w:szCs w:val="28"/>
        </w:rPr>
      </w:pPr>
      <w:r>
        <w:rPr>
          <w:rFonts w:ascii="Arial" w:hAnsi="Arial" w:cs="Arial"/>
          <w:sz w:val="28"/>
          <w:szCs w:val="28"/>
        </w:rPr>
        <w:t xml:space="preserve">I am writing to you in your capacity as Chair of the family justice panel steering the </w:t>
      </w:r>
      <w:hyperlink r:id="rId15" w:history="1">
        <w:r w:rsidRPr="00B37051">
          <w:rPr>
            <w:rStyle w:val="Hyperlink"/>
            <w:rFonts w:ascii="Arial" w:hAnsi="Arial" w:cs="Arial"/>
            <w:sz w:val="28"/>
            <w:szCs w:val="28"/>
          </w:rPr>
          <w:t>call for evidence</w:t>
        </w:r>
      </w:hyperlink>
      <w:r>
        <w:rPr>
          <w:rFonts w:ascii="Arial" w:hAnsi="Arial" w:cs="Arial"/>
          <w:sz w:val="28"/>
          <w:szCs w:val="28"/>
        </w:rPr>
        <w:t xml:space="preserve"> on assessing risk of harm to children and parents</w:t>
      </w:r>
      <w:r w:rsidR="001A0C9F">
        <w:rPr>
          <w:rFonts w:ascii="Arial" w:hAnsi="Arial" w:cs="Arial"/>
          <w:sz w:val="28"/>
          <w:szCs w:val="28"/>
        </w:rPr>
        <w:t xml:space="preserve"> in private law children cases.</w:t>
      </w:r>
    </w:p>
    <w:p w14:paraId="1C3FDFFD" w14:textId="2F25CEB3"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We note that the questions in the call for evidence are aimed at individuals with direct personal experience of these matters and organisations and professionals who work within the family justice system.  As such, the Equality and Human Rights Commission (the Commission) will not be submitting a f</w:t>
      </w:r>
      <w:r w:rsidR="00763E21">
        <w:rPr>
          <w:rFonts w:ascii="Arial" w:hAnsi="Arial" w:cs="Arial"/>
          <w:sz w:val="28"/>
          <w:szCs w:val="28"/>
        </w:rPr>
        <w:t>ormal</w:t>
      </w:r>
      <w:r w:rsidRPr="00C414F9">
        <w:rPr>
          <w:rFonts w:ascii="Arial" w:hAnsi="Arial" w:cs="Arial"/>
          <w:sz w:val="28"/>
          <w:szCs w:val="28"/>
        </w:rPr>
        <w:t xml:space="preserve"> response.  </w:t>
      </w:r>
    </w:p>
    <w:p w14:paraId="5980AACD" w14:textId="64B1EBDD" w:rsidR="00C414F9" w:rsidRDefault="00C414F9" w:rsidP="00A54C6C">
      <w:pPr>
        <w:spacing w:line="240" w:lineRule="auto"/>
        <w:rPr>
          <w:rFonts w:ascii="Arial" w:hAnsi="Arial" w:cs="Arial"/>
          <w:sz w:val="28"/>
          <w:szCs w:val="28"/>
        </w:rPr>
      </w:pPr>
      <w:r w:rsidRPr="00C414F9">
        <w:rPr>
          <w:rFonts w:ascii="Arial" w:hAnsi="Arial" w:cs="Arial"/>
          <w:sz w:val="28"/>
          <w:szCs w:val="28"/>
        </w:rPr>
        <w:t xml:space="preserve">However, </w:t>
      </w:r>
      <w:r>
        <w:rPr>
          <w:rFonts w:ascii="Arial" w:hAnsi="Arial" w:cs="Arial"/>
          <w:sz w:val="28"/>
          <w:szCs w:val="28"/>
        </w:rPr>
        <w:t>the Commission is</w:t>
      </w:r>
      <w:r w:rsidRPr="00C414F9">
        <w:rPr>
          <w:rFonts w:ascii="Arial" w:hAnsi="Arial" w:cs="Arial"/>
          <w:sz w:val="28"/>
          <w:szCs w:val="28"/>
        </w:rPr>
        <w:t xml:space="preserve"> closely following the passage of the Domestic Abuse Bill (the Bill), in the context of our work to advise Government and Parliamentarians on the equality and human rights implications of laws and proposed laws.  We </w:t>
      </w:r>
      <w:r w:rsidR="00A54C6C">
        <w:rPr>
          <w:rFonts w:ascii="Arial" w:hAnsi="Arial" w:cs="Arial"/>
          <w:sz w:val="28"/>
          <w:szCs w:val="28"/>
        </w:rPr>
        <w:t xml:space="preserve">are writing to highlight </w:t>
      </w:r>
      <w:r w:rsidRPr="00C414F9">
        <w:rPr>
          <w:rFonts w:ascii="Arial" w:hAnsi="Arial" w:cs="Arial"/>
          <w:sz w:val="28"/>
          <w:szCs w:val="28"/>
        </w:rPr>
        <w:t xml:space="preserve">two areas </w:t>
      </w:r>
      <w:r w:rsidR="00A54C6C">
        <w:rPr>
          <w:rFonts w:ascii="Arial" w:hAnsi="Arial" w:cs="Arial"/>
          <w:sz w:val="28"/>
          <w:szCs w:val="28"/>
        </w:rPr>
        <w:t xml:space="preserve">we have identified </w:t>
      </w:r>
      <w:r w:rsidRPr="00C414F9">
        <w:rPr>
          <w:rFonts w:ascii="Arial" w:hAnsi="Arial" w:cs="Arial"/>
          <w:sz w:val="28"/>
          <w:szCs w:val="28"/>
        </w:rPr>
        <w:t>in the Bill where we consider amendments are required to adequately protect domestic abuse survivors</w:t>
      </w:r>
      <w:r w:rsidRPr="00C414F9">
        <w:rPr>
          <w:rFonts w:ascii="Arial" w:hAnsi="Arial" w:cs="Arial"/>
          <w:sz w:val="28"/>
          <w:szCs w:val="28"/>
          <w:vertAlign w:val="superscript"/>
        </w:rPr>
        <w:footnoteReference w:id="1"/>
      </w:r>
      <w:r w:rsidRPr="00C414F9">
        <w:rPr>
          <w:rFonts w:ascii="Arial" w:hAnsi="Arial" w:cs="Arial"/>
          <w:sz w:val="28"/>
          <w:szCs w:val="28"/>
        </w:rPr>
        <w:t xml:space="preserve"> in the family courts, namely: broadening the prohibition on cross-examination in person to all cases where domestic abuse is alleged</w:t>
      </w:r>
      <w:r w:rsidR="006C7CBF">
        <w:rPr>
          <w:rFonts w:ascii="Arial" w:hAnsi="Arial" w:cs="Arial"/>
          <w:sz w:val="28"/>
          <w:szCs w:val="28"/>
        </w:rPr>
        <w:t>;</w:t>
      </w:r>
      <w:r w:rsidRPr="00C414F9">
        <w:rPr>
          <w:rFonts w:ascii="Arial" w:hAnsi="Arial" w:cs="Arial"/>
          <w:sz w:val="28"/>
          <w:szCs w:val="28"/>
        </w:rPr>
        <w:t xml:space="preserve"> and extending the presumption of special measures for survivors of domestic abuse to the family and civil courts</w:t>
      </w:r>
      <w:r w:rsidR="00F36655">
        <w:rPr>
          <w:rFonts w:ascii="Arial" w:hAnsi="Arial" w:cs="Arial"/>
          <w:sz w:val="28"/>
          <w:szCs w:val="28"/>
        </w:rPr>
        <w:t>.</w:t>
      </w:r>
    </w:p>
    <w:p w14:paraId="382555A9" w14:textId="77777777" w:rsidR="00C414F9" w:rsidRPr="00C414F9" w:rsidRDefault="00C414F9" w:rsidP="00A54C6C">
      <w:pPr>
        <w:spacing w:line="240" w:lineRule="auto"/>
        <w:rPr>
          <w:rFonts w:ascii="Arial" w:hAnsi="Arial" w:cs="Arial"/>
          <w:b/>
          <w:sz w:val="28"/>
          <w:szCs w:val="28"/>
        </w:rPr>
      </w:pPr>
      <w:r w:rsidRPr="00C414F9">
        <w:rPr>
          <w:rFonts w:ascii="Arial" w:hAnsi="Arial" w:cs="Arial"/>
          <w:b/>
          <w:sz w:val="28"/>
          <w:szCs w:val="28"/>
        </w:rPr>
        <w:lastRenderedPageBreak/>
        <w:t>1. Human rights obligations</w:t>
      </w:r>
    </w:p>
    <w:p w14:paraId="0B541069" w14:textId="3E68B475" w:rsidR="00C414F9" w:rsidRPr="00C414F9" w:rsidRDefault="004F6238" w:rsidP="00A54C6C">
      <w:pPr>
        <w:spacing w:line="240" w:lineRule="auto"/>
        <w:rPr>
          <w:rFonts w:ascii="Arial" w:hAnsi="Arial" w:cs="Arial"/>
          <w:sz w:val="28"/>
          <w:szCs w:val="28"/>
        </w:rPr>
      </w:pPr>
      <w:r>
        <w:rPr>
          <w:rFonts w:ascii="Arial" w:hAnsi="Arial" w:cs="Arial"/>
          <w:sz w:val="28"/>
          <w:szCs w:val="28"/>
        </w:rPr>
        <w:t>T</w:t>
      </w:r>
      <w:r w:rsidR="00C414F9" w:rsidRPr="00C414F9">
        <w:rPr>
          <w:rFonts w:ascii="Arial" w:hAnsi="Arial" w:cs="Arial"/>
          <w:sz w:val="28"/>
          <w:szCs w:val="28"/>
        </w:rPr>
        <w:t>he government has positive obligations under Article 3 of Schedule 1 of the Human Rights Act 1998</w:t>
      </w:r>
      <w:r w:rsidR="00C414F9" w:rsidRPr="00C414F9">
        <w:rPr>
          <w:rFonts w:ascii="Arial" w:hAnsi="Arial" w:cs="Arial"/>
          <w:sz w:val="28"/>
          <w:szCs w:val="28"/>
          <w:vertAlign w:val="superscript"/>
        </w:rPr>
        <w:footnoteReference w:id="2"/>
      </w:r>
      <w:r w:rsidR="00C414F9" w:rsidRPr="00C414F9">
        <w:rPr>
          <w:rFonts w:ascii="Arial" w:hAnsi="Arial" w:cs="Arial"/>
          <w:sz w:val="28"/>
          <w:szCs w:val="28"/>
        </w:rPr>
        <w:t xml:space="preserve"> (prohibition on torture or inhuman or degrading treatment) to prevent continued exposure to domestic abuse (where it reaches the Article</w:t>
      </w:r>
      <w:r w:rsidR="005D442E">
        <w:rPr>
          <w:rFonts w:ascii="Arial" w:hAnsi="Arial" w:cs="Arial"/>
          <w:sz w:val="28"/>
          <w:szCs w:val="28"/>
        </w:rPr>
        <w:t xml:space="preserve"> 3 severity threshold), where the government</w:t>
      </w:r>
      <w:r w:rsidR="00C414F9" w:rsidRPr="00C414F9">
        <w:rPr>
          <w:rFonts w:ascii="Arial" w:hAnsi="Arial" w:cs="Arial"/>
          <w:sz w:val="28"/>
          <w:szCs w:val="28"/>
        </w:rPr>
        <w:t xml:space="preserve"> has knowledge that a victim is vulnerable to </w:t>
      </w:r>
      <w:r w:rsidR="00F36655">
        <w:rPr>
          <w:rFonts w:ascii="Arial" w:hAnsi="Arial" w:cs="Arial"/>
          <w:sz w:val="28"/>
          <w:szCs w:val="28"/>
        </w:rPr>
        <w:t>it</w:t>
      </w:r>
      <w:r w:rsidR="00C414F9" w:rsidRPr="00C414F9">
        <w:rPr>
          <w:rFonts w:ascii="Arial" w:hAnsi="Arial" w:cs="Arial"/>
          <w:sz w:val="28"/>
          <w:szCs w:val="28"/>
        </w:rPr>
        <w:t>. This duty to protect can apply to domestic abuse that is continued through cross-examination in person and may apply beyond cases where there is a conviction, charge, caution or an injunction against the perpetrator.</w:t>
      </w:r>
      <w:r w:rsidR="00C414F9" w:rsidRPr="00C414F9">
        <w:rPr>
          <w:rFonts w:ascii="Arial" w:hAnsi="Arial" w:cs="Arial"/>
          <w:sz w:val="28"/>
          <w:szCs w:val="28"/>
          <w:vertAlign w:val="superscript"/>
        </w:rPr>
        <w:footnoteReference w:id="3"/>
      </w:r>
    </w:p>
    <w:p w14:paraId="330641B8" w14:textId="07C62905"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Article 8 (right to respect for private and family life) also requires the government to take steps to protect the physical and psychological integrity of victims from abusers.   Further, cross-examination in person of a domestic abuse victim by a</w:t>
      </w:r>
      <w:r w:rsidR="00F36655">
        <w:rPr>
          <w:rFonts w:ascii="Arial" w:hAnsi="Arial" w:cs="Arial"/>
          <w:sz w:val="28"/>
          <w:szCs w:val="28"/>
        </w:rPr>
        <w:t>n</w:t>
      </w:r>
      <w:r w:rsidRPr="00C414F9">
        <w:rPr>
          <w:rFonts w:ascii="Arial" w:hAnsi="Arial" w:cs="Arial"/>
          <w:sz w:val="28"/>
          <w:szCs w:val="28"/>
        </w:rPr>
        <w:t xml:space="preserve"> </w:t>
      </w:r>
      <w:r w:rsidR="00F36655">
        <w:rPr>
          <w:rFonts w:ascii="Arial" w:hAnsi="Arial" w:cs="Arial"/>
          <w:sz w:val="28"/>
          <w:szCs w:val="28"/>
        </w:rPr>
        <w:t xml:space="preserve">alleged </w:t>
      </w:r>
      <w:r w:rsidRPr="00C414F9">
        <w:rPr>
          <w:rFonts w:ascii="Arial" w:hAnsi="Arial" w:cs="Arial"/>
          <w:sz w:val="28"/>
          <w:szCs w:val="28"/>
        </w:rPr>
        <w:t xml:space="preserve">perpetrator </w:t>
      </w:r>
      <w:r w:rsidR="00A54C6C">
        <w:rPr>
          <w:rFonts w:ascii="Arial" w:hAnsi="Arial" w:cs="Arial"/>
          <w:sz w:val="28"/>
          <w:szCs w:val="28"/>
        </w:rPr>
        <w:t xml:space="preserve">could </w:t>
      </w:r>
      <w:r w:rsidRPr="00C414F9">
        <w:rPr>
          <w:rFonts w:ascii="Arial" w:hAnsi="Arial" w:cs="Arial"/>
          <w:sz w:val="28"/>
          <w:szCs w:val="28"/>
        </w:rPr>
        <w:t>amount to a breach of the victim’s Article 6 right to a fair trial, as can a failure to put in place special measures to enable a victim to participate effectively in the proceedings.</w:t>
      </w:r>
    </w:p>
    <w:p w14:paraId="121404D1" w14:textId="78AB05B7" w:rsidR="00C414F9" w:rsidRPr="00C414F9" w:rsidRDefault="008C4E17" w:rsidP="00A54C6C">
      <w:pPr>
        <w:spacing w:line="240" w:lineRule="auto"/>
        <w:rPr>
          <w:rFonts w:ascii="Arial" w:hAnsi="Arial" w:cs="Arial"/>
          <w:sz w:val="28"/>
          <w:szCs w:val="28"/>
        </w:rPr>
      </w:pPr>
      <w:r>
        <w:rPr>
          <w:rFonts w:ascii="Arial" w:hAnsi="Arial" w:cs="Arial"/>
          <w:sz w:val="28"/>
          <w:szCs w:val="28"/>
        </w:rPr>
        <w:t>U</w:t>
      </w:r>
      <w:r w:rsidR="00C414F9" w:rsidRPr="00C414F9">
        <w:rPr>
          <w:rFonts w:ascii="Arial" w:hAnsi="Arial" w:cs="Arial"/>
          <w:sz w:val="28"/>
          <w:szCs w:val="28"/>
        </w:rPr>
        <w:t>nder Article 56 of the Council of Europe Convention on preventing and combating violence against women and domestic viol</w:t>
      </w:r>
      <w:r w:rsidR="00A54C6C">
        <w:rPr>
          <w:rFonts w:ascii="Arial" w:hAnsi="Arial" w:cs="Arial"/>
          <w:sz w:val="28"/>
          <w:szCs w:val="28"/>
        </w:rPr>
        <w:t>ence (the Istanbul Convention</w:t>
      </w:r>
      <w:r w:rsidR="00F36655">
        <w:rPr>
          <w:rFonts w:ascii="Arial" w:hAnsi="Arial" w:cs="Arial"/>
          <w:sz w:val="28"/>
          <w:szCs w:val="28"/>
        </w:rPr>
        <w:t>)</w:t>
      </w:r>
      <w:r w:rsidR="00A54C6C">
        <w:rPr>
          <w:rFonts w:ascii="Arial" w:hAnsi="Arial" w:cs="Arial"/>
          <w:sz w:val="28"/>
          <w:szCs w:val="28"/>
        </w:rPr>
        <w:t xml:space="preserve">, </w:t>
      </w:r>
      <w:r w:rsidR="00C414F9" w:rsidRPr="00C414F9">
        <w:rPr>
          <w:rFonts w:ascii="Arial" w:hAnsi="Arial" w:cs="Arial"/>
          <w:sz w:val="28"/>
          <w:szCs w:val="28"/>
        </w:rPr>
        <w:t>which the government intends</w:t>
      </w:r>
      <w:r w:rsidR="00F36655">
        <w:rPr>
          <w:rFonts w:ascii="Arial" w:hAnsi="Arial" w:cs="Arial"/>
          <w:sz w:val="28"/>
          <w:szCs w:val="28"/>
        </w:rPr>
        <w:t xml:space="preserve"> to ratify by means of the Bill</w:t>
      </w:r>
      <w:r w:rsidR="00C414F9" w:rsidRPr="00C414F9">
        <w:rPr>
          <w:rFonts w:ascii="Arial" w:hAnsi="Arial" w:cs="Arial"/>
          <w:sz w:val="28"/>
          <w:szCs w:val="28"/>
        </w:rPr>
        <w:t xml:space="preserve">, the government is obliged to “take the necessary legislative or other measures to protect the rights and interests of victims…at all stages of investigations and judicial proceedings…”.  The </w:t>
      </w:r>
      <w:hyperlink r:id="rId16" w:history="1">
        <w:r w:rsidR="00C414F9" w:rsidRPr="00F36655">
          <w:rPr>
            <w:rStyle w:val="Hyperlink"/>
            <w:rFonts w:ascii="Arial" w:hAnsi="Arial" w:cs="Arial"/>
            <w:sz w:val="28"/>
            <w:szCs w:val="28"/>
          </w:rPr>
          <w:t>Istanbul Convention</w:t>
        </w:r>
      </w:hyperlink>
      <w:r w:rsidR="00C414F9" w:rsidRPr="00C414F9">
        <w:rPr>
          <w:rFonts w:ascii="Arial" w:hAnsi="Arial" w:cs="Arial"/>
          <w:sz w:val="28"/>
          <w:szCs w:val="28"/>
        </w:rPr>
        <w:t xml:space="preserve"> specifies a number of measures which are particularly relevant with respect to prohibition of cross-examination</w:t>
      </w:r>
      <w:r w:rsidR="006C7CBF">
        <w:rPr>
          <w:rFonts w:ascii="Arial" w:hAnsi="Arial" w:cs="Arial"/>
          <w:sz w:val="28"/>
          <w:szCs w:val="28"/>
        </w:rPr>
        <w:t xml:space="preserve"> in person</w:t>
      </w:r>
      <w:r w:rsidR="00C414F9" w:rsidRPr="00C414F9">
        <w:rPr>
          <w:rFonts w:ascii="Arial" w:hAnsi="Arial" w:cs="Arial"/>
          <w:sz w:val="28"/>
          <w:szCs w:val="28"/>
        </w:rPr>
        <w:t xml:space="preserve"> and provision of special measures.  The government must (</w:t>
      </w:r>
      <w:r w:rsidR="00C414F9" w:rsidRPr="00C414F9">
        <w:rPr>
          <w:rFonts w:ascii="Arial" w:hAnsi="Arial" w:cs="Arial"/>
          <w:i/>
          <w:sz w:val="28"/>
          <w:szCs w:val="28"/>
        </w:rPr>
        <w:t>inter alia)</w:t>
      </w:r>
      <w:r w:rsidR="00C414F9" w:rsidRPr="00C414F9">
        <w:rPr>
          <w:rFonts w:ascii="Arial" w:hAnsi="Arial" w:cs="Arial"/>
          <w:sz w:val="28"/>
          <w:szCs w:val="28"/>
        </w:rPr>
        <w:t xml:space="preserve">:  </w:t>
      </w:r>
    </w:p>
    <w:p w14:paraId="250978A7" w14:textId="77777777" w:rsidR="00C414F9" w:rsidRPr="00C414F9" w:rsidRDefault="00C414F9" w:rsidP="00A54C6C">
      <w:pPr>
        <w:numPr>
          <w:ilvl w:val="0"/>
          <w:numId w:val="8"/>
        </w:numPr>
        <w:spacing w:line="240" w:lineRule="auto"/>
        <w:rPr>
          <w:rFonts w:ascii="Arial" w:hAnsi="Arial" w:cs="Arial"/>
          <w:sz w:val="28"/>
          <w:szCs w:val="28"/>
        </w:rPr>
      </w:pPr>
      <w:r w:rsidRPr="00C414F9">
        <w:rPr>
          <w:rFonts w:ascii="Arial" w:hAnsi="Arial" w:cs="Arial"/>
          <w:sz w:val="28"/>
          <w:szCs w:val="28"/>
        </w:rPr>
        <w:t>provide for victims’ protection from intimidation, retaliation and repeat victimisation (Article 56 1(a));</w:t>
      </w:r>
    </w:p>
    <w:p w14:paraId="30FEC6D7" w14:textId="7CA9122F" w:rsidR="00C414F9" w:rsidRPr="00C414F9" w:rsidRDefault="00C414F9" w:rsidP="00A54C6C">
      <w:pPr>
        <w:numPr>
          <w:ilvl w:val="0"/>
          <w:numId w:val="8"/>
        </w:numPr>
        <w:spacing w:line="240" w:lineRule="auto"/>
        <w:rPr>
          <w:rFonts w:ascii="Arial" w:hAnsi="Arial" w:cs="Arial"/>
          <w:sz w:val="28"/>
          <w:szCs w:val="28"/>
        </w:rPr>
      </w:pPr>
      <w:r w:rsidRPr="00C414F9">
        <w:rPr>
          <w:rFonts w:ascii="Arial" w:hAnsi="Arial" w:cs="Arial"/>
          <w:sz w:val="28"/>
          <w:szCs w:val="28"/>
        </w:rPr>
        <w:t>provide victims with appropriate support services so that their rights and interests are duly presented and taken into account (Article 56 1(e));</w:t>
      </w:r>
    </w:p>
    <w:p w14:paraId="730352F7" w14:textId="77777777" w:rsidR="00C414F9" w:rsidRPr="00C414F9" w:rsidRDefault="00C414F9" w:rsidP="00A54C6C">
      <w:pPr>
        <w:numPr>
          <w:ilvl w:val="0"/>
          <w:numId w:val="8"/>
        </w:numPr>
        <w:spacing w:line="240" w:lineRule="auto"/>
        <w:rPr>
          <w:rFonts w:ascii="Arial" w:hAnsi="Arial" w:cs="Arial"/>
          <w:sz w:val="28"/>
          <w:szCs w:val="28"/>
        </w:rPr>
      </w:pPr>
      <w:r w:rsidRPr="00C414F9">
        <w:rPr>
          <w:rFonts w:ascii="Arial" w:hAnsi="Arial" w:cs="Arial"/>
          <w:sz w:val="28"/>
          <w:szCs w:val="28"/>
        </w:rPr>
        <w:lastRenderedPageBreak/>
        <w:t>ensure that contact between victims and perpetrators within court and law enforcement agency premises is avoided where possible (Article 56 1(g);</w:t>
      </w:r>
    </w:p>
    <w:p w14:paraId="6192CA2F" w14:textId="77777777" w:rsidR="00C414F9" w:rsidRPr="00C414F9" w:rsidRDefault="00C414F9" w:rsidP="00A54C6C">
      <w:pPr>
        <w:numPr>
          <w:ilvl w:val="0"/>
          <w:numId w:val="8"/>
        </w:numPr>
        <w:spacing w:line="240" w:lineRule="auto"/>
        <w:rPr>
          <w:rFonts w:ascii="Arial" w:hAnsi="Arial" w:cs="Arial"/>
          <w:sz w:val="28"/>
          <w:szCs w:val="28"/>
        </w:rPr>
      </w:pPr>
      <w:proofErr w:type="gramStart"/>
      <w:r w:rsidRPr="00C414F9">
        <w:rPr>
          <w:rFonts w:ascii="Arial" w:hAnsi="Arial" w:cs="Arial"/>
          <w:sz w:val="28"/>
          <w:szCs w:val="28"/>
        </w:rPr>
        <w:t>enable</w:t>
      </w:r>
      <w:proofErr w:type="gramEnd"/>
      <w:r w:rsidRPr="00C414F9">
        <w:rPr>
          <w:rFonts w:ascii="Arial" w:hAnsi="Arial" w:cs="Arial"/>
          <w:sz w:val="28"/>
          <w:szCs w:val="28"/>
        </w:rPr>
        <w:t xml:space="preserve"> victims to testify in the courtroom without being present or at least without the presence of the alleged perpetrator, notably through the use of appropriate communication technologies, where available (Article 56 1(</w:t>
      </w:r>
      <w:proofErr w:type="spellStart"/>
      <w:r w:rsidRPr="00C414F9">
        <w:rPr>
          <w:rFonts w:ascii="Arial" w:hAnsi="Arial" w:cs="Arial"/>
          <w:sz w:val="28"/>
          <w:szCs w:val="28"/>
        </w:rPr>
        <w:t>i</w:t>
      </w:r>
      <w:proofErr w:type="spellEnd"/>
      <w:r w:rsidRPr="00C414F9">
        <w:rPr>
          <w:rFonts w:ascii="Arial" w:hAnsi="Arial" w:cs="Arial"/>
          <w:sz w:val="28"/>
          <w:szCs w:val="28"/>
        </w:rPr>
        <w:t>)).</w:t>
      </w:r>
    </w:p>
    <w:p w14:paraId="57636209" w14:textId="77777777" w:rsidR="00C414F9" w:rsidRPr="00C414F9" w:rsidRDefault="00C414F9" w:rsidP="00A54C6C">
      <w:pPr>
        <w:spacing w:line="240" w:lineRule="auto"/>
        <w:rPr>
          <w:rFonts w:ascii="Arial" w:hAnsi="Arial" w:cs="Arial"/>
          <w:b/>
          <w:sz w:val="28"/>
          <w:szCs w:val="28"/>
        </w:rPr>
      </w:pPr>
      <w:r w:rsidRPr="00C414F9">
        <w:rPr>
          <w:rFonts w:ascii="Arial" w:hAnsi="Arial" w:cs="Arial"/>
          <w:b/>
          <w:sz w:val="28"/>
          <w:szCs w:val="28"/>
        </w:rPr>
        <w:t>2. Prohibition of cross-examination in person</w:t>
      </w:r>
    </w:p>
    <w:p w14:paraId="1AB4E1DE" w14:textId="61B8E521"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The Bill’s current provisions introduce in the family courts an automatic prohibition of cross-examination in person of a victim by a perpetrator in domestic abuse cases, but only where that perpetrator has been convicted, cautioned or charged with a “specified offence” (to be defined in secondary legislation) or where there is a with-notice protective injunction in place.</w:t>
      </w:r>
      <w:r w:rsidRPr="00C414F9">
        <w:rPr>
          <w:rFonts w:ascii="Arial" w:hAnsi="Arial" w:cs="Arial"/>
          <w:sz w:val="28"/>
          <w:szCs w:val="28"/>
          <w:vertAlign w:val="superscript"/>
        </w:rPr>
        <w:footnoteReference w:id="4"/>
      </w:r>
      <w:r w:rsidRPr="00C414F9">
        <w:rPr>
          <w:rFonts w:ascii="Arial" w:hAnsi="Arial" w:cs="Arial"/>
          <w:sz w:val="28"/>
          <w:szCs w:val="28"/>
        </w:rPr>
        <w:t xml:space="preserve">  In other cases, prohibition of cross-examination </w:t>
      </w:r>
      <w:r w:rsidR="006C7CBF">
        <w:rPr>
          <w:rFonts w:ascii="Arial" w:hAnsi="Arial" w:cs="Arial"/>
          <w:sz w:val="28"/>
          <w:szCs w:val="28"/>
        </w:rPr>
        <w:t>will be</w:t>
      </w:r>
      <w:r w:rsidRPr="00C414F9">
        <w:rPr>
          <w:rFonts w:ascii="Arial" w:hAnsi="Arial" w:cs="Arial"/>
          <w:sz w:val="28"/>
          <w:szCs w:val="28"/>
        </w:rPr>
        <w:t xml:space="preserve"> left to the discretion of the judge. </w:t>
      </w:r>
    </w:p>
    <w:p w14:paraId="2849B906" w14:textId="79DB6DD5"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Cross-examination in person in cases where domestic abuse is an issue is well-recognised as being re-traumatising for survivors</w:t>
      </w:r>
      <w:r w:rsidRPr="00C414F9">
        <w:rPr>
          <w:rFonts w:ascii="Arial" w:hAnsi="Arial" w:cs="Arial"/>
          <w:sz w:val="28"/>
          <w:szCs w:val="28"/>
          <w:vertAlign w:val="superscript"/>
        </w:rPr>
        <w:footnoteReference w:id="5"/>
      </w:r>
      <w:r w:rsidRPr="00C414F9">
        <w:rPr>
          <w:rFonts w:ascii="Arial" w:hAnsi="Arial" w:cs="Arial"/>
          <w:sz w:val="28"/>
          <w:szCs w:val="28"/>
        </w:rPr>
        <w:t xml:space="preserve"> and a means by which perpetrators can continue their abuse</w:t>
      </w:r>
      <w:r w:rsidR="00F33A3A">
        <w:rPr>
          <w:rFonts w:ascii="Arial" w:hAnsi="Arial" w:cs="Arial"/>
          <w:sz w:val="28"/>
          <w:szCs w:val="28"/>
        </w:rPr>
        <w:t>.</w:t>
      </w:r>
      <w:r w:rsidRPr="00C414F9">
        <w:rPr>
          <w:rFonts w:ascii="Arial" w:hAnsi="Arial" w:cs="Arial"/>
          <w:sz w:val="28"/>
          <w:szCs w:val="28"/>
          <w:vertAlign w:val="superscript"/>
        </w:rPr>
        <w:footnoteReference w:id="6"/>
      </w:r>
      <w:r w:rsidRPr="00C414F9">
        <w:rPr>
          <w:rFonts w:ascii="Arial" w:hAnsi="Arial" w:cs="Arial"/>
          <w:sz w:val="28"/>
          <w:szCs w:val="28"/>
        </w:rPr>
        <w:t xml:space="preserve">  It remains a significant problem </w:t>
      </w:r>
      <w:r w:rsidR="00A54C6C">
        <w:rPr>
          <w:rFonts w:ascii="Arial" w:hAnsi="Arial" w:cs="Arial"/>
          <w:sz w:val="28"/>
          <w:szCs w:val="28"/>
        </w:rPr>
        <w:t xml:space="preserve">for domestic abuse survivors </w:t>
      </w:r>
      <w:r w:rsidRPr="00C414F9">
        <w:rPr>
          <w:rFonts w:ascii="Arial" w:hAnsi="Arial" w:cs="Arial"/>
          <w:sz w:val="28"/>
          <w:szCs w:val="28"/>
        </w:rPr>
        <w:t>in the family courts, with a recent survey by Women’s Aid finding that 24% of respondents had been cross-examined by a perpetrator.</w:t>
      </w:r>
      <w:r w:rsidRPr="00C414F9">
        <w:rPr>
          <w:rFonts w:ascii="Arial" w:hAnsi="Arial" w:cs="Arial"/>
          <w:sz w:val="28"/>
          <w:szCs w:val="28"/>
          <w:vertAlign w:val="superscript"/>
        </w:rPr>
        <w:footnoteReference w:id="7"/>
      </w:r>
      <w:r w:rsidRPr="00C414F9">
        <w:rPr>
          <w:rFonts w:ascii="Arial" w:hAnsi="Arial" w:cs="Arial"/>
          <w:sz w:val="28"/>
          <w:szCs w:val="28"/>
        </w:rPr>
        <w:t xml:space="preserve">  </w:t>
      </w:r>
    </w:p>
    <w:p w14:paraId="78069F6D" w14:textId="289DF462" w:rsidR="003270D9" w:rsidRDefault="00C414F9" w:rsidP="00A54C6C">
      <w:pPr>
        <w:spacing w:line="240" w:lineRule="auto"/>
        <w:rPr>
          <w:rFonts w:ascii="Arial" w:hAnsi="Arial" w:cs="Arial"/>
          <w:sz w:val="28"/>
          <w:szCs w:val="28"/>
        </w:rPr>
      </w:pPr>
      <w:r w:rsidRPr="00C414F9">
        <w:rPr>
          <w:rFonts w:ascii="Arial" w:hAnsi="Arial" w:cs="Arial"/>
          <w:sz w:val="28"/>
          <w:szCs w:val="28"/>
        </w:rPr>
        <w:t>The provisions in the Domestic Abuse Bill are insufficient to protect survivors from this continued abuse.  Specialist organisations believe that the majority of women facing family law proceedings against perpetrators of domestic abuse will fall into the discretionary category, due to the high levels of domestic abuse which go</w:t>
      </w:r>
      <w:r w:rsidR="00A54C6C">
        <w:rPr>
          <w:rFonts w:ascii="Arial" w:hAnsi="Arial" w:cs="Arial"/>
          <w:sz w:val="28"/>
          <w:szCs w:val="28"/>
        </w:rPr>
        <w:t>es</w:t>
      </w:r>
      <w:r w:rsidRPr="00C414F9">
        <w:rPr>
          <w:rFonts w:ascii="Arial" w:hAnsi="Arial" w:cs="Arial"/>
          <w:sz w:val="28"/>
          <w:szCs w:val="28"/>
        </w:rPr>
        <w:t xml:space="preserve"> unreported to police.  A report by </w:t>
      </w:r>
      <w:proofErr w:type="spellStart"/>
      <w:r w:rsidRPr="00C414F9">
        <w:rPr>
          <w:rFonts w:ascii="Arial" w:hAnsi="Arial" w:cs="Arial"/>
          <w:sz w:val="28"/>
          <w:szCs w:val="28"/>
        </w:rPr>
        <w:t>SafeLives</w:t>
      </w:r>
      <w:proofErr w:type="spellEnd"/>
      <w:r w:rsidRPr="00C414F9">
        <w:rPr>
          <w:rFonts w:ascii="Arial" w:hAnsi="Arial" w:cs="Arial"/>
          <w:sz w:val="28"/>
          <w:szCs w:val="28"/>
        </w:rPr>
        <w:t xml:space="preserve"> showed only 8</w:t>
      </w:r>
      <w:r w:rsidR="003270D9">
        <w:rPr>
          <w:rFonts w:ascii="Arial" w:hAnsi="Arial" w:cs="Arial"/>
          <w:sz w:val="28"/>
          <w:szCs w:val="28"/>
        </w:rPr>
        <w:t>% of</w:t>
      </w:r>
      <w:r w:rsidRPr="00C414F9">
        <w:rPr>
          <w:rFonts w:ascii="Arial" w:hAnsi="Arial" w:cs="Arial"/>
          <w:sz w:val="28"/>
          <w:szCs w:val="28"/>
        </w:rPr>
        <w:t xml:space="preserve"> </w:t>
      </w:r>
      <w:r w:rsidRPr="00C414F9">
        <w:rPr>
          <w:rFonts w:ascii="Arial" w:hAnsi="Arial" w:cs="Arial"/>
          <w:sz w:val="28"/>
          <w:szCs w:val="28"/>
        </w:rPr>
        <w:lastRenderedPageBreak/>
        <w:t xml:space="preserve">women had a police report made either </w:t>
      </w:r>
      <w:r w:rsidR="00E34FAF">
        <w:rPr>
          <w:rFonts w:ascii="Arial" w:hAnsi="Arial" w:cs="Arial"/>
          <w:sz w:val="28"/>
          <w:szCs w:val="28"/>
        </w:rPr>
        <w:t>before or after they entered a</w:t>
      </w:r>
      <w:r w:rsidRPr="00C414F9">
        <w:rPr>
          <w:rFonts w:ascii="Arial" w:hAnsi="Arial" w:cs="Arial"/>
          <w:sz w:val="28"/>
          <w:szCs w:val="28"/>
        </w:rPr>
        <w:t xml:space="preserve"> refuge and arrests were made in only 65% of these cases.</w:t>
      </w:r>
      <w:r w:rsidRPr="00C414F9">
        <w:rPr>
          <w:rFonts w:ascii="Arial" w:hAnsi="Arial" w:cs="Arial"/>
          <w:sz w:val="28"/>
          <w:szCs w:val="28"/>
          <w:vertAlign w:val="superscript"/>
        </w:rPr>
        <w:footnoteReference w:id="8"/>
      </w:r>
      <w:r w:rsidRPr="00C414F9">
        <w:rPr>
          <w:rFonts w:ascii="Arial" w:hAnsi="Arial" w:cs="Arial"/>
          <w:sz w:val="28"/>
          <w:szCs w:val="28"/>
        </w:rPr>
        <w:t xml:space="preserve">  </w:t>
      </w:r>
    </w:p>
    <w:p w14:paraId="2F4BD793" w14:textId="527545E1"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Relying on the court’s discretion in this context leads to inconsistency in application, as highlighted by Ministry of Justice research conducted in 2017, which found a wide range of differing views among the judiciary as to the correct approach to take to cross-examination in person in family law cases.</w:t>
      </w:r>
      <w:r w:rsidRPr="00C414F9">
        <w:rPr>
          <w:rFonts w:ascii="Arial" w:hAnsi="Arial" w:cs="Arial"/>
          <w:sz w:val="28"/>
          <w:szCs w:val="28"/>
          <w:vertAlign w:val="superscript"/>
        </w:rPr>
        <w:footnoteReference w:id="9"/>
      </w:r>
      <w:r w:rsidRPr="00C414F9">
        <w:rPr>
          <w:rFonts w:ascii="Arial" w:hAnsi="Arial" w:cs="Arial"/>
          <w:sz w:val="28"/>
          <w:szCs w:val="28"/>
        </w:rPr>
        <w:t xml:space="preserve">   Such inconsistency of application causes confusion and uncertainty for survivors, and will leave too many survivors unprotected. </w:t>
      </w:r>
    </w:p>
    <w:p w14:paraId="0B99E551" w14:textId="77777777" w:rsidR="00C414F9" w:rsidRPr="00C414F9" w:rsidRDefault="00C414F9" w:rsidP="00A54C6C">
      <w:pPr>
        <w:spacing w:line="240" w:lineRule="auto"/>
        <w:rPr>
          <w:rFonts w:ascii="Arial" w:hAnsi="Arial" w:cs="Arial"/>
          <w:i/>
          <w:sz w:val="28"/>
          <w:szCs w:val="28"/>
        </w:rPr>
      </w:pPr>
      <w:r w:rsidRPr="00C414F9">
        <w:rPr>
          <w:rFonts w:ascii="Arial" w:hAnsi="Arial" w:cs="Arial"/>
          <w:i/>
          <w:sz w:val="28"/>
          <w:szCs w:val="28"/>
        </w:rPr>
        <w:t>Commission recommendation</w:t>
      </w:r>
    </w:p>
    <w:p w14:paraId="29FF0FC5" w14:textId="7CEF80B6"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 xml:space="preserve">We recommend that the automatic prohibition of cross-examination in person of a victim by a perpetrator be extended to all cases where domestic abuse is alleged.  Although it is outside the scope of this consultation, we note here </w:t>
      </w:r>
      <w:r w:rsidR="003270D9">
        <w:rPr>
          <w:rFonts w:ascii="Arial" w:hAnsi="Arial" w:cs="Arial"/>
          <w:sz w:val="28"/>
          <w:szCs w:val="28"/>
        </w:rPr>
        <w:t xml:space="preserve">our </w:t>
      </w:r>
      <w:r w:rsidRPr="00C414F9">
        <w:rPr>
          <w:rFonts w:ascii="Arial" w:hAnsi="Arial" w:cs="Arial"/>
          <w:sz w:val="28"/>
          <w:szCs w:val="28"/>
        </w:rPr>
        <w:t>recommend</w:t>
      </w:r>
      <w:r w:rsidR="003270D9">
        <w:rPr>
          <w:rFonts w:ascii="Arial" w:hAnsi="Arial" w:cs="Arial"/>
          <w:sz w:val="28"/>
          <w:szCs w:val="28"/>
        </w:rPr>
        <w:t>ation</w:t>
      </w:r>
      <w:r w:rsidRPr="00C414F9">
        <w:rPr>
          <w:rFonts w:ascii="Arial" w:hAnsi="Arial" w:cs="Arial"/>
          <w:sz w:val="28"/>
          <w:szCs w:val="28"/>
        </w:rPr>
        <w:t xml:space="preserve"> that this automatic prohibition</w:t>
      </w:r>
      <w:r w:rsidR="00245D03">
        <w:rPr>
          <w:rFonts w:ascii="Arial" w:hAnsi="Arial" w:cs="Arial"/>
          <w:sz w:val="28"/>
          <w:szCs w:val="28"/>
        </w:rPr>
        <w:t xml:space="preserve"> also</w:t>
      </w:r>
      <w:r w:rsidRPr="00C414F9">
        <w:rPr>
          <w:rFonts w:ascii="Arial" w:hAnsi="Arial" w:cs="Arial"/>
          <w:sz w:val="28"/>
          <w:szCs w:val="28"/>
        </w:rPr>
        <w:t xml:space="preserve"> be extended to the civil courts, to ensure protection is extended no matter where victims have to face their perpetrators in litigation.</w:t>
      </w:r>
      <w:r w:rsidRPr="00C414F9">
        <w:rPr>
          <w:rFonts w:ascii="Arial" w:hAnsi="Arial" w:cs="Arial"/>
          <w:sz w:val="28"/>
          <w:szCs w:val="28"/>
          <w:vertAlign w:val="superscript"/>
        </w:rPr>
        <w:footnoteReference w:id="10"/>
      </w:r>
    </w:p>
    <w:p w14:paraId="390CCD03" w14:textId="77777777" w:rsidR="00C414F9" w:rsidRPr="00C414F9" w:rsidRDefault="00C414F9" w:rsidP="00A54C6C">
      <w:pPr>
        <w:spacing w:line="240" w:lineRule="auto"/>
        <w:rPr>
          <w:rFonts w:ascii="Arial" w:hAnsi="Arial" w:cs="Arial"/>
          <w:b/>
          <w:sz w:val="28"/>
          <w:szCs w:val="28"/>
        </w:rPr>
      </w:pPr>
      <w:r w:rsidRPr="00C414F9">
        <w:rPr>
          <w:rFonts w:ascii="Arial" w:hAnsi="Arial" w:cs="Arial"/>
          <w:b/>
          <w:sz w:val="28"/>
          <w:szCs w:val="28"/>
        </w:rPr>
        <w:t>3. Provision of special measures in the family courts</w:t>
      </w:r>
    </w:p>
    <w:p w14:paraId="3B21BAC4" w14:textId="5C77FDC0"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The Bill creates a presumption that victims of domestic abuse are eligible for special measures in the criminal court</w:t>
      </w:r>
      <w:r w:rsidR="003270D9">
        <w:rPr>
          <w:rFonts w:ascii="Arial" w:hAnsi="Arial" w:cs="Arial"/>
          <w:sz w:val="28"/>
          <w:szCs w:val="28"/>
        </w:rPr>
        <w:t>,</w:t>
      </w:r>
      <w:r w:rsidRPr="00C414F9">
        <w:rPr>
          <w:rFonts w:ascii="Arial" w:hAnsi="Arial" w:cs="Arial"/>
          <w:sz w:val="28"/>
          <w:szCs w:val="28"/>
        </w:rPr>
        <w:t xml:space="preserve"> but does not extend this presumption to the family court.  Special measures can include separate waiting rooms, separate entrance and exit times for the parties, screens and video-links; these serve to protect the survivor and go some way to reducing the re-traumatising effect of the court process.  The Bill is silent as regards the provision of special measures outside the criminal courts. </w:t>
      </w:r>
    </w:p>
    <w:p w14:paraId="3AD00F92" w14:textId="77777777" w:rsidR="003270D9" w:rsidRDefault="00C414F9" w:rsidP="00A54C6C">
      <w:pPr>
        <w:spacing w:line="240" w:lineRule="auto"/>
        <w:rPr>
          <w:rFonts w:ascii="Arial" w:hAnsi="Arial" w:cs="Arial"/>
          <w:sz w:val="28"/>
          <w:szCs w:val="28"/>
        </w:rPr>
      </w:pPr>
      <w:r w:rsidRPr="00C414F9">
        <w:rPr>
          <w:rFonts w:ascii="Arial" w:hAnsi="Arial" w:cs="Arial"/>
          <w:sz w:val="28"/>
          <w:szCs w:val="28"/>
        </w:rPr>
        <w:t xml:space="preserve">Part 3A of the Family Procedure Rules, together with Practice Direction 3AA (introduced in 2017), gives the court discretion to order special measures where </w:t>
      </w:r>
      <w:r w:rsidRPr="00C414F9">
        <w:rPr>
          <w:rFonts w:ascii="Arial" w:hAnsi="Arial" w:cs="Arial"/>
          <w:sz w:val="28"/>
          <w:szCs w:val="28"/>
        </w:rPr>
        <w:lastRenderedPageBreak/>
        <w:t xml:space="preserve">a party’s participation in proceedings and the quality of their evidence is likely to be diminished by reason of vulnerability.  </w:t>
      </w:r>
    </w:p>
    <w:p w14:paraId="1806C068" w14:textId="210A69C0"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 xml:space="preserve">However, it is widely reported that special measures in the family court are not being provided often enough, and, when they are provided, they are often inadequate.  Recent Women’s Aid research reported that </w:t>
      </w:r>
      <w:r w:rsidR="00E34FAF">
        <w:rPr>
          <w:rFonts w:ascii="Arial" w:hAnsi="Arial" w:cs="Arial"/>
          <w:sz w:val="28"/>
          <w:szCs w:val="28"/>
        </w:rPr>
        <w:t>61% of domestic abuse survivors</w:t>
      </w:r>
      <w:r w:rsidRPr="00C414F9">
        <w:rPr>
          <w:rFonts w:ascii="Arial" w:hAnsi="Arial" w:cs="Arial"/>
          <w:sz w:val="28"/>
          <w:szCs w:val="28"/>
        </w:rPr>
        <w:t xml:space="preserve"> had not had any form of special measures in the family court.</w:t>
      </w:r>
      <w:r w:rsidRPr="00C414F9">
        <w:rPr>
          <w:rFonts w:ascii="Arial" w:hAnsi="Arial" w:cs="Arial"/>
          <w:sz w:val="28"/>
          <w:szCs w:val="28"/>
          <w:vertAlign w:val="superscript"/>
        </w:rPr>
        <w:footnoteReference w:id="11"/>
      </w:r>
      <w:r w:rsidRPr="00C414F9">
        <w:rPr>
          <w:rFonts w:ascii="Arial" w:hAnsi="Arial" w:cs="Arial"/>
          <w:sz w:val="28"/>
          <w:szCs w:val="28"/>
        </w:rPr>
        <w:t xml:space="preserve">   Of the 35% who had accessed some type of special measure, the measures were only in place in some of the hearings they attended, rather than all.</w:t>
      </w:r>
      <w:r w:rsidRPr="00C414F9">
        <w:rPr>
          <w:rFonts w:ascii="Arial" w:hAnsi="Arial" w:cs="Arial"/>
          <w:sz w:val="28"/>
          <w:szCs w:val="28"/>
          <w:vertAlign w:val="superscript"/>
        </w:rPr>
        <w:footnoteReference w:id="12"/>
      </w:r>
      <w:r w:rsidRPr="00C414F9">
        <w:rPr>
          <w:rFonts w:ascii="Arial" w:hAnsi="Arial" w:cs="Arial"/>
          <w:sz w:val="28"/>
          <w:szCs w:val="28"/>
        </w:rPr>
        <w:t xml:space="preserve">  The research also reveals inconsistent judicial attitudes where requests for special measures are made.</w:t>
      </w:r>
      <w:r w:rsidRPr="00C414F9">
        <w:rPr>
          <w:rFonts w:ascii="Arial" w:hAnsi="Arial" w:cs="Arial"/>
          <w:sz w:val="28"/>
          <w:szCs w:val="28"/>
          <w:vertAlign w:val="superscript"/>
        </w:rPr>
        <w:footnoteReference w:id="13"/>
      </w:r>
      <w:r w:rsidRPr="00C414F9">
        <w:rPr>
          <w:rFonts w:ascii="Arial" w:hAnsi="Arial" w:cs="Arial"/>
          <w:sz w:val="28"/>
          <w:szCs w:val="28"/>
        </w:rPr>
        <w:t xml:space="preserve">  Prominent members of the judiciary have long been calling for protections for victims of domestic abuse in the family courts to be aligned with those in the criminal courts</w:t>
      </w:r>
      <w:r w:rsidRPr="00C414F9">
        <w:rPr>
          <w:rFonts w:ascii="Arial" w:hAnsi="Arial" w:cs="Arial"/>
          <w:sz w:val="28"/>
          <w:szCs w:val="28"/>
          <w:vertAlign w:val="superscript"/>
        </w:rPr>
        <w:footnoteReference w:id="14"/>
      </w:r>
      <w:r w:rsidRPr="00C414F9">
        <w:rPr>
          <w:rFonts w:ascii="Arial" w:hAnsi="Arial" w:cs="Arial"/>
          <w:sz w:val="28"/>
          <w:szCs w:val="28"/>
        </w:rPr>
        <w:t xml:space="preserve"> and yet witnesses to the Joint Committee on the draft Domestic Abuse Bill in May this year gave evidence that special measures in the family courts were still “not satisfactory or on a par with those facilities available in the criminal courts.”</w:t>
      </w:r>
      <w:r w:rsidRPr="00C414F9">
        <w:rPr>
          <w:rFonts w:ascii="Arial" w:hAnsi="Arial" w:cs="Arial"/>
          <w:sz w:val="28"/>
          <w:szCs w:val="28"/>
          <w:vertAlign w:val="superscript"/>
        </w:rPr>
        <w:footnoteReference w:id="15"/>
      </w:r>
      <w:r w:rsidRPr="00C414F9">
        <w:rPr>
          <w:rFonts w:ascii="Arial" w:hAnsi="Arial" w:cs="Arial"/>
          <w:sz w:val="28"/>
          <w:szCs w:val="28"/>
        </w:rPr>
        <w:t xml:space="preserve"> </w:t>
      </w:r>
    </w:p>
    <w:p w14:paraId="56100908" w14:textId="77777777" w:rsidR="00C414F9" w:rsidRPr="00C414F9" w:rsidRDefault="00C414F9" w:rsidP="00A54C6C">
      <w:pPr>
        <w:spacing w:line="240" w:lineRule="auto"/>
        <w:rPr>
          <w:rFonts w:ascii="Arial" w:hAnsi="Arial" w:cs="Arial"/>
          <w:i/>
          <w:sz w:val="28"/>
          <w:szCs w:val="28"/>
        </w:rPr>
      </w:pPr>
      <w:r w:rsidRPr="00C414F9">
        <w:rPr>
          <w:rFonts w:ascii="Arial" w:hAnsi="Arial" w:cs="Arial"/>
          <w:i/>
          <w:sz w:val="28"/>
          <w:szCs w:val="28"/>
        </w:rPr>
        <w:t>Commission recommendation</w:t>
      </w:r>
    </w:p>
    <w:p w14:paraId="40375B09" w14:textId="13B587B6"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The presumption of eligibility for special measures for victims of domestic abuse must be extended to the family courts (and the civil courts).  This would remove the potential for inconsistencies arising from differing judicial attitudes to domestic abuse</w:t>
      </w:r>
      <w:r w:rsidR="00DD58D4">
        <w:rPr>
          <w:rFonts w:ascii="Arial" w:hAnsi="Arial" w:cs="Arial"/>
          <w:sz w:val="28"/>
          <w:szCs w:val="28"/>
        </w:rPr>
        <w:t xml:space="preserve"> </w:t>
      </w:r>
      <w:r w:rsidR="00DD58D4" w:rsidRPr="006C7CBF">
        <w:rPr>
          <w:rFonts w:ascii="Arial" w:hAnsi="Arial" w:cs="Arial"/>
          <w:sz w:val="28"/>
          <w:szCs w:val="28"/>
        </w:rPr>
        <w:t xml:space="preserve">and/or </w:t>
      </w:r>
      <w:r w:rsidR="006C7CBF">
        <w:rPr>
          <w:rFonts w:ascii="Arial" w:hAnsi="Arial" w:cs="Arial"/>
          <w:sz w:val="28"/>
          <w:szCs w:val="28"/>
        </w:rPr>
        <w:t>lack of resources</w:t>
      </w:r>
      <w:r w:rsidRPr="006C7CBF">
        <w:rPr>
          <w:rFonts w:ascii="Arial" w:hAnsi="Arial" w:cs="Arial"/>
          <w:sz w:val="28"/>
          <w:szCs w:val="28"/>
        </w:rPr>
        <w:t>.</w:t>
      </w:r>
      <w:r w:rsidRPr="00C414F9">
        <w:rPr>
          <w:rFonts w:ascii="Arial" w:hAnsi="Arial" w:cs="Arial"/>
          <w:sz w:val="28"/>
          <w:szCs w:val="28"/>
        </w:rPr>
        <w:t xml:space="preserve">  The provision of special measures in the family courts (and civil courts) should be prioritised under the current court reform programme.  </w:t>
      </w:r>
    </w:p>
    <w:p w14:paraId="26AC4E06" w14:textId="3CFACD94" w:rsidR="00C414F9" w:rsidRPr="00C414F9" w:rsidRDefault="00CC2843" w:rsidP="00A54C6C">
      <w:pPr>
        <w:spacing w:line="240" w:lineRule="auto"/>
        <w:rPr>
          <w:rFonts w:ascii="Arial" w:hAnsi="Arial" w:cs="Arial"/>
          <w:b/>
          <w:sz w:val="28"/>
          <w:szCs w:val="28"/>
        </w:rPr>
      </w:pPr>
      <w:r>
        <w:rPr>
          <w:rFonts w:ascii="Arial" w:hAnsi="Arial" w:cs="Arial"/>
          <w:b/>
          <w:sz w:val="28"/>
          <w:szCs w:val="28"/>
        </w:rPr>
        <w:t xml:space="preserve">4. </w:t>
      </w:r>
      <w:r w:rsidR="00C414F9" w:rsidRPr="00C414F9">
        <w:rPr>
          <w:rFonts w:ascii="Arial" w:hAnsi="Arial" w:cs="Arial"/>
          <w:b/>
          <w:sz w:val="28"/>
          <w:szCs w:val="28"/>
        </w:rPr>
        <w:t>Collection of data</w:t>
      </w:r>
    </w:p>
    <w:p w14:paraId="3B3A0948" w14:textId="77777777" w:rsidR="00C414F9" w:rsidRPr="00C414F9" w:rsidRDefault="00C414F9" w:rsidP="00A54C6C">
      <w:pPr>
        <w:spacing w:line="240" w:lineRule="auto"/>
        <w:rPr>
          <w:rFonts w:ascii="Arial" w:hAnsi="Arial" w:cs="Arial"/>
          <w:sz w:val="28"/>
          <w:szCs w:val="28"/>
        </w:rPr>
      </w:pPr>
      <w:r w:rsidRPr="00C414F9">
        <w:rPr>
          <w:rFonts w:ascii="Arial" w:hAnsi="Arial" w:cs="Arial"/>
          <w:sz w:val="28"/>
          <w:szCs w:val="28"/>
        </w:rPr>
        <w:t xml:space="preserve">Insufficient data is currently collected on the treatment of cases where domestic abuse is raised in the family courts. </w:t>
      </w:r>
    </w:p>
    <w:p w14:paraId="67C68BF0" w14:textId="77777777" w:rsidR="00FF3AC4" w:rsidRDefault="00C414F9" w:rsidP="00FF3AC4">
      <w:pPr>
        <w:spacing w:line="240" w:lineRule="auto"/>
        <w:rPr>
          <w:rFonts w:ascii="Arial" w:hAnsi="Arial" w:cs="Arial"/>
          <w:sz w:val="28"/>
          <w:szCs w:val="28"/>
        </w:rPr>
      </w:pPr>
      <w:r w:rsidRPr="00C414F9">
        <w:rPr>
          <w:rFonts w:ascii="Arial" w:hAnsi="Arial" w:cs="Arial"/>
          <w:sz w:val="28"/>
          <w:szCs w:val="28"/>
        </w:rPr>
        <w:lastRenderedPageBreak/>
        <w:t>In order to improve policy and practice in this area, and to improve safeguarding for survivors and their children, data on judicial decision-making in the family court where domestic abuse is raised and on case outcomes (such as harm to children and/or parents as a result court orders) (disaggregated according to protected characteristic under the Equality Act 2010) should be collected and made publicly available.</w:t>
      </w:r>
      <w:r w:rsidRPr="00C414F9">
        <w:rPr>
          <w:rFonts w:ascii="Arial" w:hAnsi="Arial" w:cs="Arial"/>
          <w:sz w:val="28"/>
          <w:szCs w:val="28"/>
          <w:vertAlign w:val="superscript"/>
        </w:rPr>
        <w:footnoteReference w:id="16"/>
      </w:r>
      <w:r w:rsidRPr="00C414F9">
        <w:rPr>
          <w:rFonts w:ascii="Arial" w:hAnsi="Arial" w:cs="Arial"/>
          <w:sz w:val="28"/>
          <w:szCs w:val="28"/>
        </w:rPr>
        <w:t xml:space="preserve"> </w:t>
      </w:r>
      <w:r w:rsidR="00FF3AC4" w:rsidRPr="00FF3AC4">
        <w:rPr>
          <w:rFonts w:ascii="Arial" w:hAnsi="Arial" w:cs="Arial"/>
          <w:sz w:val="28"/>
          <w:szCs w:val="28"/>
        </w:rPr>
        <w:t>Data that might usefully be collected in the context of the issues raised in our letter would include (</w:t>
      </w:r>
      <w:r w:rsidR="00FF3AC4" w:rsidRPr="00FF3AC4">
        <w:rPr>
          <w:rFonts w:ascii="Arial" w:hAnsi="Arial" w:cs="Arial"/>
          <w:i/>
          <w:iCs/>
          <w:sz w:val="28"/>
          <w:szCs w:val="28"/>
        </w:rPr>
        <w:t>inter alia</w:t>
      </w:r>
      <w:r w:rsidR="00FF3AC4" w:rsidRPr="00FF3AC4">
        <w:rPr>
          <w:rFonts w:ascii="Arial" w:hAnsi="Arial" w:cs="Arial"/>
          <w:sz w:val="28"/>
          <w:szCs w:val="28"/>
        </w:rPr>
        <w:t>):</w:t>
      </w:r>
      <w:r w:rsidR="00FF3AC4">
        <w:rPr>
          <w:rFonts w:ascii="Arial" w:hAnsi="Arial" w:cs="Arial"/>
          <w:sz w:val="28"/>
          <w:szCs w:val="28"/>
        </w:rPr>
        <w:t xml:space="preserve"> </w:t>
      </w:r>
    </w:p>
    <w:p w14:paraId="426EBB0C" w14:textId="6930F8A9" w:rsidR="00FF3AC4" w:rsidRPr="00FF3AC4" w:rsidRDefault="00FF3AC4" w:rsidP="00FF3AC4">
      <w:pPr>
        <w:pStyle w:val="ListParagraph"/>
        <w:numPr>
          <w:ilvl w:val="0"/>
          <w:numId w:val="12"/>
        </w:numPr>
        <w:spacing w:line="240" w:lineRule="auto"/>
        <w:rPr>
          <w:rFonts w:ascii="Arial" w:hAnsi="Arial" w:cs="Arial"/>
          <w:sz w:val="28"/>
          <w:szCs w:val="28"/>
        </w:rPr>
      </w:pPr>
      <w:r w:rsidRPr="00FF3AC4">
        <w:rPr>
          <w:rFonts w:ascii="Arial" w:hAnsi="Arial" w:cs="Arial"/>
          <w:sz w:val="28"/>
          <w:szCs w:val="28"/>
        </w:rPr>
        <w:t>data on the implementation of Practice Direction 12J (as recommended by Cobb J in his review of Practice Direc</w:t>
      </w:r>
      <w:r w:rsidR="00254441">
        <w:rPr>
          <w:rFonts w:ascii="Arial" w:hAnsi="Arial" w:cs="Arial"/>
          <w:sz w:val="28"/>
          <w:szCs w:val="28"/>
        </w:rPr>
        <w:t>tion 12J);</w:t>
      </w:r>
      <w:r w:rsidRPr="00C414F9">
        <w:rPr>
          <w:rFonts w:ascii="Arial" w:hAnsi="Arial" w:cs="Arial"/>
          <w:sz w:val="28"/>
          <w:szCs w:val="28"/>
          <w:vertAlign w:val="superscript"/>
        </w:rPr>
        <w:footnoteReference w:id="17"/>
      </w:r>
      <w:r w:rsidRPr="00FF3AC4">
        <w:rPr>
          <w:rFonts w:ascii="Arial" w:hAnsi="Arial" w:cs="Arial"/>
          <w:sz w:val="28"/>
          <w:szCs w:val="28"/>
        </w:rPr>
        <w:t xml:space="preserve"> </w:t>
      </w:r>
    </w:p>
    <w:p w14:paraId="2D0A8EFB" w14:textId="0138A1D3" w:rsidR="00FF3AC4" w:rsidRPr="00815FE1" w:rsidRDefault="00FF3AC4" w:rsidP="00FF3AC4">
      <w:pPr>
        <w:numPr>
          <w:ilvl w:val="0"/>
          <w:numId w:val="9"/>
        </w:numPr>
        <w:spacing w:line="240" w:lineRule="auto"/>
        <w:rPr>
          <w:rFonts w:ascii="Arial" w:hAnsi="Arial" w:cs="Arial"/>
          <w:sz w:val="28"/>
          <w:szCs w:val="28"/>
        </w:rPr>
      </w:pPr>
      <w:r w:rsidRPr="00815FE1">
        <w:rPr>
          <w:rFonts w:ascii="Arial" w:hAnsi="Arial" w:cs="Arial"/>
          <w:sz w:val="28"/>
          <w:szCs w:val="28"/>
        </w:rPr>
        <w:t>the number of cases which involve cross-examination in person of a survivor (or alleged survivor) of domestic abuse;</w:t>
      </w:r>
    </w:p>
    <w:p w14:paraId="0ED0809A" w14:textId="331D54B4" w:rsidR="00FF3AC4" w:rsidRPr="00815FE1" w:rsidRDefault="00CC2843" w:rsidP="00FF3AC4">
      <w:pPr>
        <w:numPr>
          <w:ilvl w:val="0"/>
          <w:numId w:val="10"/>
        </w:numPr>
        <w:spacing w:line="240" w:lineRule="auto"/>
        <w:rPr>
          <w:rFonts w:ascii="Arial" w:hAnsi="Arial" w:cs="Arial"/>
          <w:sz w:val="28"/>
          <w:szCs w:val="28"/>
        </w:rPr>
      </w:pPr>
      <w:r w:rsidRPr="00815FE1">
        <w:rPr>
          <w:rFonts w:ascii="Arial" w:hAnsi="Arial" w:cs="Arial"/>
          <w:sz w:val="28"/>
          <w:szCs w:val="28"/>
        </w:rPr>
        <w:t>t</w:t>
      </w:r>
      <w:r w:rsidR="00FF3AC4" w:rsidRPr="00815FE1">
        <w:rPr>
          <w:rFonts w:ascii="Arial" w:hAnsi="Arial" w:cs="Arial"/>
          <w:sz w:val="28"/>
          <w:szCs w:val="28"/>
        </w:rPr>
        <w:t>he number of cases for which special measures are requested and granted and the types of measures which are requested and granted;</w:t>
      </w:r>
    </w:p>
    <w:p w14:paraId="128303FF" w14:textId="42A7825B" w:rsidR="00FF3AC4" w:rsidRPr="00815FE1" w:rsidRDefault="00CC2843" w:rsidP="00FF3AC4">
      <w:pPr>
        <w:numPr>
          <w:ilvl w:val="0"/>
          <w:numId w:val="10"/>
        </w:numPr>
        <w:spacing w:line="240" w:lineRule="auto"/>
        <w:rPr>
          <w:rFonts w:ascii="Arial" w:hAnsi="Arial" w:cs="Arial"/>
          <w:sz w:val="28"/>
          <w:szCs w:val="28"/>
        </w:rPr>
      </w:pPr>
      <w:proofErr w:type="gramStart"/>
      <w:r w:rsidRPr="00815FE1">
        <w:rPr>
          <w:rFonts w:ascii="Arial" w:hAnsi="Arial" w:cs="Arial"/>
          <w:sz w:val="28"/>
          <w:szCs w:val="28"/>
        </w:rPr>
        <w:t>t</w:t>
      </w:r>
      <w:r w:rsidR="00FF3AC4" w:rsidRPr="00815FE1">
        <w:rPr>
          <w:rFonts w:ascii="Arial" w:hAnsi="Arial" w:cs="Arial"/>
          <w:sz w:val="28"/>
          <w:szCs w:val="28"/>
        </w:rPr>
        <w:t>he</w:t>
      </w:r>
      <w:proofErr w:type="gramEnd"/>
      <w:r w:rsidR="00FF3AC4" w:rsidRPr="00815FE1">
        <w:rPr>
          <w:rFonts w:ascii="Arial" w:hAnsi="Arial" w:cs="Arial"/>
          <w:sz w:val="28"/>
          <w:szCs w:val="28"/>
        </w:rPr>
        <w:t xml:space="preserve"> number of cases where domestic abuse is raised and the survivor (or alleged survivor) is a litigant in person. </w:t>
      </w:r>
    </w:p>
    <w:p w14:paraId="44735001" w14:textId="6CA9AD81" w:rsidR="00D32EEB" w:rsidRPr="003F5E05" w:rsidRDefault="00D32EEB" w:rsidP="00A54C6C">
      <w:pPr>
        <w:spacing w:line="240" w:lineRule="auto"/>
        <w:rPr>
          <w:rFonts w:ascii="Arial" w:hAnsi="Arial" w:cs="Arial"/>
          <w:sz w:val="28"/>
          <w:szCs w:val="28"/>
        </w:rPr>
      </w:pPr>
      <w:r>
        <w:rPr>
          <w:rFonts w:ascii="Arial" w:hAnsi="Arial" w:cs="Arial"/>
          <w:sz w:val="28"/>
          <w:szCs w:val="28"/>
        </w:rPr>
        <w:t xml:space="preserve">We will publish a copy of this letter on our website. </w:t>
      </w:r>
    </w:p>
    <w:p w14:paraId="0AAA0FD5" w14:textId="77777777" w:rsidR="00215AC0" w:rsidRDefault="00215AC0" w:rsidP="00215AC0">
      <w:pPr>
        <w:spacing w:line="240" w:lineRule="auto"/>
        <w:rPr>
          <w:rFonts w:ascii="Arial" w:hAnsi="Arial" w:cs="Arial"/>
          <w:sz w:val="28"/>
          <w:szCs w:val="28"/>
        </w:rPr>
      </w:pPr>
      <w:r>
        <w:rPr>
          <w:rFonts w:ascii="Arial" w:hAnsi="Arial" w:cs="Arial"/>
          <w:sz w:val="28"/>
          <w:szCs w:val="28"/>
        </w:rPr>
        <w:t>Yours sincerely</w:t>
      </w:r>
    </w:p>
    <w:p w14:paraId="725BB4C9" w14:textId="5282D7EF" w:rsidR="0028167E" w:rsidRDefault="00C04F3D" w:rsidP="00215AC0">
      <w:pPr>
        <w:spacing w:after="0"/>
        <w:rPr>
          <w:rFonts w:ascii="Arial" w:hAnsi="Arial" w:cs="Arial"/>
          <w:b/>
          <w:noProof/>
          <w:color w:val="AF1685"/>
          <w:sz w:val="28"/>
          <w:szCs w:val="28"/>
        </w:rPr>
      </w:pPr>
      <w:r w:rsidRPr="00720ECD">
        <w:rPr>
          <w:noProof/>
          <w:lang w:eastAsia="en-GB"/>
        </w:rPr>
        <w:drawing>
          <wp:inline distT="0" distB="0" distL="0" distR="0" wp14:anchorId="00A2C824" wp14:editId="53B09398">
            <wp:extent cx="1543538" cy="457200"/>
            <wp:effectExtent l="0" t="0" r="0" b="0"/>
            <wp:docPr id="5" name="Picture 5" title="Alasdair Macdonal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4687" cy="460502"/>
                    </a:xfrm>
                    <a:prstGeom prst="rect">
                      <a:avLst/>
                    </a:prstGeom>
                    <a:noFill/>
                    <a:ln>
                      <a:noFill/>
                    </a:ln>
                  </pic:spPr>
                </pic:pic>
              </a:graphicData>
            </a:graphic>
          </wp:inline>
        </w:drawing>
      </w:r>
    </w:p>
    <w:p w14:paraId="0D693E76" w14:textId="29DE53F7" w:rsidR="003F5E05" w:rsidRDefault="0028167E" w:rsidP="00215AC0">
      <w:pPr>
        <w:spacing w:after="0"/>
        <w:rPr>
          <w:rFonts w:ascii="Arial" w:hAnsi="Arial" w:cs="Arial"/>
          <w:b/>
          <w:noProof/>
          <w:color w:val="AF1685"/>
          <w:sz w:val="28"/>
          <w:szCs w:val="28"/>
        </w:rPr>
      </w:pPr>
      <w:r>
        <w:rPr>
          <w:rFonts w:ascii="Arial" w:hAnsi="Arial" w:cs="Arial"/>
          <w:b/>
          <w:noProof/>
          <w:color w:val="AF1685"/>
          <w:sz w:val="28"/>
          <w:szCs w:val="28"/>
        </w:rPr>
        <w:t>Alasdair Macdonald</w:t>
      </w:r>
      <w:bookmarkStart w:id="0" w:name="_GoBack"/>
      <w:bookmarkEnd w:id="0"/>
    </w:p>
    <w:p w14:paraId="514805B1" w14:textId="77777777" w:rsidR="0028167E" w:rsidRDefault="0028167E" w:rsidP="00215AC0">
      <w:pPr>
        <w:spacing w:after="0"/>
        <w:rPr>
          <w:rFonts w:ascii="Arial" w:hAnsi="Arial" w:cs="Arial"/>
          <w:b/>
          <w:noProof/>
          <w:color w:val="AF1685"/>
          <w:sz w:val="28"/>
          <w:szCs w:val="28"/>
        </w:rPr>
      </w:pPr>
    </w:p>
    <w:p w14:paraId="39193D17" w14:textId="70CCA2F8" w:rsidR="00215AC0" w:rsidRDefault="0028167E" w:rsidP="00215AC0">
      <w:pPr>
        <w:spacing w:after="0"/>
        <w:rPr>
          <w:rFonts w:ascii="Arial" w:hAnsi="Arial" w:cs="Arial"/>
          <w:noProof/>
          <w:color w:val="505759"/>
          <w:sz w:val="28"/>
          <w:szCs w:val="28"/>
        </w:rPr>
      </w:pPr>
      <w:r>
        <w:rPr>
          <w:rFonts w:ascii="Arial" w:hAnsi="Arial" w:cs="Arial"/>
          <w:noProof/>
          <w:color w:val="505759"/>
          <w:sz w:val="28"/>
          <w:szCs w:val="28"/>
        </w:rPr>
        <w:t>Director of Policy</w:t>
      </w:r>
    </w:p>
    <w:p w14:paraId="184978A5" w14:textId="77777777" w:rsidR="00215AC0" w:rsidRDefault="00215AC0" w:rsidP="00215AC0">
      <w:pPr>
        <w:spacing w:after="0" w:line="360" w:lineRule="auto"/>
        <w:rPr>
          <w:rFonts w:ascii="Arial" w:eastAsiaTheme="minorEastAsia" w:hAnsi="Arial" w:cs="Arial"/>
          <w:noProof/>
          <w:color w:val="505759"/>
          <w:sz w:val="28"/>
          <w:szCs w:val="28"/>
          <w:lang w:eastAsia="en-GB"/>
        </w:rPr>
      </w:pPr>
      <w:r>
        <w:rPr>
          <w:rFonts w:ascii="Arial" w:eastAsiaTheme="minorEastAsia" w:hAnsi="Arial" w:cs="Arial"/>
          <w:noProof/>
          <w:color w:val="505759"/>
          <w:sz w:val="28"/>
          <w:szCs w:val="28"/>
          <w:lang w:eastAsia="en-GB"/>
        </w:rPr>
        <w:t>Fleetbank House, 2-6 Salisbury Square, London, EC4 8JX</w:t>
      </w:r>
    </w:p>
    <w:p w14:paraId="55A60AE3" w14:textId="77777777" w:rsidR="00215AC0" w:rsidRDefault="00215AC0" w:rsidP="00215AC0">
      <w:pPr>
        <w:spacing w:after="0" w:line="360" w:lineRule="auto"/>
        <w:rPr>
          <w:rFonts w:ascii="Arial" w:eastAsiaTheme="minorEastAsia" w:hAnsi="Arial" w:cs="Arial"/>
          <w:noProof/>
          <w:color w:val="505759"/>
          <w:sz w:val="28"/>
          <w:szCs w:val="28"/>
          <w:lang w:eastAsia="en-GB"/>
        </w:rPr>
      </w:pPr>
    </w:p>
    <w:p w14:paraId="66B0867F" w14:textId="77777777" w:rsidR="00B57175" w:rsidRPr="005A1E2D" w:rsidRDefault="00B57175" w:rsidP="00176E11">
      <w:pPr>
        <w:spacing w:line="240" w:lineRule="auto"/>
        <w:rPr>
          <w:rFonts w:ascii="Arial" w:hAnsi="Arial" w:cs="Arial"/>
          <w:sz w:val="28"/>
          <w:szCs w:val="28"/>
        </w:rPr>
      </w:pPr>
    </w:p>
    <w:sectPr w:rsidR="00B57175" w:rsidRPr="005A1E2D" w:rsidSect="00C414F9">
      <w:type w:val="continuous"/>
      <w:pgSz w:w="11906" w:h="16838"/>
      <w:pgMar w:top="2097" w:right="991" w:bottom="1134" w:left="993" w:header="426"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599F" w14:textId="77777777" w:rsidR="00280A4E" w:rsidRDefault="00280A4E" w:rsidP="00BA189E">
      <w:pPr>
        <w:spacing w:after="0" w:line="240" w:lineRule="auto"/>
      </w:pPr>
      <w:r>
        <w:separator/>
      </w:r>
    </w:p>
  </w:endnote>
  <w:endnote w:type="continuationSeparator" w:id="0">
    <w:p w14:paraId="540FE1D5" w14:textId="77777777" w:rsidR="00280A4E" w:rsidRDefault="00280A4E" w:rsidP="00B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6A2" w14:textId="00B965E0" w:rsidR="0053044D" w:rsidRDefault="00CA1375" w:rsidP="002A48D6">
    <w:pPr>
      <w:pStyle w:val="Footer"/>
      <w:rPr>
        <w:noProof/>
        <w:lang w:eastAsia="en-GB"/>
      </w:rPr>
    </w:pPr>
    <w:r>
      <w:rPr>
        <w:noProof/>
        <w:lang w:eastAsia="en-GB"/>
      </w:rPr>
      <mc:AlternateContent>
        <mc:Choice Requires="wps">
          <w:drawing>
            <wp:inline distT="0" distB="0" distL="0" distR="0" wp14:anchorId="64F154C5" wp14:editId="194DE55B">
              <wp:extent cx="6260465" cy="635"/>
              <wp:effectExtent l="0" t="19050" r="6985" b="18415"/>
              <wp:docPr id="1" name="Straight Connector 2" descr="A bold pink line, separating the body copy from the address block at the bottom of the page." title="Pink separat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0465" cy="635"/>
                      </a:xfrm>
                      <a:prstGeom prst="line">
                        <a:avLst/>
                      </a:prstGeom>
                      <a:noFill/>
                      <a:ln w="28575" cap="flat" cmpd="sng" algn="ctr">
                        <a:solidFill>
                          <a:srgbClr val="AF1685">
                            <a:shade val="95000"/>
                            <a:satMod val="105000"/>
                          </a:srgbClr>
                        </a:solidFill>
                        <a:prstDash val="solid"/>
                      </a:ln>
                      <a:effectLst/>
                    </wps:spPr>
                    <wps:bodyPr/>
                  </wps:wsp>
                </a:graphicData>
              </a:graphic>
            </wp:inline>
          </w:drawing>
        </mc:Choice>
        <mc:Fallback>
          <w:pict>
            <v:line w14:anchorId="5D0FB6D2" id="Straight Connector 2" o:spid="_x0000_s1026" alt="Title: Pink separating line - Description: A bold pink line, separating the body copy from the address block at the bottom of the page." style="visibility:visible;mso-wrap-style:square;mso-left-percent:-10001;mso-top-percent:-10001;mso-position-horizontal:absolute;mso-position-horizontal-relative:char;mso-position-vertical:absolute;mso-position-vertical-relative:line;mso-left-percent:-10001;mso-top-percent:-10001" from="0,0" to="49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9mJwIAADcEAAAOAAAAZHJzL2Uyb0RvYy54bWysU9uO0zAQfUfiH0Z+hiYttJSo6WrVqrws&#10;bKXCB0xtJ7HWsS3b9PL3jJ102YU3xIvluR3PnDNe3V16DSfpg7KmZtNJyUAaboUybc1+fN+9XzII&#10;EY1AbY2s2VUGdrd++2Z1dpWc2c5qIT0QiAnV2dWsi9FVRRF4J3sME+ukoWBjfY+RTN8WwuOZ0Htd&#10;zMpyUZytF85bLkMg73YIsnXGbxrJ42PTBBlB14x6i/n0+Tyms1ivsGo9uk7xsQ38hy56VIYefYba&#10;YkT46dVfUL3i3gbbxAm3fWGbRnGZZ6BppuUf0xw6dDLPQuQE90xT+H+w/Ntp70EJ0o6BwZ4kOkSP&#10;qu0ibKwxRKD1MGMgZODE2z0cSTJwyjyBVka+gyAdeoxEPsROUlhcgVt3hcbbPrtQCE/ywFFb/gQY&#10;x7wYKW6bbDls5YTkUVFTB/uE/gI3PZSUOrtQUcMbs/eJa34xB/dAmIFixatgMoIb0i6N71M6kQ2X&#10;rPz1WXl5icDJuZgtyo+LOQNOscWHeXqtwOpW6nyIXyS1my41y/0kSDw9hDik3lKS29id0pr8WGkD&#10;55rNlvNPCRxpwxuNka69I86DaRmgbunr8OjzAgWrlUjlqTr49rjRHk5I63u/my6W8yGpQyEH7+d5&#10;WY5rHDB+tWJwT8ubn8YYYfJIr/BT01sM3VCTQ+Pk2qT3Zf5B44y/OU23pPPe34in7czo409K6//S&#10;pvvL/77+BQAA//8DAFBLAwQUAAYACAAAACEAQHKWJtcAAAACAQAADwAAAGRycy9kb3ducmV2Lnht&#10;bEyPwU7DMBBE70j8g7VI3KgDBdSmcSqEVHHiQMsHbONtHDVeR7HTJH/PlgtcRlrNaOZtsZ18qy7U&#10;xyawgcdFBoq4Crbh2sD3YfewAhUTssU2MBmYKcK2vL0pMLdh5C+67FOtpIRjjgZcSl2udawceYyL&#10;0BGLdwq9xyRnX2vb4yjlvtVPWfaqPTYsCw47endUnfeDNzDaMC/xU388u129zMZhwtPsjLm/m942&#10;oBJN6S8MV3xBh1KYjmFgG1VrQB5JvyreevWyBnW8hnRZ6P/o5Q8AAAD//wMAUEsBAi0AFAAGAAgA&#10;AAAhALaDOJL+AAAA4QEAABMAAAAAAAAAAAAAAAAAAAAAAFtDb250ZW50X1R5cGVzXS54bWxQSwEC&#10;LQAUAAYACAAAACEAOP0h/9YAAACUAQAACwAAAAAAAAAAAAAAAAAvAQAAX3JlbHMvLnJlbHNQSwEC&#10;LQAUAAYACAAAACEALcA/ZicCAAA3BAAADgAAAAAAAAAAAAAAAAAuAgAAZHJzL2Uyb0RvYy54bWxQ&#10;SwECLQAUAAYACAAAACEAQHKWJtcAAAACAQAADwAAAAAAAAAAAAAAAACBBAAAZHJzL2Rvd25yZXYu&#10;eG1sUEsFBgAAAAAEAAQA8wAAAIUFAAAAAA==&#10;" strokecolor="#af1184" strokeweight="2.25pt">
              <o:lock v:ext="edit" shapetype="f"/>
              <w10:anchorlock/>
            </v:line>
          </w:pict>
        </mc:Fallback>
      </mc:AlternateContent>
    </w:r>
  </w:p>
  <w:p w14:paraId="503FF7DE" w14:textId="77777777" w:rsidR="00BA189E" w:rsidRDefault="00BA189E" w:rsidP="0053044D">
    <w:pPr>
      <w:pStyle w:val="Footer"/>
      <w:ind w:left="-142"/>
      <w:rPr>
        <w:noProof/>
        <w:lang w:eastAsia="en-GB"/>
      </w:rPr>
    </w:pPr>
  </w:p>
  <w:p w14:paraId="4114D285" w14:textId="77777777" w:rsidR="00B957B3" w:rsidRDefault="0053044D" w:rsidP="00DA72E4">
    <w:pPr>
      <w:pStyle w:val="NoSpacing"/>
      <w:spacing w:line="360" w:lineRule="auto"/>
      <w:rPr>
        <w:rFonts w:ascii="Arial" w:hAnsi="Arial" w:cs="Arial"/>
        <w:color w:val="505759"/>
        <w:sz w:val="24"/>
      </w:rPr>
    </w:pPr>
    <w:r w:rsidRPr="00222967">
      <w:rPr>
        <w:rFonts w:ascii="Arial" w:hAnsi="Arial" w:cs="Arial"/>
        <w:b/>
        <w:color w:val="505759"/>
        <w:sz w:val="24"/>
      </w:rPr>
      <w:t>Tel:</w:t>
    </w:r>
    <w:r w:rsidRPr="00222967">
      <w:rPr>
        <w:rFonts w:ascii="Arial" w:hAnsi="Arial" w:cs="Arial"/>
        <w:color w:val="505759"/>
        <w:sz w:val="24"/>
      </w:rPr>
      <w:t xml:space="preserve"> </w:t>
    </w:r>
    <w:r w:rsidR="001364A8" w:rsidRPr="00CD2F93">
      <w:rPr>
        <w:rFonts w:ascii="Arial" w:hAnsi="Arial" w:cs="Arial"/>
        <w:color w:val="505759"/>
        <w:sz w:val="24"/>
      </w:rPr>
      <w:t>020</w:t>
    </w:r>
    <w:r w:rsidR="006F37EE">
      <w:rPr>
        <w:rFonts w:ascii="Arial" w:hAnsi="Arial" w:cs="Arial"/>
        <w:color w:val="505759"/>
        <w:sz w:val="24"/>
      </w:rPr>
      <w:t xml:space="preserve"> </w:t>
    </w:r>
    <w:r w:rsidR="001364A8" w:rsidRPr="00CD2F93">
      <w:rPr>
        <w:rFonts w:ascii="Arial" w:hAnsi="Arial" w:cs="Arial"/>
        <w:color w:val="505759"/>
        <w:sz w:val="24"/>
      </w:rPr>
      <w:t>7832 7800</w:t>
    </w:r>
    <w:r w:rsidRPr="00222967">
      <w:rPr>
        <w:rFonts w:ascii="Arial" w:hAnsi="Arial" w:cs="Arial"/>
        <w:color w:val="505759"/>
        <w:sz w:val="24"/>
      </w:rPr>
      <w:t xml:space="preserve"> | </w:t>
    </w:r>
    <w:r w:rsidRPr="00222967">
      <w:rPr>
        <w:rFonts w:ascii="Arial" w:hAnsi="Arial" w:cs="Arial"/>
        <w:b/>
        <w:color w:val="505759"/>
        <w:sz w:val="24"/>
      </w:rPr>
      <w:t>Email:</w:t>
    </w:r>
    <w:r w:rsidRPr="00222967">
      <w:rPr>
        <w:rFonts w:ascii="Arial" w:hAnsi="Arial" w:cs="Arial"/>
        <w:color w:val="505759"/>
        <w:sz w:val="24"/>
      </w:rPr>
      <w:t xml:space="preserve"> correspondence@equalityhumanrights.com</w:t>
    </w:r>
    <w:r w:rsidR="00DA72E4" w:rsidRPr="00DA72E4">
      <w:rPr>
        <w:rFonts w:ascii="Arial" w:hAnsi="Arial" w:cs="Arial"/>
        <w:color w:val="505759"/>
        <w:sz w:val="24"/>
      </w:rPr>
      <w:t xml:space="preserve"> </w:t>
    </w:r>
  </w:p>
  <w:p w14:paraId="56DD0E1C" w14:textId="77777777" w:rsidR="00DA72E4" w:rsidRPr="00222967" w:rsidRDefault="00DA72E4" w:rsidP="00DA72E4">
    <w:pPr>
      <w:pStyle w:val="NoSpacing"/>
      <w:spacing w:line="360" w:lineRule="auto"/>
      <w:rPr>
        <w:rFonts w:ascii="Arial" w:hAnsi="Arial" w:cs="Arial"/>
        <w:color w:val="505759"/>
        <w:sz w:val="24"/>
      </w:rPr>
    </w:pPr>
    <w:proofErr w:type="spellStart"/>
    <w:r w:rsidRPr="00CD2F93">
      <w:rPr>
        <w:rFonts w:ascii="Arial" w:hAnsi="Arial" w:cs="Arial"/>
        <w:color w:val="505759"/>
        <w:sz w:val="24"/>
      </w:rPr>
      <w:t>Fleetbank</w:t>
    </w:r>
    <w:proofErr w:type="spellEnd"/>
    <w:r w:rsidRPr="00CD2F93">
      <w:rPr>
        <w:rFonts w:ascii="Arial" w:hAnsi="Arial" w:cs="Arial"/>
        <w:color w:val="505759"/>
        <w:sz w:val="24"/>
      </w:rPr>
      <w:t xml:space="preserve"> House, 2-6 Salisbury Square, London, EC4Y 8JX</w:t>
    </w:r>
  </w:p>
  <w:p w14:paraId="7973212F" w14:textId="77777777" w:rsidR="00DA72E4" w:rsidRPr="00222967" w:rsidRDefault="00DA72E4" w:rsidP="00DA72E4">
    <w:pPr>
      <w:pStyle w:val="NoSpacing"/>
      <w:spacing w:line="360" w:lineRule="auto"/>
      <w:rPr>
        <w:rFonts w:ascii="Arial" w:hAnsi="Arial" w:cs="Arial"/>
        <w:noProof/>
        <w:color w:val="505759"/>
        <w:sz w:val="24"/>
        <w:lang w:eastAsia="en-GB"/>
      </w:rPr>
    </w:pPr>
    <w:r w:rsidRPr="007D6DFB">
      <w:rPr>
        <w:rFonts w:ascii="Arial" w:hAnsi="Arial" w:cs="Arial"/>
        <w:color w:val="505759"/>
        <w:sz w:val="24"/>
      </w:rPr>
      <w:t>www.equalityhumanrights.com</w:t>
    </w:r>
    <w:r>
      <w:rPr>
        <w:rFonts w:ascii="Arial" w:hAnsi="Arial" w:cs="Arial"/>
        <w:color w:val="505759"/>
        <w:sz w:val="24"/>
      </w:rPr>
      <w:t xml:space="preserve"> </w:t>
    </w:r>
  </w:p>
  <w:p w14:paraId="50CD002F" w14:textId="66904BE1" w:rsidR="0053044D" w:rsidRPr="00222967" w:rsidRDefault="00CA1375" w:rsidP="00DA72E4">
    <w:pPr>
      <w:pStyle w:val="NoSpacing"/>
      <w:tabs>
        <w:tab w:val="left" w:pos="3623"/>
        <w:tab w:val="left" w:pos="7029"/>
      </w:tabs>
      <w:spacing w:line="360" w:lineRule="auto"/>
      <w:rPr>
        <w:rFonts w:ascii="Arial" w:hAnsi="Arial" w:cs="Arial"/>
        <w:noProof/>
        <w:color w:val="505759"/>
        <w:sz w:val="24"/>
        <w:lang w:eastAsia="en-GB"/>
      </w:rPr>
    </w:pPr>
    <w:r w:rsidRPr="000B338D">
      <w:rPr>
        <w:noProof/>
        <w:color w:val="505759"/>
        <w:sz w:val="24"/>
        <w:lang w:eastAsia="en-GB"/>
      </w:rPr>
      <w:drawing>
        <wp:inline distT="0" distB="0" distL="0" distR="0" wp14:anchorId="5C649B17" wp14:editId="1A9EA2B1">
          <wp:extent cx="1781175" cy="438150"/>
          <wp:effectExtent l="0" t="0" r="0" b="0"/>
          <wp:docPr id="3" name="Picture 10" descr="Twitter logo (bird icon), Facebook logo (letter 'f') and LinkedIn logo ('in')" title="Social media logos: Twitter, Facebook and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itter logo (bird icon), Facebook logo (letter 'f') and LinkedIn logo ('in')" title="Social media logos: Twitter, Facebook and LinkedIn"/>
                  <pic:cNvPicPr/>
                </pic:nvPicPr>
                <pic:blipFill rotWithShape="1">
                  <a:blip r:embed="rId1" cstate="print">
                    <a:extLst>
                      <a:ext uri="{28A0092B-C50C-407E-A947-70E740481C1C}">
                        <a14:useLocalDpi xmlns:a14="http://schemas.microsoft.com/office/drawing/2010/main" val="0"/>
                      </a:ext>
                    </a:extLst>
                  </a:blip>
                  <a:srcRect l="30024" t="41334" r="53472" b="28000"/>
                  <a:stretch/>
                </pic:blipFill>
                <pic:spPr bwMode="auto">
                  <a:xfrm>
                    <a:off x="0" y="0"/>
                    <a:ext cx="1781175" cy="438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2181" w14:textId="77777777" w:rsidR="00280A4E" w:rsidRDefault="00280A4E" w:rsidP="00BA189E">
      <w:pPr>
        <w:spacing w:after="0" w:line="240" w:lineRule="auto"/>
      </w:pPr>
      <w:r>
        <w:separator/>
      </w:r>
    </w:p>
  </w:footnote>
  <w:footnote w:type="continuationSeparator" w:id="0">
    <w:p w14:paraId="48EE7978" w14:textId="77777777" w:rsidR="00280A4E" w:rsidRDefault="00280A4E" w:rsidP="00BA189E">
      <w:pPr>
        <w:spacing w:after="0" w:line="240" w:lineRule="auto"/>
      </w:pPr>
      <w:r>
        <w:continuationSeparator/>
      </w:r>
    </w:p>
  </w:footnote>
  <w:footnote w:id="1">
    <w:p w14:paraId="04AA3664"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We use the term ‘survivor’ where possible but use the term ‘victim’ where referring to or discussing the Domestic Abuse Bill and/or the Council of Europe Convention on preventing and combating violence against women and domestic violence (the Istanbul Convention) since this is the term used in those documents. </w:t>
      </w:r>
    </w:p>
  </w:footnote>
  <w:footnote w:id="2">
    <w:p w14:paraId="10F54F3B"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Schedule 1 of the Human Rights Act 1998 sets out the articles from the European Convention on Human Rights incorporated into domestic law by the Act.</w:t>
      </w:r>
    </w:p>
  </w:footnote>
  <w:footnote w:id="3">
    <w:p w14:paraId="2DED470D" w14:textId="04FFB9A1" w:rsidR="00C414F9" w:rsidRDefault="00C414F9" w:rsidP="00C414F9">
      <w:pPr>
        <w:pStyle w:val="FootnoteText"/>
      </w:pPr>
      <w:r w:rsidRPr="007352C8">
        <w:rPr>
          <w:rStyle w:val="FootnoteReference"/>
          <w:rFonts w:asciiTheme="minorBidi" w:hAnsiTheme="minorBidi" w:cstheme="minorBidi"/>
        </w:rPr>
        <w:footnoteRef/>
      </w:r>
      <w:r w:rsidRPr="007352C8">
        <w:rPr>
          <w:rFonts w:asciiTheme="minorBidi" w:hAnsiTheme="minorBidi" w:cstheme="minorBidi"/>
        </w:rPr>
        <w:t xml:space="preserve"> </w:t>
      </w:r>
      <w:r w:rsidR="004F6238" w:rsidRPr="007352C8">
        <w:rPr>
          <w:rFonts w:asciiTheme="minorBidi" w:hAnsiTheme="minorBidi" w:cstheme="minorBidi"/>
        </w:rPr>
        <w:t xml:space="preserve">As noted by the </w:t>
      </w:r>
      <w:r w:rsidRPr="007352C8">
        <w:rPr>
          <w:rFonts w:asciiTheme="minorBidi" w:hAnsiTheme="minorBidi" w:cstheme="minorBidi"/>
        </w:rPr>
        <w:t xml:space="preserve">JCHR, </w:t>
      </w:r>
      <w:hyperlink r:id="rId1" w:history="1">
        <w:r w:rsidRPr="007352C8">
          <w:rPr>
            <w:rStyle w:val="Hyperlink"/>
            <w:rFonts w:asciiTheme="minorBidi" w:hAnsiTheme="minorBidi" w:cstheme="minorBidi"/>
          </w:rPr>
          <w:t xml:space="preserve">Letter to Victoria Atkins MP, Parliamentary </w:t>
        </w:r>
        <w:proofErr w:type="gramStart"/>
        <w:r w:rsidRPr="007352C8">
          <w:rPr>
            <w:rStyle w:val="Hyperlink"/>
            <w:rFonts w:asciiTheme="minorBidi" w:hAnsiTheme="minorBidi" w:cstheme="minorBidi"/>
          </w:rPr>
          <w:t>Under</w:t>
        </w:r>
        <w:proofErr w:type="gramEnd"/>
        <w:r w:rsidRPr="007352C8">
          <w:rPr>
            <w:rStyle w:val="Hyperlink"/>
            <w:rFonts w:asciiTheme="minorBidi" w:hAnsiTheme="minorBidi" w:cstheme="minorBidi"/>
          </w:rPr>
          <w:t xml:space="preserve"> Secretary of State Home Office and Edward </w:t>
        </w:r>
        <w:proofErr w:type="spellStart"/>
        <w:r w:rsidRPr="007352C8">
          <w:rPr>
            <w:rStyle w:val="Hyperlink"/>
            <w:rFonts w:asciiTheme="minorBidi" w:hAnsiTheme="minorBidi" w:cstheme="minorBidi"/>
          </w:rPr>
          <w:t>Argar</w:t>
        </w:r>
        <w:proofErr w:type="spellEnd"/>
        <w:r w:rsidRPr="007352C8">
          <w:rPr>
            <w:rStyle w:val="Hyperlink"/>
            <w:rFonts w:asciiTheme="minorBidi" w:hAnsiTheme="minorBidi" w:cstheme="minorBidi"/>
          </w:rPr>
          <w:t xml:space="preserve"> MP, Parliamentary Under Secretary of State MOJ</w:t>
        </w:r>
      </w:hyperlink>
      <w:r w:rsidRPr="007352C8">
        <w:rPr>
          <w:rFonts w:asciiTheme="minorBidi" w:hAnsiTheme="minorBidi" w:cstheme="minorBidi"/>
        </w:rPr>
        <w:t>, 10 April 2019.</w:t>
      </w:r>
    </w:p>
  </w:footnote>
  <w:footnote w:id="4">
    <w:p w14:paraId="02CB958B"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Section 75, </w:t>
      </w:r>
      <w:hyperlink r:id="rId2" w:history="1">
        <w:r w:rsidRPr="007352C8">
          <w:rPr>
            <w:rStyle w:val="Hyperlink"/>
            <w:rFonts w:asciiTheme="minorBidi" w:hAnsiTheme="minorBidi" w:cstheme="minorBidi"/>
          </w:rPr>
          <w:t>Domestic Abuse Bill.</w:t>
        </w:r>
      </w:hyperlink>
    </w:p>
  </w:footnote>
  <w:footnote w:id="5">
    <w:p w14:paraId="5734A47A"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w:t>
      </w:r>
      <w:hyperlink r:id="rId3" w:history="1">
        <w:r w:rsidRPr="007352C8">
          <w:rPr>
            <w:rStyle w:val="Hyperlink"/>
            <w:rFonts w:asciiTheme="minorBidi" w:hAnsiTheme="minorBidi" w:cstheme="minorBidi"/>
          </w:rPr>
          <w:t>All-Party Parliamentary Group on Domestic Violence, Domestic Abuse, Child Contact and the Family Courts, 2016</w:t>
        </w:r>
      </w:hyperlink>
      <w:r w:rsidRPr="007352C8">
        <w:rPr>
          <w:rFonts w:asciiTheme="minorBidi" w:hAnsiTheme="minorBidi" w:cstheme="minorBidi"/>
        </w:rPr>
        <w:t xml:space="preserve">, p 4; and </w:t>
      </w:r>
      <w:hyperlink r:id="rId4" w:history="1">
        <w:r w:rsidRPr="007352C8">
          <w:rPr>
            <w:rStyle w:val="Hyperlink"/>
            <w:rFonts w:asciiTheme="minorBidi" w:hAnsiTheme="minorBidi" w:cstheme="minorBidi"/>
          </w:rPr>
          <w:t>House of Commons Home Affairs Committee, Domestic Abuse: Government Response to the Committee’s Ninth Report of Session 2017–19, 7 May 2019, HC 2172 of session 2017–19</w:t>
        </w:r>
      </w:hyperlink>
      <w:r w:rsidRPr="007352C8">
        <w:rPr>
          <w:rFonts w:asciiTheme="minorBidi" w:hAnsiTheme="minorBidi" w:cstheme="minorBidi"/>
        </w:rPr>
        <w:t>, p 7.</w:t>
      </w:r>
    </w:p>
  </w:footnote>
  <w:footnote w:id="6">
    <w:p w14:paraId="1996B1E5"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Rights of Women, Written Evidence to the Joint Committee on Human Rights on the draft Domestic Violence and Abuse Bill, 15 February 2019, para 3. </w:t>
      </w:r>
    </w:p>
  </w:footnote>
  <w:footnote w:id="7">
    <w:p w14:paraId="453352F1"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Women’s Aid, “</w:t>
      </w:r>
      <w:hyperlink r:id="rId5" w:history="1">
        <w:r w:rsidRPr="007352C8">
          <w:rPr>
            <w:rStyle w:val="Hyperlink"/>
            <w:rFonts w:asciiTheme="minorBidi" w:hAnsiTheme="minorBidi" w:cstheme="minorBidi"/>
          </w:rPr>
          <w:t>What about my right not to be abused? Domestic abuse, human rights and the family courts</w:t>
        </w:r>
      </w:hyperlink>
      <w:r w:rsidRPr="007352C8">
        <w:rPr>
          <w:rFonts w:asciiTheme="minorBidi" w:hAnsiTheme="minorBidi" w:cstheme="minorBidi"/>
        </w:rPr>
        <w:t>”, 2018.</w:t>
      </w:r>
    </w:p>
  </w:footnote>
  <w:footnote w:id="8">
    <w:p w14:paraId="5D01BC98" w14:textId="4DE837C6" w:rsidR="00C414F9" w:rsidRDefault="00C414F9" w:rsidP="00C414F9">
      <w:pPr>
        <w:pStyle w:val="FootnoteText"/>
      </w:pPr>
      <w:r w:rsidRPr="007352C8">
        <w:rPr>
          <w:rStyle w:val="FootnoteReference"/>
          <w:rFonts w:asciiTheme="minorBidi" w:hAnsiTheme="minorBidi" w:cstheme="minorBidi"/>
        </w:rPr>
        <w:footnoteRef/>
      </w:r>
      <w:r w:rsidRPr="007352C8">
        <w:rPr>
          <w:rFonts w:asciiTheme="minorBidi" w:hAnsiTheme="minorBidi" w:cstheme="minorBidi"/>
        </w:rPr>
        <w:t xml:space="preserve"> ‘Insights refuge England and Wales dataset 2015-18: Adult refuge services’ </w:t>
      </w:r>
      <w:proofErr w:type="spellStart"/>
      <w:r w:rsidRPr="007352C8">
        <w:rPr>
          <w:rFonts w:asciiTheme="minorBidi" w:hAnsiTheme="minorBidi" w:cstheme="minorBidi"/>
        </w:rPr>
        <w:t>Safelives</w:t>
      </w:r>
      <w:proofErr w:type="spellEnd"/>
      <w:r w:rsidRPr="007352C8">
        <w:rPr>
          <w:rFonts w:asciiTheme="minorBidi" w:hAnsiTheme="minorBidi" w:cstheme="minorBidi"/>
        </w:rPr>
        <w:t xml:space="preserve"> (2018), p.18, as quoted in Rights of Women, Written Evidence to the Joint Committee on Human Rights on the draft Domestic Violence and Abuse Bill, 15 February 2019, para 10.</w:t>
      </w:r>
      <w:r>
        <w:t xml:space="preserve"> </w:t>
      </w:r>
    </w:p>
  </w:footnote>
  <w:footnote w:id="9">
    <w:p w14:paraId="26ACF347" w14:textId="77777777" w:rsidR="00C414F9" w:rsidRPr="007352C8" w:rsidRDefault="00C414F9" w:rsidP="00C414F9">
      <w:pPr>
        <w:pStyle w:val="FootnoteText"/>
        <w:rPr>
          <w:rStyle w:val="Hyperlink"/>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N. E. Corbett and A. Summerfield, </w:t>
      </w:r>
      <w:r w:rsidRPr="007352C8">
        <w:rPr>
          <w:rFonts w:asciiTheme="minorBidi" w:hAnsiTheme="minorBidi" w:cstheme="minorBidi"/>
        </w:rPr>
        <w:fldChar w:fldCharType="begin"/>
      </w:r>
      <w:r w:rsidRPr="007352C8">
        <w:rPr>
          <w:rFonts w:asciiTheme="minorBidi" w:hAnsiTheme="minorBidi" w:cstheme="minorBidi"/>
        </w:rPr>
        <w:instrText xml:space="preserve"> HYPERLINK "https://assets.publishing.service.gov.uk/government/uploads/system/uploads/attachment_data/file/592873/alleged-perpetrators-of-abuse-as-litigants-in-person.PDF" </w:instrText>
      </w:r>
      <w:r w:rsidRPr="007352C8">
        <w:rPr>
          <w:rFonts w:asciiTheme="minorBidi" w:hAnsiTheme="minorBidi" w:cstheme="minorBidi"/>
        </w:rPr>
        <w:fldChar w:fldCharType="separate"/>
      </w:r>
      <w:r w:rsidRPr="007352C8">
        <w:rPr>
          <w:rStyle w:val="Hyperlink"/>
          <w:rFonts w:asciiTheme="minorBidi" w:hAnsiTheme="minorBidi" w:cstheme="minorBidi"/>
        </w:rPr>
        <w:t>Alleged perpetrators of abuse as litigants in person in private family</w:t>
      </w:r>
    </w:p>
    <w:p w14:paraId="53FDBF63" w14:textId="77777777" w:rsidR="00C414F9" w:rsidRPr="007352C8" w:rsidRDefault="00C414F9" w:rsidP="00C414F9">
      <w:pPr>
        <w:pStyle w:val="FootnoteText"/>
        <w:rPr>
          <w:rFonts w:asciiTheme="minorBidi" w:hAnsiTheme="minorBidi" w:cstheme="minorBidi"/>
        </w:rPr>
      </w:pPr>
      <w:r w:rsidRPr="007352C8">
        <w:rPr>
          <w:rStyle w:val="Hyperlink"/>
          <w:rFonts w:asciiTheme="minorBidi" w:hAnsiTheme="minorBidi" w:cstheme="minorBidi"/>
        </w:rPr>
        <w:t>law: The cross-examination of vulnerable and intimidated witnesses</w:t>
      </w:r>
      <w:r w:rsidRPr="007352C8">
        <w:rPr>
          <w:rFonts w:asciiTheme="minorBidi" w:hAnsiTheme="minorBidi" w:cstheme="minorBidi"/>
        </w:rPr>
        <w:fldChar w:fldCharType="end"/>
      </w:r>
      <w:r w:rsidRPr="007352C8">
        <w:rPr>
          <w:rFonts w:asciiTheme="minorBidi" w:hAnsiTheme="minorBidi" w:cstheme="minorBidi"/>
        </w:rPr>
        <w:t>, Ministry of Justice Analytical Series, 2017, Section 4.1</w:t>
      </w:r>
    </w:p>
  </w:footnote>
  <w:footnote w:id="10">
    <w:p w14:paraId="48A41593" w14:textId="77777777" w:rsidR="00C414F9" w:rsidRDefault="00C414F9" w:rsidP="00C414F9">
      <w:pPr>
        <w:pStyle w:val="FootnoteText"/>
      </w:pPr>
      <w:r w:rsidRPr="007352C8">
        <w:rPr>
          <w:rStyle w:val="FootnoteReference"/>
          <w:rFonts w:asciiTheme="minorBidi" w:hAnsiTheme="minorBidi" w:cstheme="minorBidi"/>
        </w:rPr>
        <w:footnoteRef/>
      </w:r>
      <w:r w:rsidRPr="007352C8">
        <w:rPr>
          <w:rFonts w:asciiTheme="minorBidi" w:hAnsiTheme="minorBidi" w:cstheme="minorBidi"/>
        </w:rPr>
        <w:t xml:space="preserve"> The JCHR also raised this point in its letter of 10 April 2019. See above note 3.</w:t>
      </w:r>
    </w:p>
  </w:footnote>
  <w:footnote w:id="11">
    <w:p w14:paraId="59DC95B9"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Women’s Aid, “</w:t>
      </w:r>
      <w:hyperlink r:id="rId6" w:history="1">
        <w:r w:rsidRPr="007352C8">
          <w:rPr>
            <w:rStyle w:val="Hyperlink"/>
            <w:rFonts w:asciiTheme="minorBidi" w:hAnsiTheme="minorBidi" w:cstheme="minorBidi"/>
          </w:rPr>
          <w:t>What about my right not to be abused? Domestic abuse, human rights and the family courts</w:t>
        </w:r>
      </w:hyperlink>
      <w:r w:rsidRPr="007352C8">
        <w:rPr>
          <w:rFonts w:asciiTheme="minorBidi" w:hAnsiTheme="minorBidi" w:cstheme="minorBidi"/>
        </w:rPr>
        <w:t>”, 2018.</w:t>
      </w:r>
    </w:p>
  </w:footnote>
  <w:footnote w:id="12">
    <w:p w14:paraId="7E68B491"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Ibid.</w:t>
      </w:r>
    </w:p>
  </w:footnote>
  <w:footnote w:id="13">
    <w:p w14:paraId="11E42121"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Ibid, p.28.</w:t>
      </w:r>
    </w:p>
  </w:footnote>
  <w:footnote w:id="14">
    <w:p w14:paraId="77D7AB9A" w14:textId="185A7BD0"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See for example, </w:t>
      </w:r>
      <w:hyperlink r:id="rId7" w:history="1">
        <w:r w:rsidRPr="007352C8">
          <w:rPr>
            <w:rStyle w:val="Hyperlink"/>
            <w:rFonts w:asciiTheme="minorBidi" w:hAnsiTheme="minorBidi" w:cstheme="minorBidi"/>
          </w:rPr>
          <w:t>Cobb J, Review of Practice Direction 12J FPR 2010, Child Arrangement and Contact Orders:  Domestic Violence and Harm, Report to the President of the Family Division, November 2018</w:t>
        </w:r>
      </w:hyperlink>
      <w:r w:rsidRPr="007352C8">
        <w:rPr>
          <w:rFonts w:asciiTheme="minorBidi" w:hAnsiTheme="minorBidi" w:cstheme="minorBidi"/>
        </w:rPr>
        <w:t xml:space="preserve"> (in particular paragraphs 15-18)</w:t>
      </w:r>
      <w:r w:rsidR="00FF4E6A" w:rsidRPr="007352C8">
        <w:rPr>
          <w:rFonts w:asciiTheme="minorBidi" w:hAnsiTheme="minorBidi" w:cstheme="minorBidi"/>
        </w:rPr>
        <w:t>.</w:t>
      </w:r>
    </w:p>
  </w:footnote>
  <w:footnote w:id="15">
    <w:p w14:paraId="27DF3120" w14:textId="77777777" w:rsidR="00C414F9" w:rsidRDefault="00C414F9" w:rsidP="00C414F9">
      <w:pPr>
        <w:pStyle w:val="FootnoteText"/>
      </w:pPr>
      <w:r w:rsidRPr="007352C8">
        <w:rPr>
          <w:rStyle w:val="FootnoteReference"/>
          <w:rFonts w:asciiTheme="minorBidi" w:hAnsiTheme="minorBidi" w:cstheme="minorBidi"/>
        </w:rPr>
        <w:footnoteRef/>
      </w:r>
      <w:r w:rsidRPr="007352C8">
        <w:rPr>
          <w:rFonts w:asciiTheme="minorBidi" w:hAnsiTheme="minorBidi" w:cstheme="minorBidi"/>
        </w:rPr>
        <w:t xml:space="preserve"> Joint Committee on the draft Domestic Abuse Bill, </w:t>
      </w:r>
      <w:hyperlink r:id="rId8" w:history="1">
        <w:r w:rsidRPr="007352C8">
          <w:rPr>
            <w:rStyle w:val="Hyperlink"/>
            <w:rFonts w:asciiTheme="minorBidi" w:hAnsiTheme="minorBidi" w:cstheme="minorBidi"/>
          </w:rPr>
          <w:t>First Report of Session 2017–19</w:t>
        </w:r>
      </w:hyperlink>
      <w:r w:rsidRPr="007352C8">
        <w:rPr>
          <w:rFonts w:asciiTheme="minorBidi" w:hAnsiTheme="minorBidi" w:cstheme="minorBidi"/>
        </w:rPr>
        <w:t>, HL Paper 378, HC 2075, 14 June 2019, para 140.</w:t>
      </w:r>
      <w:r>
        <w:t xml:space="preserve"> </w:t>
      </w:r>
    </w:p>
  </w:footnote>
  <w:footnote w:id="16">
    <w:p w14:paraId="386C6DF8" w14:textId="77777777" w:rsidR="00C414F9" w:rsidRPr="007352C8" w:rsidRDefault="00C414F9" w:rsidP="00C414F9">
      <w:pPr>
        <w:pStyle w:val="FootnoteText"/>
        <w:rPr>
          <w:rFonts w:asciiTheme="minorBidi" w:hAnsiTheme="minorBidi" w:cstheme="minorBidi"/>
        </w:rPr>
      </w:pPr>
      <w:r w:rsidRPr="007352C8">
        <w:rPr>
          <w:rStyle w:val="FootnoteReference"/>
          <w:rFonts w:asciiTheme="minorBidi" w:hAnsiTheme="minorBidi" w:cstheme="minorBidi"/>
        </w:rPr>
        <w:footnoteRef/>
      </w:r>
      <w:r w:rsidRPr="007352C8">
        <w:rPr>
          <w:rFonts w:asciiTheme="minorBidi" w:hAnsiTheme="minorBidi" w:cstheme="minorBidi"/>
        </w:rPr>
        <w:t xml:space="preserve"> Collection of data in this context was also suggested in a letter to then Justice Ministers </w:t>
      </w:r>
      <w:proofErr w:type="spellStart"/>
      <w:proofErr w:type="gramStart"/>
      <w:r w:rsidRPr="007352C8">
        <w:rPr>
          <w:rFonts w:asciiTheme="minorBidi" w:hAnsiTheme="minorBidi" w:cstheme="minorBidi"/>
        </w:rPr>
        <w:t>Rt</w:t>
      </w:r>
      <w:proofErr w:type="spellEnd"/>
      <w:proofErr w:type="gramEnd"/>
      <w:r w:rsidRPr="007352C8">
        <w:rPr>
          <w:rFonts w:asciiTheme="minorBidi" w:hAnsiTheme="minorBidi" w:cstheme="minorBidi"/>
        </w:rPr>
        <w:t xml:space="preserve"> Hon David </w:t>
      </w:r>
      <w:proofErr w:type="spellStart"/>
      <w:r w:rsidRPr="007352C8">
        <w:rPr>
          <w:rFonts w:asciiTheme="minorBidi" w:hAnsiTheme="minorBidi" w:cstheme="minorBidi"/>
        </w:rPr>
        <w:t>Gauke</w:t>
      </w:r>
      <w:proofErr w:type="spellEnd"/>
      <w:r w:rsidRPr="007352C8">
        <w:rPr>
          <w:rFonts w:asciiTheme="minorBidi" w:hAnsiTheme="minorBidi" w:cstheme="minorBidi"/>
        </w:rPr>
        <w:t xml:space="preserve"> MP and Paul Maynard MP by a group of human rights and family law lawyers, see: </w:t>
      </w:r>
      <w:hyperlink r:id="rId9" w:history="1">
        <w:r w:rsidRPr="007352C8">
          <w:rPr>
            <w:rStyle w:val="Hyperlink"/>
            <w:rFonts w:asciiTheme="minorBidi" w:hAnsiTheme="minorBidi" w:cstheme="minorBidi"/>
          </w:rPr>
          <w:t>Family Law Week</w:t>
        </w:r>
      </w:hyperlink>
      <w:r w:rsidRPr="007352C8">
        <w:rPr>
          <w:rFonts w:asciiTheme="minorBidi" w:hAnsiTheme="minorBidi" w:cstheme="minorBidi"/>
        </w:rPr>
        <w:t xml:space="preserve">, 29 May 2019. </w:t>
      </w:r>
    </w:p>
  </w:footnote>
  <w:footnote w:id="17">
    <w:p w14:paraId="2BB539B4" w14:textId="77777777" w:rsidR="00FF3AC4" w:rsidRDefault="00FF3AC4" w:rsidP="00FF3AC4">
      <w:pPr>
        <w:pStyle w:val="FootnoteText"/>
      </w:pPr>
      <w:r w:rsidRPr="007352C8">
        <w:rPr>
          <w:rStyle w:val="FootnoteReference"/>
          <w:rFonts w:asciiTheme="minorBidi" w:hAnsiTheme="minorBidi" w:cstheme="minorBidi"/>
        </w:rPr>
        <w:footnoteRef/>
      </w:r>
      <w:r w:rsidRPr="007352C8">
        <w:rPr>
          <w:rFonts w:asciiTheme="minorBidi" w:hAnsiTheme="minorBidi" w:cstheme="minorBidi"/>
        </w:rPr>
        <w:t xml:space="preserve"> Cobb J, </w:t>
      </w:r>
      <w:hyperlink r:id="rId10" w:history="1">
        <w:r w:rsidRPr="007352C8">
          <w:rPr>
            <w:rStyle w:val="Hyperlink"/>
            <w:rFonts w:asciiTheme="minorBidi" w:hAnsiTheme="minorBidi" w:cstheme="minorBidi"/>
          </w:rPr>
          <w:t>Review of Practice Direction 12J FPR 2010, Child Arrangement and Contact Orders:  Domestic Violence and Harm, Report to the President of the Family Division</w:t>
        </w:r>
      </w:hyperlink>
      <w:r w:rsidRPr="007352C8">
        <w:rPr>
          <w:rFonts w:asciiTheme="minorBidi" w:hAnsiTheme="minorBidi" w:cstheme="minorBidi"/>
        </w:rPr>
        <w:t>, November 2018, para 28.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0679" w14:textId="77777777" w:rsidR="00BA189E" w:rsidRDefault="00CA1375" w:rsidP="0059771F">
    <w:pPr>
      <w:pStyle w:val="Header"/>
    </w:pPr>
    <w:r w:rsidRPr="005C11E9">
      <w:rPr>
        <w:noProof/>
        <w:lang w:eastAsia="en-GB"/>
      </w:rPr>
      <w:drawing>
        <wp:inline distT="0" distB="0" distL="0" distR="0" wp14:anchorId="3B869BD6" wp14:editId="361529CC">
          <wp:extent cx="2324100" cy="838200"/>
          <wp:effectExtent l="0" t="0" r="0" b="0"/>
          <wp:docPr id="2" name="Picture 9" descr="A bold 'equals' (=) symbol in grey, to the left of text saying 'Equality and Human Rights Commission'."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old 'equals' (=) symbol in grey, to the left of text saying 'Equality and Human Rights Commission'." title="Equality and Human Rights Commission logo"/>
                  <pic:cNvPicPr/>
                </pic:nvPicPr>
                <pic:blipFill rotWithShape="1">
                  <a:blip r:embed="rId1" cstate="print">
                    <a:extLst>
                      <a:ext uri="{28A0092B-C50C-407E-A947-70E740481C1C}">
                        <a14:useLocalDpi xmlns:a14="http://schemas.microsoft.com/office/drawing/2010/main" val="0"/>
                      </a:ext>
                    </a:extLst>
                  </a:blip>
                  <a:srcRect r="71870" b="23111"/>
                  <a:stretch/>
                </pic:blipFill>
                <pic:spPr bwMode="auto">
                  <a:xfrm>
                    <a:off x="0" y="0"/>
                    <a:ext cx="232410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AB4D" w14:textId="77777777" w:rsidR="00941EF8" w:rsidRDefault="00CA1375">
    <w:pPr>
      <w:pStyle w:val="Header"/>
    </w:pPr>
    <w:r w:rsidRPr="005C11E9">
      <w:rPr>
        <w:noProof/>
        <w:lang w:eastAsia="en-GB"/>
      </w:rPr>
      <w:drawing>
        <wp:inline distT="0" distB="0" distL="0" distR="0" wp14:anchorId="52D411E7" wp14:editId="2CBFAE33">
          <wp:extent cx="1609725" cy="581025"/>
          <wp:effectExtent l="0" t="0" r="0" b="0"/>
          <wp:docPr id="4" name="Picture 11" descr="Background image: not visibl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image: not visible" title="Background image"/>
                  <pic:cNvPicPr/>
                </pic:nvPicPr>
                <pic:blipFill rotWithShape="1">
                  <a:blip r:embed="rId1" cstate="print">
                    <a:extLst>
                      <a:ext uri="{28A0092B-C50C-407E-A947-70E740481C1C}">
                        <a14:useLocalDpi xmlns:a14="http://schemas.microsoft.com/office/drawing/2010/main" val="0"/>
                      </a:ext>
                    </a:extLst>
                  </a:blip>
                  <a:stretch/>
                </pic:blipFill>
                <pic:spPr bwMode="auto">
                  <a:xfrm>
                    <a:off x="0" y="0"/>
                    <a:ext cx="1609725" cy="581025"/>
                  </a:xfrm>
                  <a:prstGeom prst="rect">
                    <a:avLst/>
                  </a:prstGeom>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7096"/>
      <w:docPartObj>
        <w:docPartGallery w:val="Page Numbers (Top of Page)"/>
        <w:docPartUnique/>
      </w:docPartObj>
    </w:sdtPr>
    <w:sdtEndPr>
      <w:rPr>
        <w:noProof/>
      </w:rPr>
    </w:sdtEndPr>
    <w:sdtContent>
      <w:p w14:paraId="0CEEB212" w14:textId="465EEF7A" w:rsidR="00F06E66" w:rsidRDefault="00F06E66">
        <w:pPr>
          <w:pStyle w:val="Header"/>
          <w:jc w:val="right"/>
        </w:pPr>
        <w:r>
          <w:fldChar w:fldCharType="begin"/>
        </w:r>
        <w:r>
          <w:instrText xml:space="preserve"> PAGE   \* MERGEFORMAT </w:instrText>
        </w:r>
        <w:r>
          <w:fldChar w:fldCharType="separate"/>
        </w:r>
        <w:r w:rsidR="001A0C9F">
          <w:rPr>
            <w:noProof/>
          </w:rPr>
          <w:t>4</w:t>
        </w:r>
        <w:r>
          <w:rPr>
            <w:noProof/>
          </w:rPr>
          <w:fldChar w:fldCharType="end"/>
        </w:r>
      </w:p>
    </w:sdtContent>
  </w:sdt>
  <w:p w14:paraId="5FFF6035" w14:textId="77777777" w:rsidR="00E9639C" w:rsidRDefault="00E9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440"/>
    <w:multiLevelType w:val="hybridMultilevel"/>
    <w:tmpl w:val="1EEC8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3D691C"/>
    <w:multiLevelType w:val="hybridMultilevel"/>
    <w:tmpl w:val="3DE0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D3822"/>
    <w:multiLevelType w:val="hybridMultilevel"/>
    <w:tmpl w:val="4C8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B0C8B"/>
    <w:multiLevelType w:val="hybridMultilevel"/>
    <w:tmpl w:val="D718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D14CE"/>
    <w:multiLevelType w:val="hybridMultilevel"/>
    <w:tmpl w:val="C1FA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D57D69"/>
    <w:multiLevelType w:val="hybridMultilevel"/>
    <w:tmpl w:val="CE5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A0C34"/>
    <w:multiLevelType w:val="hybridMultilevel"/>
    <w:tmpl w:val="0590D83C"/>
    <w:lvl w:ilvl="0" w:tplc="DF22AA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E5854"/>
    <w:multiLevelType w:val="hybridMultilevel"/>
    <w:tmpl w:val="4FE09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2627B"/>
    <w:multiLevelType w:val="hybridMultilevel"/>
    <w:tmpl w:val="C088A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4975E4C"/>
    <w:multiLevelType w:val="hybridMultilevel"/>
    <w:tmpl w:val="A660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C6C62"/>
    <w:multiLevelType w:val="hybridMultilevel"/>
    <w:tmpl w:val="597EAA84"/>
    <w:lvl w:ilvl="0" w:tplc="F160B0F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5"/>
  </w:num>
  <w:num w:numId="6">
    <w:abstractNumId w:val="7"/>
  </w:num>
  <w:num w:numId="7">
    <w:abstractNumId w:val="3"/>
  </w:num>
  <w:num w:numId="8">
    <w:abstractNumId w:val="2"/>
  </w:num>
  <w:num w:numId="9">
    <w:abstractNumId w:val="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9E"/>
    <w:rsid w:val="000454C5"/>
    <w:rsid w:val="0005025F"/>
    <w:rsid w:val="00061DD0"/>
    <w:rsid w:val="00065AEF"/>
    <w:rsid w:val="00071184"/>
    <w:rsid w:val="0007657B"/>
    <w:rsid w:val="0008017B"/>
    <w:rsid w:val="00087895"/>
    <w:rsid w:val="00094DE3"/>
    <w:rsid w:val="000A38A9"/>
    <w:rsid w:val="000B338D"/>
    <w:rsid w:val="000F7397"/>
    <w:rsid w:val="001037C8"/>
    <w:rsid w:val="00124B93"/>
    <w:rsid w:val="001364A8"/>
    <w:rsid w:val="00145934"/>
    <w:rsid w:val="00176E11"/>
    <w:rsid w:val="001915CF"/>
    <w:rsid w:val="001925BE"/>
    <w:rsid w:val="001A0C9F"/>
    <w:rsid w:val="001A17A9"/>
    <w:rsid w:val="001E409A"/>
    <w:rsid w:val="001E68D7"/>
    <w:rsid w:val="001F0F16"/>
    <w:rsid w:val="001F7E1F"/>
    <w:rsid w:val="00213A53"/>
    <w:rsid w:val="00215AC0"/>
    <w:rsid w:val="00222967"/>
    <w:rsid w:val="00235883"/>
    <w:rsid w:val="00245D03"/>
    <w:rsid w:val="00254441"/>
    <w:rsid w:val="00280A4E"/>
    <w:rsid w:val="0028167E"/>
    <w:rsid w:val="002954EE"/>
    <w:rsid w:val="002A48D6"/>
    <w:rsid w:val="002A5684"/>
    <w:rsid w:val="002C1C7B"/>
    <w:rsid w:val="002D122A"/>
    <w:rsid w:val="002D6FA7"/>
    <w:rsid w:val="00300F40"/>
    <w:rsid w:val="003270D9"/>
    <w:rsid w:val="00344C82"/>
    <w:rsid w:val="003B0ACF"/>
    <w:rsid w:val="003D590B"/>
    <w:rsid w:val="003F34A8"/>
    <w:rsid w:val="003F5E05"/>
    <w:rsid w:val="00425230"/>
    <w:rsid w:val="00442AB5"/>
    <w:rsid w:val="00464238"/>
    <w:rsid w:val="004703B5"/>
    <w:rsid w:val="004757F3"/>
    <w:rsid w:val="004A6944"/>
    <w:rsid w:val="004C20F9"/>
    <w:rsid w:val="004E0273"/>
    <w:rsid w:val="004E59BD"/>
    <w:rsid w:val="004F456D"/>
    <w:rsid w:val="004F6238"/>
    <w:rsid w:val="00502125"/>
    <w:rsid w:val="00503F1F"/>
    <w:rsid w:val="0050451F"/>
    <w:rsid w:val="0053044D"/>
    <w:rsid w:val="00532A15"/>
    <w:rsid w:val="00543E76"/>
    <w:rsid w:val="00556657"/>
    <w:rsid w:val="00563E69"/>
    <w:rsid w:val="00573587"/>
    <w:rsid w:val="00574E81"/>
    <w:rsid w:val="0058317F"/>
    <w:rsid w:val="00591DEF"/>
    <w:rsid w:val="0059771F"/>
    <w:rsid w:val="005A1E2D"/>
    <w:rsid w:val="005D1916"/>
    <w:rsid w:val="005D442E"/>
    <w:rsid w:val="005E6537"/>
    <w:rsid w:val="00682B7D"/>
    <w:rsid w:val="006B74D3"/>
    <w:rsid w:val="006C7CBF"/>
    <w:rsid w:val="006F37EE"/>
    <w:rsid w:val="00701FE2"/>
    <w:rsid w:val="00707CDC"/>
    <w:rsid w:val="007352C8"/>
    <w:rsid w:val="00763E21"/>
    <w:rsid w:val="00765140"/>
    <w:rsid w:val="00772948"/>
    <w:rsid w:val="007A6FC3"/>
    <w:rsid w:val="007D2CB2"/>
    <w:rsid w:val="007D6DFB"/>
    <w:rsid w:val="007E6384"/>
    <w:rsid w:val="007E7728"/>
    <w:rsid w:val="008006A0"/>
    <w:rsid w:val="00804541"/>
    <w:rsid w:val="0081263E"/>
    <w:rsid w:val="00815FE1"/>
    <w:rsid w:val="0081731D"/>
    <w:rsid w:val="008430F4"/>
    <w:rsid w:val="00873F4A"/>
    <w:rsid w:val="00887550"/>
    <w:rsid w:val="00887A86"/>
    <w:rsid w:val="00894FF9"/>
    <w:rsid w:val="008C4E17"/>
    <w:rsid w:val="00901502"/>
    <w:rsid w:val="009023D1"/>
    <w:rsid w:val="009066E0"/>
    <w:rsid w:val="00911C22"/>
    <w:rsid w:val="00914D9C"/>
    <w:rsid w:val="00924D80"/>
    <w:rsid w:val="009372A0"/>
    <w:rsid w:val="00941EF8"/>
    <w:rsid w:val="009646EC"/>
    <w:rsid w:val="00975EF6"/>
    <w:rsid w:val="00976D2A"/>
    <w:rsid w:val="00992F91"/>
    <w:rsid w:val="009A27C9"/>
    <w:rsid w:val="009A7823"/>
    <w:rsid w:val="009C06F2"/>
    <w:rsid w:val="009C2888"/>
    <w:rsid w:val="009D24F9"/>
    <w:rsid w:val="00A07919"/>
    <w:rsid w:val="00A43A8B"/>
    <w:rsid w:val="00A54C6C"/>
    <w:rsid w:val="00A70921"/>
    <w:rsid w:val="00AB10A8"/>
    <w:rsid w:val="00B0549E"/>
    <w:rsid w:val="00B13443"/>
    <w:rsid w:val="00B15187"/>
    <w:rsid w:val="00B26BD2"/>
    <w:rsid w:val="00B359FF"/>
    <w:rsid w:val="00B37051"/>
    <w:rsid w:val="00B57175"/>
    <w:rsid w:val="00B57604"/>
    <w:rsid w:val="00B7719E"/>
    <w:rsid w:val="00B775DD"/>
    <w:rsid w:val="00B879A3"/>
    <w:rsid w:val="00B90CE6"/>
    <w:rsid w:val="00B957B3"/>
    <w:rsid w:val="00B95B35"/>
    <w:rsid w:val="00BA189E"/>
    <w:rsid w:val="00BB19B2"/>
    <w:rsid w:val="00BB399E"/>
    <w:rsid w:val="00BC7F17"/>
    <w:rsid w:val="00C04F3D"/>
    <w:rsid w:val="00C0663A"/>
    <w:rsid w:val="00C3168E"/>
    <w:rsid w:val="00C414F9"/>
    <w:rsid w:val="00C62994"/>
    <w:rsid w:val="00C62A65"/>
    <w:rsid w:val="00C8486E"/>
    <w:rsid w:val="00CA1375"/>
    <w:rsid w:val="00CA2CB3"/>
    <w:rsid w:val="00CA4541"/>
    <w:rsid w:val="00CA71B8"/>
    <w:rsid w:val="00CB48F9"/>
    <w:rsid w:val="00CB632A"/>
    <w:rsid w:val="00CC2843"/>
    <w:rsid w:val="00CD7278"/>
    <w:rsid w:val="00CF7651"/>
    <w:rsid w:val="00D039EC"/>
    <w:rsid w:val="00D111A5"/>
    <w:rsid w:val="00D32EEB"/>
    <w:rsid w:val="00D53C83"/>
    <w:rsid w:val="00D600D1"/>
    <w:rsid w:val="00D6480F"/>
    <w:rsid w:val="00D738D0"/>
    <w:rsid w:val="00D91FBB"/>
    <w:rsid w:val="00DA3D4B"/>
    <w:rsid w:val="00DA72E4"/>
    <w:rsid w:val="00DB3B81"/>
    <w:rsid w:val="00DC51A1"/>
    <w:rsid w:val="00DD58D4"/>
    <w:rsid w:val="00E040F9"/>
    <w:rsid w:val="00E157F8"/>
    <w:rsid w:val="00E24B33"/>
    <w:rsid w:val="00E34FAF"/>
    <w:rsid w:val="00E76EEA"/>
    <w:rsid w:val="00E82441"/>
    <w:rsid w:val="00E84B7C"/>
    <w:rsid w:val="00E9639C"/>
    <w:rsid w:val="00EC20A0"/>
    <w:rsid w:val="00ED6A6A"/>
    <w:rsid w:val="00F06E66"/>
    <w:rsid w:val="00F25EBC"/>
    <w:rsid w:val="00F33A3A"/>
    <w:rsid w:val="00F36655"/>
    <w:rsid w:val="00F366EE"/>
    <w:rsid w:val="00F47E91"/>
    <w:rsid w:val="00F50A28"/>
    <w:rsid w:val="00F7487A"/>
    <w:rsid w:val="00F9170E"/>
    <w:rsid w:val="00FB21F9"/>
    <w:rsid w:val="00FD24E9"/>
    <w:rsid w:val="00FD2F14"/>
    <w:rsid w:val="00FD7E65"/>
    <w:rsid w:val="00FF0B04"/>
    <w:rsid w:val="00FF3AC4"/>
    <w:rsid w:val="00FF4E6A"/>
    <w:rsid w:val="00FF4E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C107"/>
  <w15:docId w15:val="{6F12C657-9007-4709-97D9-FAD6EC81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9E"/>
  </w:style>
  <w:style w:type="paragraph" w:styleId="Footer">
    <w:name w:val="footer"/>
    <w:basedOn w:val="Normal"/>
    <w:link w:val="FooterChar"/>
    <w:uiPriority w:val="99"/>
    <w:unhideWhenUsed/>
    <w:rsid w:val="00BA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9E"/>
  </w:style>
  <w:style w:type="paragraph" w:styleId="BalloonText">
    <w:name w:val="Balloon Text"/>
    <w:basedOn w:val="Normal"/>
    <w:link w:val="BalloonTextChar"/>
    <w:uiPriority w:val="99"/>
    <w:semiHidden/>
    <w:unhideWhenUsed/>
    <w:rsid w:val="00BA18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189E"/>
    <w:rPr>
      <w:rFonts w:ascii="Tahoma" w:hAnsi="Tahoma" w:cs="Tahoma"/>
      <w:sz w:val="16"/>
      <w:szCs w:val="16"/>
    </w:rPr>
  </w:style>
  <w:style w:type="character" w:styleId="Hyperlink">
    <w:name w:val="Hyperlink"/>
    <w:uiPriority w:val="99"/>
    <w:unhideWhenUsed/>
    <w:rsid w:val="0053044D"/>
    <w:rPr>
      <w:color w:val="D40F7D"/>
      <w:u w:val="single"/>
    </w:rPr>
  </w:style>
  <w:style w:type="paragraph" w:styleId="NoSpacing">
    <w:name w:val="No Spacing"/>
    <w:uiPriority w:val="1"/>
    <w:qFormat/>
    <w:rsid w:val="0053044D"/>
    <w:rPr>
      <w:sz w:val="22"/>
      <w:szCs w:val="22"/>
      <w:lang w:eastAsia="en-US"/>
    </w:rPr>
  </w:style>
  <w:style w:type="character" w:styleId="PlaceholderText">
    <w:name w:val="Placeholder Text"/>
    <w:uiPriority w:val="99"/>
    <w:semiHidden/>
    <w:rsid w:val="007D6DFB"/>
    <w:rPr>
      <w:color w:val="808080"/>
    </w:rPr>
  </w:style>
  <w:style w:type="paragraph" w:customStyle="1" w:styleId="Default">
    <w:name w:val="Default"/>
    <w:rsid w:val="00EC20A0"/>
    <w:pPr>
      <w:autoSpaceDE w:val="0"/>
      <w:autoSpaceDN w:val="0"/>
      <w:adjustRightInd w:val="0"/>
    </w:pPr>
    <w:rPr>
      <w:rFonts w:ascii="Arial" w:hAnsi="Arial" w:cs="Arial"/>
      <w:color w:val="000000"/>
      <w:sz w:val="24"/>
      <w:szCs w:val="24"/>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C20A0"/>
    <w:pPr>
      <w:spacing w:after="160" w:line="259" w:lineRule="auto"/>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EC20A0"/>
  </w:style>
  <w:style w:type="character" w:styleId="CommentReference">
    <w:name w:val="annotation reference"/>
    <w:uiPriority w:val="99"/>
    <w:semiHidden/>
    <w:unhideWhenUsed/>
    <w:rsid w:val="00CA71B8"/>
    <w:rPr>
      <w:sz w:val="16"/>
      <w:szCs w:val="16"/>
    </w:rPr>
  </w:style>
  <w:style w:type="paragraph" w:styleId="CommentText">
    <w:name w:val="annotation text"/>
    <w:basedOn w:val="Normal"/>
    <w:link w:val="CommentTextChar"/>
    <w:uiPriority w:val="99"/>
    <w:semiHidden/>
    <w:unhideWhenUsed/>
    <w:rsid w:val="00CA71B8"/>
    <w:pPr>
      <w:spacing w:line="240" w:lineRule="auto"/>
    </w:pPr>
    <w:rPr>
      <w:sz w:val="20"/>
      <w:szCs w:val="20"/>
    </w:rPr>
  </w:style>
  <w:style w:type="character" w:customStyle="1" w:styleId="CommentTextChar">
    <w:name w:val="Comment Text Char"/>
    <w:link w:val="CommentText"/>
    <w:uiPriority w:val="99"/>
    <w:semiHidden/>
    <w:rsid w:val="00CA71B8"/>
    <w:rPr>
      <w:sz w:val="20"/>
      <w:szCs w:val="20"/>
    </w:rPr>
  </w:style>
  <w:style w:type="paragraph" w:styleId="CommentSubject">
    <w:name w:val="annotation subject"/>
    <w:basedOn w:val="CommentText"/>
    <w:next w:val="CommentText"/>
    <w:link w:val="CommentSubjectChar"/>
    <w:uiPriority w:val="99"/>
    <w:semiHidden/>
    <w:unhideWhenUsed/>
    <w:rsid w:val="00CA71B8"/>
    <w:rPr>
      <w:b/>
      <w:bCs/>
    </w:rPr>
  </w:style>
  <w:style w:type="character" w:customStyle="1" w:styleId="CommentSubjectChar">
    <w:name w:val="Comment Subject Char"/>
    <w:link w:val="CommentSubject"/>
    <w:uiPriority w:val="99"/>
    <w:semiHidden/>
    <w:rsid w:val="00CA71B8"/>
    <w:rPr>
      <w:b/>
      <w:bCs/>
      <w:sz w:val="20"/>
      <w:szCs w:val="20"/>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4703B5"/>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link w:val="FootnoteText"/>
    <w:uiPriority w:val="99"/>
    <w:rsid w:val="004703B5"/>
    <w:rPr>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uiPriority w:val="99"/>
    <w:unhideWhenUsed/>
    <w:qFormat/>
    <w:rsid w:val="004703B5"/>
    <w:rPr>
      <w:vertAlign w:val="superscript"/>
    </w:rPr>
  </w:style>
  <w:style w:type="paragraph" w:styleId="NormalWeb">
    <w:name w:val="Normal (Web)"/>
    <w:basedOn w:val="Normal"/>
    <w:uiPriority w:val="99"/>
    <w:semiHidden/>
    <w:unhideWhenUsed/>
    <w:rsid w:val="00F47E91"/>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77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2098">
      <w:bodyDiv w:val="1"/>
      <w:marLeft w:val="0"/>
      <w:marRight w:val="0"/>
      <w:marTop w:val="0"/>
      <w:marBottom w:val="0"/>
      <w:divBdr>
        <w:top w:val="none" w:sz="0" w:space="0" w:color="auto"/>
        <w:left w:val="none" w:sz="0" w:space="0" w:color="auto"/>
        <w:bottom w:val="none" w:sz="0" w:space="0" w:color="auto"/>
        <w:right w:val="none" w:sz="0" w:space="0" w:color="auto"/>
      </w:divBdr>
    </w:div>
    <w:div w:id="514029793">
      <w:bodyDiv w:val="1"/>
      <w:marLeft w:val="0"/>
      <w:marRight w:val="0"/>
      <w:marTop w:val="0"/>
      <w:marBottom w:val="0"/>
      <w:divBdr>
        <w:top w:val="none" w:sz="0" w:space="0" w:color="auto"/>
        <w:left w:val="none" w:sz="0" w:space="0" w:color="auto"/>
        <w:bottom w:val="none" w:sz="0" w:space="0" w:color="auto"/>
        <w:right w:val="none" w:sz="0" w:space="0" w:color="auto"/>
      </w:divBdr>
    </w:div>
    <w:div w:id="1712873943">
      <w:bodyDiv w:val="1"/>
      <w:marLeft w:val="0"/>
      <w:marRight w:val="0"/>
      <w:marTop w:val="0"/>
      <w:marBottom w:val="0"/>
      <w:divBdr>
        <w:top w:val="none" w:sz="0" w:space="0" w:color="auto"/>
        <w:left w:val="none" w:sz="0" w:space="0" w:color="auto"/>
        <w:bottom w:val="none" w:sz="0" w:space="0" w:color="auto"/>
        <w:right w:val="none" w:sz="0" w:space="0" w:color="auto"/>
      </w:divBdr>
    </w:div>
    <w:div w:id="1879076816">
      <w:bodyDiv w:val="1"/>
      <w:marLeft w:val="0"/>
      <w:marRight w:val="0"/>
      <w:marTop w:val="0"/>
      <w:marBottom w:val="0"/>
      <w:divBdr>
        <w:top w:val="none" w:sz="0" w:space="0" w:color="auto"/>
        <w:left w:val="none" w:sz="0" w:space="0" w:color="auto"/>
        <w:bottom w:val="none" w:sz="0" w:space="0" w:color="auto"/>
        <w:right w:val="none" w:sz="0" w:space="0" w:color="auto"/>
      </w:divBdr>
      <w:divsChild>
        <w:div w:id="210187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coe.int/en/web/conventions/full-list/-/conventions/rms/090000168008482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nsult.justice.gov.uk/digital-communications/assessing-harm-private-family-law-proceedings/consult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jt201719/jtselect/jtddab/2075/2075.pdf" TargetMode="External"/><Relationship Id="rId3" Type="http://schemas.openxmlformats.org/officeDocument/2006/relationships/hyperlink" Target="https://1q7dqy2unor827bqjls0c4rn-wpengine.netdna-ssl.com/wp-content/uploads/2015/11/APPG-Inquiry-report-domestic-abuse-child-contact-and-the-family-courts.pdf" TargetMode="External"/><Relationship Id="rId7" Type="http://schemas.openxmlformats.org/officeDocument/2006/relationships/hyperlink" Target="https://www.judiciary.uk/wp-content/uploads/2017/01/PD12J-child-arrangement-domestic-violence-and-harm-report-and-revision.pdf" TargetMode="External"/><Relationship Id="rId2" Type="http://schemas.openxmlformats.org/officeDocument/2006/relationships/hyperlink" Target="https://publications.parliament.uk/pa/bills/cbill/2017-2019/0422/19422.pdf" TargetMode="External"/><Relationship Id="rId1" Type="http://schemas.openxmlformats.org/officeDocument/2006/relationships/hyperlink" Target="https://www.parliament.uk/documents/joint-committees/human-rights/correspondence/2017-19/Correspondence-from-JCHR-Chair-Draft-domestic-abuse-bill-100419.pdf" TargetMode="External"/><Relationship Id="rId6" Type="http://schemas.openxmlformats.org/officeDocument/2006/relationships/hyperlink" Target="https://www.womensaid.org.uk/research-and-publications/domestic-abuse-human-rights-and-the-family-courts/" TargetMode="External"/><Relationship Id="rId5" Type="http://schemas.openxmlformats.org/officeDocument/2006/relationships/hyperlink" Target="https://www.womensaid.org.uk/research-and-publications/domestic-abuse-human-rights-and-the-family-courts/" TargetMode="External"/><Relationship Id="rId10" Type="http://schemas.openxmlformats.org/officeDocument/2006/relationships/hyperlink" Target="https://www.judiciary.uk/wp-content/uploads/2017/01/PD12J-child-arrangement-domestic-violence-and-harm-report-and-revision.pdf" TargetMode="External"/><Relationship Id="rId4" Type="http://schemas.openxmlformats.org/officeDocument/2006/relationships/hyperlink" Target="https://publications.parliament.uk/pa/cm201719/cmselect/cmhaff/2172/217202.htm" TargetMode="External"/><Relationship Id="rId9" Type="http://schemas.openxmlformats.org/officeDocument/2006/relationships/hyperlink" Target="https://www.familylawweek.co.uk/site.aspx?i=ed2010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DDBE-F438-4A9C-B72A-DA98408189E7}">
  <ds:schemaRefs>
    <ds:schemaRef ds:uri="http://schemas.microsoft.com/sharepoint/v3/contenttype/forms"/>
  </ds:schemaRefs>
</ds:datastoreItem>
</file>

<file path=customXml/itemProps2.xml><?xml version="1.0" encoding="utf-8"?>
<ds:datastoreItem xmlns:ds="http://schemas.openxmlformats.org/officeDocument/2006/customXml" ds:itemID="{6D59485F-52FD-4462-BE42-D43A01AFB3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F7239A-5F49-46C3-B2C9-993DEA7CE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ACC4E-D1AD-45A7-9F77-58136CD5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9867</CharactersWithSpaces>
  <SharedDoc>false</SharedDoc>
  <HLinks>
    <vt:vector size="48" baseType="variant">
      <vt:variant>
        <vt:i4>7340154</vt:i4>
      </vt:variant>
      <vt:variant>
        <vt:i4>12</vt:i4>
      </vt:variant>
      <vt:variant>
        <vt:i4>0</vt:i4>
      </vt:variant>
      <vt:variant>
        <vt:i4>5</vt:i4>
      </vt:variant>
      <vt:variant>
        <vt:lpwstr>https://www.coe.int/en/web/istanbul-convention/about-the-convention</vt:lpwstr>
      </vt:variant>
      <vt:variant>
        <vt:lpwstr/>
      </vt:variant>
      <vt:variant>
        <vt:i4>327694</vt:i4>
      </vt:variant>
      <vt:variant>
        <vt:i4>9</vt:i4>
      </vt:variant>
      <vt:variant>
        <vt:i4>0</vt:i4>
      </vt:variant>
      <vt:variant>
        <vt:i4>5</vt:i4>
      </vt:variant>
      <vt:variant>
        <vt:lpwstr>https://www.coe.int/en/web/istanbul-convention/the-convention-in-brief</vt:lpwstr>
      </vt:variant>
      <vt:variant>
        <vt:lpwstr>{"11642062":[3],"11642301":[0]}</vt:lpwstr>
      </vt:variant>
      <vt:variant>
        <vt:i4>5177427</vt:i4>
      </vt:variant>
      <vt:variant>
        <vt:i4>6</vt:i4>
      </vt:variant>
      <vt:variant>
        <vt:i4>0</vt:i4>
      </vt:variant>
      <vt:variant>
        <vt:i4>5</vt:i4>
      </vt:variant>
      <vt:variant>
        <vt:lpwstr>https://www.refworld.org/docid/5583f7254.html</vt:lpwstr>
      </vt:variant>
      <vt:variant>
        <vt:lpwstr/>
      </vt:variant>
      <vt:variant>
        <vt:i4>3276840</vt:i4>
      </vt:variant>
      <vt:variant>
        <vt:i4>3</vt:i4>
      </vt:variant>
      <vt:variant>
        <vt:i4>0</vt:i4>
      </vt:variant>
      <vt:variant>
        <vt:i4>5</vt:i4>
      </vt:variant>
      <vt:variant>
        <vt:lpwstr>https://assets.publishing.service.gov.uk/government/uploads/system/uploads/attachment_data/file/783996/Male_Victims_Position_Paper_Web_Accessible.pdf</vt:lpwstr>
      </vt:variant>
      <vt:variant>
        <vt:lpwstr/>
      </vt:variant>
      <vt:variant>
        <vt:i4>7995427</vt:i4>
      </vt:variant>
      <vt:variant>
        <vt:i4>0</vt:i4>
      </vt:variant>
      <vt:variant>
        <vt:i4>0</vt:i4>
      </vt:variant>
      <vt:variant>
        <vt:i4>5</vt:i4>
      </vt:variant>
      <vt:variant>
        <vt:lpwstr>http://data.parliament.uk/writtenevidence/committeeevidence.svc/evidencedocument/draft-domestic-abuse-bill-committee/draft-domestic-abuse-bill/written/101063.html</vt:lpwstr>
      </vt:variant>
      <vt:variant>
        <vt:lpwstr/>
      </vt:variant>
      <vt:variant>
        <vt:i4>3866702</vt:i4>
      </vt:variant>
      <vt:variant>
        <vt:i4>6</vt:i4>
      </vt:variant>
      <vt:variant>
        <vt:i4>0</vt:i4>
      </vt:variant>
      <vt:variant>
        <vt:i4>5</vt:i4>
      </vt:variant>
      <vt:variant>
        <vt:lpwstr>https://www.equalityhumanrights.com/sites/default/files/servicescode_0.pdf</vt:lpwstr>
      </vt:variant>
      <vt:variant>
        <vt:lpwstr/>
      </vt:variant>
      <vt:variant>
        <vt:i4>5570637</vt:i4>
      </vt:variant>
      <vt:variant>
        <vt:i4>3</vt:i4>
      </vt:variant>
      <vt:variant>
        <vt:i4>0</vt:i4>
      </vt:variant>
      <vt:variant>
        <vt:i4>5</vt:i4>
      </vt:variant>
      <vt:variant>
        <vt:lpwstr>https://www.legislation.gov.uk/ukpga/2010/15/section/149</vt:lpwstr>
      </vt:variant>
      <vt:variant>
        <vt:lpwstr/>
      </vt:variant>
      <vt:variant>
        <vt:i4>3276840</vt:i4>
      </vt:variant>
      <vt:variant>
        <vt:i4>0</vt:i4>
      </vt:variant>
      <vt:variant>
        <vt:i4>0</vt:i4>
      </vt:variant>
      <vt:variant>
        <vt:i4>5</vt:i4>
      </vt:variant>
      <vt:variant>
        <vt:lpwstr>https://assets.publishing.service.gov.uk/government/uploads/system/uploads/attachment_data/file/783996/Male_Victims_Position_Paper_Web_Accessible.pdf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Brookes</dc:creator>
  <cp:keywords/>
  <cp:lastModifiedBy>Helen Saxton</cp:lastModifiedBy>
  <cp:revision>3</cp:revision>
  <cp:lastPrinted>2019-08-20T14:39:00Z</cp:lastPrinted>
  <dcterms:created xsi:type="dcterms:W3CDTF">2019-08-28T12:15:00Z</dcterms:created>
  <dcterms:modified xsi:type="dcterms:W3CDTF">2019-08-28T12:16:00Z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