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F" w:rsidRDefault="00E7231F" w:rsidP="005A5686">
      <w:pPr>
        <w:pStyle w:val="Title"/>
        <w:pBdr>
          <w:bottom w:val="single" w:sz="4" w:space="7" w:color="auto"/>
        </w:pBdr>
        <w:spacing w:after="120" w:line="312" w:lineRule="auto"/>
        <w:contextualSpacing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‘Is Britain Fairer?</w:t>
      </w:r>
      <w:proofErr w:type="gramStart"/>
      <w:r>
        <w:rPr>
          <w:rFonts w:cs="Arial"/>
          <w:sz w:val="28"/>
          <w:szCs w:val="28"/>
        </w:rPr>
        <w:t>’</w:t>
      </w:r>
      <w:r w:rsidR="00191BE4">
        <w:rPr>
          <w:rFonts w:cs="Arial"/>
          <w:sz w:val="28"/>
          <w:szCs w:val="28"/>
        </w:rPr>
        <w:t>:</w:t>
      </w:r>
      <w:proofErr w:type="gramEnd"/>
      <w:r>
        <w:rPr>
          <w:rFonts w:cs="Arial"/>
          <w:sz w:val="28"/>
          <w:szCs w:val="28"/>
        </w:rPr>
        <w:t xml:space="preserve"> Key facts and findings</w:t>
      </w:r>
      <w:r w:rsidR="00191BE4">
        <w:rPr>
          <w:rFonts w:cs="Arial"/>
          <w:sz w:val="28"/>
          <w:szCs w:val="28"/>
        </w:rPr>
        <w:t xml:space="preserve"> on </w:t>
      </w:r>
      <w:r w:rsidRPr="0053083A">
        <w:rPr>
          <w:rFonts w:cs="Arial"/>
          <w:sz w:val="28"/>
          <w:szCs w:val="28"/>
        </w:rPr>
        <w:t>young people</w:t>
      </w:r>
    </w:p>
    <w:p w:rsidR="005A5686" w:rsidRPr="005A5686" w:rsidRDefault="005A5686" w:rsidP="005A5686"/>
    <w:p w:rsidR="00E7231F" w:rsidRDefault="00E7231F" w:rsidP="005A5686">
      <w:pPr>
        <w:spacing w:line="312" w:lineRule="auto"/>
        <w:rPr>
          <w:rFonts w:cs="Arial"/>
          <w:b/>
          <w:sz w:val="24"/>
          <w:szCs w:val="24"/>
        </w:rPr>
      </w:pPr>
      <w:r w:rsidRPr="0053083A">
        <w:rPr>
          <w:rFonts w:cs="Arial"/>
          <w:sz w:val="24"/>
          <w:szCs w:val="24"/>
        </w:rPr>
        <w:t>‘Is Britain Fairer?’ (2015) is the Equality and Human Rights Commission’s five-yearly review o</w:t>
      </w:r>
      <w:r>
        <w:rPr>
          <w:rFonts w:cs="Arial"/>
          <w:sz w:val="24"/>
          <w:szCs w:val="24"/>
        </w:rPr>
        <w:t>f</w:t>
      </w:r>
      <w:r w:rsidRPr="0053083A">
        <w:rPr>
          <w:rFonts w:cs="Arial"/>
          <w:sz w:val="24"/>
          <w:szCs w:val="24"/>
        </w:rPr>
        <w:t xml:space="preserve"> equality and human rights in Britain. Thi</w:t>
      </w:r>
      <w:r w:rsidR="00191BE4">
        <w:rPr>
          <w:rFonts w:cs="Arial"/>
          <w:sz w:val="24"/>
          <w:szCs w:val="24"/>
        </w:rPr>
        <w:t xml:space="preserve">s factsheet captures some of our key findings on </w:t>
      </w:r>
      <w:r w:rsidRPr="0053083A">
        <w:rPr>
          <w:rFonts w:cs="Arial"/>
          <w:sz w:val="24"/>
          <w:szCs w:val="24"/>
        </w:rPr>
        <w:t xml:space="preserve">young people. </w:t>
      </w:r>
    </w:p>
    <w:p w:rsidR="00E7231F" w:rsidRPr="0053083A" w:rsidRDefault="00E7231F" w:rsidP="005A5686">
      <w:pPr>
        <w:spacing w:after="120" w:line="312" w:lineRule="auto"/>
        <w:rPr>
          <w:rFonts w:cs="Arial"/>
          <w:sz w:val="24"/>
          <w:szCs w:val="24"/>
        </w:rPr>
      </w:pPr>
      <w:r w:rsidRPr="0053083A">
        <w:rPr>
          <w:rFonts w:cs="Arial"/>
          <w:sz w:val="24"/>
          <w:szCs w:val="24"/>
        </w:rPr>
        <w:t xml:space="preserve">Age is a protected characteristic under the Equality Act 2010. The Act prohibits unlawful discrimination, harassment and victimisation; protects individuals from unfair treatment; and promotes a fair and more equal society. It </w:t>
      </w:r>
      <w:r w:rsidR="00191BE4">
        <w:rPr>
          <w:rFonts w:cs="Arial"/>
          <w:sz w:val="24"/>
          <w:szCs w:val="24"/>
        </w:rPr>
        <w:t>protects</w:t>
      </w:r>
      <w:r w:rsidRPr="0053083A">
        <w:rPr>
          <w:rFonts w:cs="Arial"/>
          <w:sz w:val="24"/>
          <w:szCs w:val="24"/>
        </w:rPr>
        <w:t xml:space="preserve"> young people </w:t>
      </w:r>
      <w:r w:rsidR="00191BE4">
        <w:rPr>
          <w:rFonts w:cs="Arial"/>
          <w:sz w:val="24"/>
          <w:szCs w:val="24"/>
        </w:rPr>
        <w:t>from being discriminated against because of their age</w:t>
      </w:r>
      <w:r w:rsidRPr="0053083A">
        <w:rPr>
          <w:rFonts w:cs="Arial"/>
          <w:sz w:val="24"/>
          <w:szCs w:val="24"/>
        </w:rPr>
        <w:t xml:space="preserve"> in a variety </w:t>
      </w:r>
      <w:r w:rsidR="00191BE4">
        <w:rPr>
          <w:rFonts w:cs="Arial"/>
          <w:sz w:val="24"/>
          <w:szCs w:val="24"/>
        </w:rPr>
        <w:t>of fields, including employment</w:t>
      </w:r>
      <w:r w:rsidRPr="0053083A">
        <w:rPr>
          <w:rFonts w:cs="Arial"/>
          <w:sz w:val="24"/>
          <w:szCs w:val="24"/>
        </w:rPr>
        <w:t xml:space="preserve">. </w:t>
      </w:r>
      <w:r w:rsidRPr="003F036F">
        <w:rPr>
          <w:rFonts w:cs="Arial"/>
          <w:sz w:val="24"/>
          <w:szCs w:val="24"/>
        </w:rPr>
        <w:t xml:space="preserve">Figures from the Office of National Statistics indicate that there were </w:t>
      </w:r>
      <w:r>
        <w:rPr>
          <w:rFonts w:cs="Arial"/>
          <w:b/>
          <w:sz w:val="24"/>
          <w:szCs w:val="24"/>
        </w:rPr>
        <w:t>7</w:t>
      </w:r>
      <w:r w:rsidR="00191BE4">
        <w:rPr>
          <w:rFonts w:cs="Arial"/>
          <w:b/>
          <w:sz w:val="24"/>
          <w:szCs w:val="24"/>
        </w:rPr>
        <w:t>.2</w:t>
      </w:r>
      <w:r w:rsidRPr="003F036F">
        <w:rPr>
          <w:rFonts w:cs="Arial"/>
          <w:sz w:val="24"/>
          <w:szCs w:val="24"/>
        </w:rPr>
        <w:t xml:space="preserve"> </w:t>
      </w:r>
      <w:r w:rsidRPr="00471FB2">
        <w:rPr>
          <w:rFonts w:cs="Arial"/>
          <w:b/>
          <w:sz w:val="24"/>
          <w:szCs w:val="24"/>
        </w:rPr>
        <w:t xml:space="preserve">million </w:t>
      </w:r>
      <w:r w:rsidR="00191BE4">
        <w:rPr>
          <w:rFonts w:cs="Arial"/>
          <w:sz w:val="24"/>
          <w:szCs w:val="24"/>
        </w:rPr>
        <w:t>young people (aged 16 to 2</w:t>
      </w:r>
      <w:r>
        <w:rPr>
          <w:rFonts w:cs="Arial"/>
          <w:sz w:val="24"/>
          <w:szCs w:val="24"/>
        </w:rPr>
        <w:t>4)</w:t>
      </w:r>
      <w:r w:rsidRPr="003F036F">
        <w:rPr>
          <w:rFonts w:cs="Arial"/>
          <w:sz w:val="24"/>
          <w:szCs w:val="24"/>
        </w:rPr>
        <w:t xml:space="preserve"> living in Britain in 2013. </w:t>
      </w:r>
    </w:p>
    <w:p w:rsidR="00E7231F" w:rsidRPr="0053083A" w:rsidRDefault="00E7231F" w:rsidP="005A5686">
      <w:pPr>
        <w:autoSpaceDE w:val="0"/>
        <w:autoSpaceDN w:val="0"/>
        <w:adjustRightInd w:val="0"/>
        <w:spacing w:after="120" w:line="312" w:lineRule="auto"/>
        <w:rPr>
          <w:b/>
          <w:sz w:val="24"/>
          <w:szCs w:val="24"/>
        </w:rPr>
      </w:pPr>
      <w:r w:rsidRPr="0053083A">
        <w:rPr>
          <w:b/>
          <w:sz w:val="24"/>
          <w:szCs w:val="24"/>
        </w:rPr>
        <w:t>More young people have qualifications</w:t>
      </w:r>
      <w:r w:rsidR="00191BE4">
        <w:rPr>
          <w:b/>
          <w:sz w:val="24"/>
          <w:szCs w:val="24"/>
        </w:rPr>
        <w:t xml:space="preserve"> then before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In Britain during 2013, 67.4% of 17-24 year olds had gained a qualification in the last 12 months (most commonly A </w:t>
      </w:r>
      <w:r>
        <w:rPr>
          <w:sz w:val="24"/>
          <w:szCs w:val="24"/>
        </w:rPr>
        <w:t>l</w:t>
      </w:r>
      <w:r w:rsidRPr="0053083A">
        <w:rPr>
          <w:sz w:val="24"/>
          <w:szCs w:val="24"/>
        </w:rPr>
        <w:t>evels or degrees), or had participated in other formal or informal learning activities in the last three months.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>There was a fall in Britain in the percentage of young people who were Not in Education, Employment or Training (NEET), from 10.0% in 2008 to 8.3% in 2013.</w:t>
      </w:r>
    </w:p>
    <w:p w:rsidR="00E7231F" w:rsidRPr="0053083A" w:rsidRDefault="00E7231F" w:rsidP="005A5686">
      <w:pPr>
        <w:autoSpaceDE w:val="0"/>
        <w:autoSpaceDN w:val="0"/>
        <w:adjustRightInd w:val="0"/>
        <w:spacing w:after="120" w:line="312" w:lineRule="auto"/>
        <w:rPr>
          <w:b/>
          <w:sz w:val="24"/>
          <w:szCs w:val="24"/>
        </w:rPr>
      </w:pPr>
      <w:r w:rsidRPr="0053083A">
        <w:rPr>
          <w:b/>
          <w:sz w:val="24"/>
          <w:szCs w:val="24"/>
        </w:rPr>
        <w:t xml:space="preserve">Despite young people attaining better qualifications, </w:t>
      </w:r>
      <w:r>
        <w:rPr>
          <w:b/>
          <w:sz w:val="24"/>
          <w:szCs w:val="24"/>
        </w:rPr>
        <w:t xml:space="preserve">employment </w:t>
      </w:r>
      <w:r w:rsidRPr="0053083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rospects and pay</w:t>
      </w:r>
      <w:r w:rsidRPr="0053083A">
        <w:rPr>
          <w:b/>
          <w:sz w:val="24"/>
          <w:szCs w:val="24"/>
        </w:rPr>
        <w:t xml:space="preserve"> ha</w:t>
      </w:r>
      <w:r>
        <w:rPr>
          <w:b/>
          <w:sz w:val="24"/>
          <w:szCs w:val="24"/>
        </w:rPr>
        <w:t>ve</w:t>
      </w:r>
      <w:r w:rsidRPr="0053083A">
        <w:rPr>
          <w:b/>
          <w:sz w:val="24"/>
          <w:szCs w:val="24"/>
        </w:rPr>
        <w:t xml:space="preserve"> declined</w:t>
      </w:r>
      <w:r>
        <w:rPr>
          <w:b/>
          <w:sz w:val="24"/>
          <w:szCs w:val="24"/>
        </w:rPr>
        <w:t>,</w:t>
      </w:r>
      <w:r w:rsidRPr="0053083A">
        <w:rPr>
          <w:b/>
          <w:sz w:val="24"/>
          <w:szCs w:val="24"/>
        </w:rPr>
        <w:t xml:space="preserve"> and many live in poverty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>Across Britain, young people aged 16-24 experienced a larger decline in employment rates between 2008 and 2013 than those in older age groups.</w:t>
      </w:r>
      <w:r w:rsidRPr="0053083A">
        <w:t xml:space="preserve"> </w:t>
      </w:r>
      <w:r w:rsidRPr="0053083A">
        <w:rPr>
          <w:sz w:val="24"/>
          <w:szCs w:val="24"/>
        </w:rPr>
        <w:t xml:space="preserve">The employment rates for 16-24 year olds </w:t>
      </w:r>
      <w:r w:rsidR="00191BE4">
        <w:rPr>
          <w:sz w:val="24"/>
          <w:szCs w:val="24"/>
        </w:rPr>
        <w:t xml:space="preserve">in 2013 </w:t>
      </w:r>
      <w:r w:rsidRPr="0053083A">
        <w:rPr>
          <w:sz w:val="24"/>
          <w:szCs w:val="24"/>
        </w:rPr>
        <w:t>were 47.3% in England, 45.7% in Wales, and</w:t>
      </w:r>
      <w:r w:rsidRPr="0053083A">
        <w:rPr>
          <w:sz w:val="24"/>
          <w:szCs w:val="24"/>
          <w:vertAlign w:val="superscript"/>
        </w:rPr>
        <w:t xml:space="preserve"> </w:t>
      </w:r>
      <w:r w:rsidRPr="0053083A">
        <w:rPr>
          <w:sz w:val="24"/>
          <w:szCs w:val="24"/>
        </w:rPr>
        <w:t xml:space="preserve">51.5% in Scotland. The 16-24 age group were less likely to be employed in 2013 than 2008, declining by five percentage points or more across Britain. </w:t>
      </w:r>
    </w:p>
    <w:p w:rsidR="00E7231F" w:rsidRPr="0053083A" w:rsidRDefault="00191BE4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Across Britain, y</w:t>
      </w:r>
      <w:r w:rsidR="00E7231F" w:rsidRPr="0053083A">
        <w:rPr>
          <w:sz w:val="24"/>
          <w:szCs w:val="24"/>
        </w:rPr>
        <w:t>oung people aged 16-24 are over</w:t>
      </w:r>
      <w:r w:rsidR="00E7231F">
        <w:rPr>
          <w:sz w:val="24"/>
          <w:szCs w:val="24"/>
        </w:rPr>
        <w:t>-</w:t>
      </w:r>
      <w:r w:rsidR="00E7231F" w:rsidRPr="0053083A">
        <w:rPr>
          <w:sz w:val="24"/>
          <w:szCs w:val="24"/>
        </w:rPr>
        <w:t xml:space="preserve">represented in sales and elementary occupations, </w:t>
      </w:r>
      <w:r w:rsidR="00E7231F" w:rsidRPr="00554823">
        <w:rPr>
          <w:sz w:val="24"/>
          <w:szCs w:val="24"/>
        </w:rPr>
        <w:t xml:space="preserve">such as </w:t>
      </w:r>
      <w:r>
        <w:rPr>
          <w:sz w:val="24"/>
          <w:szCs w:val="24"/>
        </w:rPr>
        <w:t>manual labour</w:t>
      </w:r>
      <w:r w:rsidR="00E7231F" w:rsidRPr="0053083A">
        <w:rPr>
          <w:sz w:val="24"/>
          <w:szCs w:val="24"/>
        </w:rPr>
        <w:t>. Young people represented 23.8% of people working in elementary jobs and 21.3% working in sales and customer service jobs in 2013.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Average hourly earnings of employees declined (in real terms) between 2008 and 2013. </w:t>
      </w:r>
      <w:r w:rsidR="00191BE4">
        <w:rPr>
          <w:sz w:val="24"/>
          <w:szCs w:val="24"/>
        </w:rPr>
        <w:t xml:space="preserve">The hourly rate of 16-24 year olds declined by £0.60 per hour, from £7.40 per hour in 2008 to £6.70 per hour in 2013. </w:t>
      </w:r>
    </w:p>
    <w:p w:rsidR="00E7231F" w:rsidRPr="0053083A" w:rsidRDefault="00191BE4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The</w:t>
      </w:r>
      <w:r w:rsidR="00E7231F" w:rsidRPr="0053083A">
        <w:rPr>
          <w:sz w:val="24"/>
          <w:szCs w:val="24"/>
        </w:rPr>
        <w:t xml:space="preserve"> percentage of young people aged 16-24 living in poverty increased from 27.8% in 2008 to 30.5% in 2013.</w:t>
      </w:r>
    </w:p>
    <w:p w:rsidR="00E7231F" w:rsidRPr="00191BE4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70" w:hanging="357"/>
        <w:rPr>
          <w:sz w:val="24"/>
          <w:szCs w:val="24"/>
        </w:rPr>
      </w:pPr>
      <w:r w:rsidRPr="0053083A">
        <w:rPr>
          <w:bCs/>
          <w:sz w:val="24"/>
          <w:szCs w:val="24"/>
        </w:rPr>
        <w:t xml:space="preserve">In England, young people aged 16-24 were more likely than all other age groups to live in overcrowded accommodation in both time periods: 11% in 2012/13 </w:t>
      </w:r>
      <w:r w:rsidRPr="0053083A">
        <w:rPr>
          <w:bCs/>
          <w:sz w:val="24"/>
          <w:szCs w:val="24"/>
        </w:rPr>
        <w:lastRenderedPageBreak/>
        <w:t>compared with between 0.5%</w:t>
      </w:r>
      <w:r w:rsidR="00191BE4">
        <w:rPr>
          <w:bCs/>
          <w:sz w:val="24"/>
          <w:szCs w:val="24"/>
        </w:rPr>
        <w:t xml:space="preserve"> and 6.4% of other age groups. </w:t>
      </w:r>
      <w:r w:rsidRPr="0053083A">
        <w:rPr>
          <w:bCs/>
          <w:sz w:val="24"/>
          <w:szCs w:val="24"/>
        </w:rPr>
        <w:t>In Scotland, h</w:t>
      </w:r>
      <w:r w:rsidRPr="0053083A">
        <w:rPr>
          <w:sz w:val="24"/>
          <w:szCs w:val="24"/>
        </w:rPr>
        <w:t xml:space="preserve">ouseholds where the highest income householder was aged 16-24 were more likely than those from some older age groups to be living in overcrowded accommodation in 2013: 7.4% compared with, for example, fewer than 0.5% of those aged 65 plus. No </w:t>
      </w:r>
      <w:bookmarkStart w:id="0" w:name="_GoBack"/>
      <w:r w:rsidRPr="0053083A">
        <w:rPr>
          <w:sz w:val="24"/>
          <w:szCs w:val="24"/>
        </w:rPr>
        <w:t>data</w:t>
      </w:r>
      <w:bookmarkEnd w:id="0"/>
      <w:r w:rsidRPr="0053083A">
        <w:rPr>
          <w:sz w:val="24"/>
          <w:szCs w:val="24"/>
        </w:rPr>
        <w:t xml:space="preserve"> </w:t>
      </w:r>
      <w:r w:rsidR="00B32BE1">
        <w:rPr>
          <w:sz w:val="24"/>
          <w:szCs w:val="24"/>
        </w:rPr>
        <w:t>are</w:t>
      </w:r>
      <w:r w:rsidRPr="0053083A">
        <w:rPr>
          <w:sz w:val="24"/>
          <w:szCs w:val="24"/>
        </w:rPr>
        <w:t xml:space="preserve"> available for Wales.</w:t>
      </w:r>
    </w:p>
    <w:p w:rsidR="00E7231F" w:rsidRPr="0053083A" w:rsidRDefault="00E7231F" w:rsidP="005A5686">
      <w:pPr>
        <w:autoSpaceDE w:val="0"/>
        <w:autoSpaceDN w:val="0"/>
        <w:adjustRightInd w:val="0"/>
        <w:spacing w:after="120"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Although employment prospects are deteriorating and poverty is increasing, overall h</w:t>
      </w:r>
      <w:r w:rsidRPr="0053083A">
        <w:rPr>
          <w:rFonts w:cs="Arial"/>
          <w:b/>
          <w:sz w:val="24"/>
          <w:szCs w:val="24"/>
        </w:rPr>
        <w:t xml:space="preserve">ealth outcomes are improving for young people </w:t>
      </w:r>
    </w:p>
    <w:p w:rsidR="00E7231F" w:rsidRPr="0053083A" w:rsidRDefault="00201ACA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 2011-13, a 20-year-</w:t>
      </w:r>
      <w:r w:rsidR="00E7231F" w:rsidRPr="0053083A">
        <w:rPr>
          <w:sz w:val="24"/>
          <w:szCs w:val="24"/>
        </w:rPr>
        <w:t>old man in Britain could expect to live for another 59.5</w:t>
      </w:r>
      <w:r>
        <w:rPr>
          <w:sz w:val="24"/>
          <w:szCs w:val="24"/>
        </w:rPr>
        <w:t xml:space="preserve"> years</w:t>
      </w:r>
      <w:r w:rsidR="00E7231F" w:rsidRPr="0053083A">
        <w:rPr>
          <w:sz w:val="24"/>
          <w:szCs w:val="24"/>
        </w:rPr>
        <w:t xml:space="preserve"> (58.4 </w:t>
      </w:r>
      <w:r>
        <w:rPr>
          <w:sz w:val="24"/>
          <w:szCs w:val="24"/>
        </w:rPr>
        <w:t>years in 2007-09) and a 20-year-</w:t>
      </w:r>
      <w:r w:rsidR="00E7231F" w:rsidRPr="0053083A">
        <w:rPr>
          <w:sz w:val="24"/>
          <w:szCs w:val="24"/>
        </w:rPr>
        <w:t>old woman can now expect to live for another 63.2 years (62.4 years in 2007-09).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Across Britain, over a fifth of 16-24 year olds were recorded as smokers in 2012: 21.6% in England; 31.1% in Wales; and </w:t>
      </w:r>
      <w:r w:rsidR="00502539">
        <w:rPr>
          <w:sz w:val="24"/>
          <w:szCs w:val="24"/>
        </w:rPr>
        <w:t>24.7</w:t>
      </w:r>
      <w:r w:rsidRPr="0053083A">
        <w:rPr>
          <w:sz w:val="24"/>
          <w:szCs w:val="24"/>
        </w:rPr>
        <w:t xml:space="preserve">% in Scotland. 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Across Britain, </w:t>
      </w:r>
      <w:r w:rsidR="00201ACA">
        <w:rPr>
          <w:sz w:val="24"/>
          <w:szCs w:val="24"/>
        </w:rPr>
        <w:t xml:space="preserve">around </w:t>
      </w:r>
      <w:r w:rsidRPr="0053083A">
        <w:rPr>
          <w:sz w:val="24"/>
          <w:szCs w:val="24"/>
        </w:rPr>
        <w:t xml:space="preserve">a third of 16-24 year olds drank in excess of recommended </w:t>
      </w:r>
      <w:r w:rsidR="00502539">
        <w:rPr>
          <w:sz w:val="24"/>
          <w:szCs w:val="24"/>
        </w:rPr>
        <w:t xml:space="preserve">alcohol </w:t>
      </w:r>
      <w:r w:rsidRPr="0053083A">
        <w:rPr>
          <w:sz w:val="24"/>
          <w:szCs w:val="24"/>
        </w:rPr>
        <w:t xml:space="preserve">daily guidelines in 2012: 34.2% in England; 47% in Wales; and </w:t>
      </w:r>
      <w:r w:rsidR="00502539">
        <w:rPr>
          <w:sz w:val="24"/>
          <w:szCs w:val="24"/>
        </w:rPr>
        <w:t xml:space="preserve">37.8 </w:t>
      </w:r>
      <w:r w:rsidRPr="0053083A">
        <w:rPr>
          <w:sz w:val="24"/>
          <w:szCs w:val="24"/>
        </w:rPr>
        <w:t xml:space="preserve">% in Scotland. 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>Across Britain, around a third of 16-24 year olds were recorded as overweight or obese in 2012: 36.2% in England; 34.1% in Wales; and 33.9% in Scotland.</w:t>
      </w:r>
    </w:p>
    <w:p w:rsidR="00E7231F" w:rsidRPr="0053083A" w:rsidRDefault="00E7231F" w:rsidP="005A5686">
      <w:pPr>
        <w:autoSpaceDE w:val="0"/>
        <w:autoSpaceDN w:val="0"/>
        <w:adjustRightInd w:val="0"/>
        <w:spacing w:after="120" w:line="312" w:lineRule="auto"/>
        <w:rPr>
          <w:b/>
          <w:sz w:val="24"/>
          <w:szCs w:val="24"/>
        </w:rPr>
      </w:pPr>
      <w:r w:rsidRPr="0053083A">
        <w:rPr>
          <w:b/>
          <w:sz w:val="24"/>
          <w:szCs w:val="24"/>
        </w:rPr>
        <w:t>Young people feel safer from crime than older age groups, yet young men are more likely to be a victim of violent crime</w:t>
      </w:r>
    </w:p>
    <w:p w:rsidR="00E7231F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In </w:t>
      </w:r>
      <w:r>
        <w:rPr>
          <w:sz w:val="24"/>
          <w:szCs w:val="24"/>
        </w:rPr>
        <w:t>England</w:t>
      </w:r>
      <w:r w:rsidRPr="0053083A">
        <w:rPr>
          <w:sz w:val="24"/>
          <w:szCs w:val="24"/>
        </w:rPr>
        <w:t xml:space="preserve">, the percentage of 16-24 year olds who said they feel unsafe in their own home alone and/or in the local area was </w:t>
      </w:r>
      <w:r>
        <w:rPr>
          <w:sz w:val="24"/>
          <w:szCs w:val="24"/>
        </w:rPr>
        <w:t>29.3</w:t>
      </w:r>
      <w:r w:rsidRPr="0053083A">
        <w:rPr>
          <w:sz w:val="24"/>
          <w:szCs w:val="24"/>
        </w:rPr>
        <w:t xml:space="preserve">% in 2012/13. This </w:t>
      </w:r>
      <w:r>
        <w:rPr>
          <w:sz w:val="24"/>
          <w:szCs w:val="24"/>
        </w:rPr>
        <w:t>was</w:t>
      </w:r>
      <w:r w:rsidRPr="0053083A">
        <w:rPr>
          <w:sz w:val="24"/>
          <w:szCs w:val="24"/>
        </w:rPr>
        <w:t xml:space="preserve"> much lower than </w:t>
      </w:r>
      <w:r>
        <w:rPr>
          <w:sz w:val="24"/>
          <w:szCs w:val="24"/>
        </w:rPr>
        <w:t>the percentage of those aged over 75 (44.1%)</w:t>
      </w:r>
      <w:r w:rsidRPr="0053083A">
        <w:rPr>
          <w:sz w:val="24"/>
          <w:szCs w:val="24"/>
        </w:rPr>
        <w:t>.</w:t>
      </w:r>
    </w:p>
    <w:p w:rsidR="00655319" w:rsidRPr="0053083A" w:rsidRDefault="00655319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 Scotland, the percentage of 16-24 year olds who said they feel unsafe being alone at home at night and/or walking alone in their local area after dark was 27.8% in 2012/13. This was much lower than the percentage of those aged over 75 (42.3%).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In </w:t>
      </w:r>
      <w:r>
        <w:rPr>
          <w:sz w:val="24"/>
          <w:szCs w:val="24"/>
        </w:rPr>
        <w:t>England</w:t>
      </w:r>
      <w:r w:rsidRPr="0053083A">
        <w:rPr>
          <w:sz w:val="24"/>
          <w:szCs w:val="24"/>
        </w:rPr>
        <w:t>, those aged 16</w:t>
      </w:r>
      <w:r>
        <w:rPr>
          <w:sz w:val="24"/>
          <w:szCs w:val="24"/>
        </w:rPr>
        <w:t>-</w:t>
      </w:r>
      <w:r w:rsidRPr="0053083A">
        <w:rPr>
          <w:sz w:val="24"/>
          <w:szCs w:val="24"/>
        </w:rPr>
        <w:t>24 were more likely to report being a victim of violent crime</w:t>
      </w:r>
      <w:r>
        <w:rPr>
          <w:sz w:val="24"/>
          <w:szCs w:val="24"/>
        </w:rPr>
        <w:t xml:space="preserve"> (7.3%)</w:t>
      </w:r>
      <w:r w:rsidRPr="0053083A">
        <w:rPr>
          <w:sz w:val="24"/>
          <w:szCs w:val="24"/>
        </w:rPr>
        <w:t xml:space="preserve"> than all other age groups, and men were more likely to report being a victim of violent crime</w:t>
      </w:r>
      <w:r>
        <w:rPr>
          <w:sz w:val="24"/>
          <w:szCs w:val="24"/>
        </w:rPr>
        <w:t xml:space="preserve"> (3.2%)</w:t>
      </w:r>
      <w:r w:rsidRPr="0053083A">
        <w:rPr>
          <w:sz w:val="24"/>
          <w:szCs w:val="24"/>
        </w:rPr>
        <w:t xml:space="preserve"> than women</w:t>
      </w:r>
      <w:r>
        <w:rPr>
          <w:sz w:val="24"/>
          <w:szCs w:val="24"/>
        </w:rPr>
        <w:t xml:space="preserve"> (2.1%) in 2012/13</w:t>
      </w:r>
      <w:r w:rsidRPr="0053083A">
        <w:rPr>
          <w:sz w:val="24"/>
          <w:szCs w:val="24"/>
        </w:rPr>
        <w:t>. Men in the 16</w:t>
      </w:r>
      <w:r>
        <w:rPr>
          <w:sz w:val="24"/>
          <w:szCs w:val="24"/>
        </w:rPr>
        <w:t>-</w:t>
      </w:r>
      <w:r w:rsidRPr="0053083A">
        <w:rPr>
          <w:sz w:val="24"/>
          <w:szCs w:val="24"/>
        </w:rPr>
        <w:t xml:space="preserve">24 age </w:t>
      </w:r>
      <w:proofErr w:type="gramStart"/>
      <w:r w:rsidRPr="0053083A">
        <w:rPr>
          <w:sz w:val="24"/>
          <w:szCs w:val="24"/>
        </w:rPr>
        <w:t>group</w:t>
      </w:r>
      <w:proofErr w:type="gramEnd"/>
      <w:r w:rsidRPr="0053083A">
        <w:rPr>
          <w:sz w:val="24"/>
          <w:szCs w:val="24"/>
        </w:rPr>
        <w:t xml:space="preserve"> were at particular risk, with 6.4% of males aged 16</w:t>
      </w:r>
      <w:r>
        <w:rPr>
          <w:sz w:val="24"/>
          <w:szCs w:val="24"/>
        </w:rPr>
        <w:t>-</w:t>
      </w:r>
      <w:r w:rsidRPr="0053083A">
        <w:rPr>
          <w:sz w:val="24"/>
          <w:szCs w:val="24"/>
        </w:rPr>
        <w:t>24 reporting having been a vict</w:t>
      </w:r>
      <w:r w:rsidR="00275E0B">
        <w:rPr>
          <w:sz w:val="24"/>
          <w:szCs w:val="24"/>
        </w:rPr>
        <w:t xml:space="preserve">im of violent crime in 2012/13 – about </w:t>
      </w:r>
      <w:r w:rsidRPr="0053083A">
        <w:rPr>
          <w:sz w:val="24"/>
          <w:szCs w:val="24"/>
        </w:rPr>
        <w:t xml:space="preserve">twice the rate among </w:t>
      </w:r>
      <w:r w:rsidR="00275E0B">
        <w:rPr>
          <w:sz w:val="24"/>
          <w:szCs w:val="24"/>
        </w:rPr>
        <w:t>women (4.6%)</w:t>
      </w:r>
      <w:r w:rsidRPr="0053083A">
        <w:rPr>
          <w:sz w:val="24"/>
          <w:szCs w:val="24"/>
        </w:rPr>
        <w:t xml:space="preserve"> in the same age group.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70" w:hanging="357"/>
        <w:rPr>
          <w:sz w:val="24"/>
          <w:szCs w:val="24"/>
        </w:rPr>
      </w:pPr>
      <w:r w:rsidRPr="0053083A">
        <w:rPr>
          <w:sz w:val="24"/>
          <w:szCs w:val="24"/>
        </w:rPr>
        <w:t>In England</w:t>
      </w:r>
      <w:r>
        <w:rPr>
          <w:sz w:val="24"/>
          <w:szCs w:val="24"/>
        </w:rPr>
        <w:t>/Wales</w:t>
      </w:r>
      <w:r w:rsidRPr="0053083A">
        <w:rPr>
          <w:sz w:val="24"/>
          <w:szCs w:val="24"/>
        </w:rPr>
        <w:t>, homicide offences per million inhabitants for victims aged 16 and over decreased between 2008/09 and 2013/14, from 13.3 per million to 10.4 per million. The downward trend was most evident among the 16-29 year olds.  In Scotland, homicide offences per million inhabitants decreased from 22.0 in 2008/09 to 13.4 in 2013/14 for those aged 16 and over.</w:t>
      </w:r>
    </w:p>
    <w:p w:rsidR="005A5686" w:rsidRDefault="005A56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231F" w:rsidRPr="0053083A" w:rsidRDefault="00E7231F" w:rsidP="005A5686">
      <w:pPr>
        <w:autoSpaceDE w:val="0"/>
        <w:autoSpaceDN w:val="0"/>
        <w:adjustRightInd w:val="0"/>
        <w:spacing w:after="120" w:line="312" w:lineRule="auto"/>
        <w:rPr>
          <w:b/>
          <w:sz w:val="24"/>
          <w:szCs w:val="24"/>
        </w:rPr>
      </w:pPr>
      <w:r w:rsidRPr="0053083A">
        <w:rPr>
          <w:b/>
          <w:sz w:val="24"/>
          <w:szCs w:val="24"/>
        </w:rPr>
        <w:lastRenderedPageBreak/>
        <w:t xml:space="preserve">Scottish young people </w:t>
      </w:r>
      <w:r>
        <w:rPr>
          <w:b/>
          <w:sz w:val="24"/>
          <w:szCs w:val="24"/>
        </w:rPr>
        <w:t xml:space="preserve">are more likely to vote </w:t>
      </w:r>
      <w:r w:rsidRPr="0053083A">
        <w:rPr>
          <w:b/>
          <w:sz w:val="24"/>
          <w:szCs w:val="24"/>
        </w:rPr>
        <w:t>than young English and Welsh people</w:t>
      </w:r>
    </w:p>
    <w:p w:rsidR="00E7231F" w:rsidRPr="0053083A" w:rsidRDefault="00E7231F" w:rsidP="005A56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>Around two-thirds (67%) of those aged 16 and 17 in Scotland said the</w:t>
      </w:r>
      <w:r w:rsidR="00275E0B">
        <w:rPr>
          <w:sz w:val="24"/>
          <w:szCs w:val="24"/>
        </w:rPr>
        <w:t>y would have voted in the 2015 General E</w:t>
      </w:r>
      <w:r w:rsidRPr="0053083A">
        <w:rPr>
          <w:sz w:val="24"/>
          <w:szCs w:val="24"/>
        </w:rPr>
        <w:t>lection if they had the opportunity, compared with 39% in the rest of the UK.</w:t>
      </w:r>
      <w:r w:rsidR="00275E0B">
        <w:rPr>
          <w:sz w:val="24"/>
          <w:szCs w:val="24"/>
        </w:rPr>
        <w:t xml:space="preserve"> The greater interest </w:t>
      </w:r>
      <w:r>
        <w:rPr>
          <w:sz w:val="24"/>
          <w:szCs w:val="24"/>
        </w:rPr>
        <w:t xml:space="preserve">may </w:t>
      </w:r>
      <w:r w:rsidR="00275E0B">
        <w:rPr>
          <w:sz w:val="24"/>
          <w:szCs w:val="24"/>
        </w:rPr>
        <w:t>be because 16 and 17-year-old Scots could vote in the 2014 Scottish I</w:t>
      </w:r>
      <w:r>
        <w:rPr>
          <w:sz w:val="24"/>
          <w:szCs w:val="24"/>
        </w:rPr>
        <w:t>ndepen</w:t>
      </w:r>
      <w:r w:rsidR="00275E0B">
        <w:rPr>
          <w:sz w:val="24"/>
          <w:szCs w:val="24"/>
        </w:rPr>
        <w:t>dence Referendum. T</w:t>
      </w:r>
      <w:r>
        <w:rPr>
          <w:sz w:val="24"/>
          <w:szCs w:val="24"/>
        </w:rPr>
        <w:t>he Scottish Elections (Reduction of Voting Age) Act 2015 has also extended voting rights to 16 and 17 year olds in Scottish elections, from 2016).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>A</w:t>
      </w:r>
      <w:r>
        <w:rPr>
          <w:sz w:val="24"/>
          <w:szCs w:val="24"/>
        </w:rPr>
        <w:t xml:space="preserve"> lower percentage of people</w:t>
      </w:r>
      <w:r w:rsidRPr="0053083A">
        <w:rPr>
          <w:sz w:val="24"/>
          <w:szCs w:val="24"/>
        </w:rPr>
        <w:t xml:space="preserve"> aged 16-24</w:t>
      </w:r>
      <w:r>
        <w:rPr>
          <w:sz w:val="24"/>
          <w:szCs w:val="24"/>
        </w:rPr>
        <w:t xml:space="preserve"> in England</w:t>
      </w:r>
      <w:r w:rsidRPr="0053083A">
        <w:rPr>
          <w:sz w:val="24"/>
          <w:szCs w:val="24"/>
        </w:rPr>
        <w:t xml:space="preserve"> were engaged in political activity such as lobbying and/or protesting in 2013/14 (19.1%) than those in all other age groups, except those aged 75 and over.</w:t>
      </w:r>
    </w:p>
    <w:p w:rsidR="00E7231F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 w:rsidRPr="0053083A">
        <w:rPr>
          <w:sz w:val="24"/>
          <w:szCs w:val="24"/>
        </w:rPr>
        <w:t xml:space="preserve">People aged 16-24 (5.5%) were less likely than people aged 65-74 (10.8%) to be involved in </w:t>
      </w:r>
      <w:r>
        <w:rPr>
          <w:sz w:val="24"/>
          <w:szCs w:val="24"/>
        </w:rPr>
        <w:t>local decision-making bodies in England in 2013/14</w:t>
      </w:r>
      <w:r w:rsidRPr="0053083A">
        <w:rPr>
          <w:sz w:val="24"/>
          <w:szCs w:val="24"/>
        </w:rPr>
        <w:t>.</w:t>
      </w:r>
    </w:p>
    <w:p w:rsidR="00E7231F" w:rsidRPr="0053083A" w:rsidRDefault="00E7231F" w:rsidP="005A56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Wales is one of the few countries in Europe without a national youth assembly.</w:t>
      </w:r>
    </w:p>
    <w:p w:rsidR="00691940" w:rsidRPr="00E0518E" w:rsidRDefault="00691940" w:rsidP="005A5686">
      <w:pPr>
        <w:spacing w:line="312" w:lineRule="auto"/>
      </w:pPr>
    </w:p>
    <w:sectPr w:rsidR="00691940" w:rsidRPr="00E0518E" w:rsidSect="0096367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8D5"/>
    <w:multiLevelType w:val="hybridMultilevel"/>
    <w:tmpl w:val="364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62A7"/>
    <w:multiLevelType w:val="hybridMultilevel"/>
    <w:tmpl w:val="F306DD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A60425"/>
    <w:multiLevelType w:val="hybridMultilevel"/>
    <w:tmpl w:val="3EF8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80E"/>
    <w:multiLevelType w:val="hybridMultilevel"/>
    <w:tmpl w:val="1B7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2C3"/>
    <w:multiLevelType w:val="hybridMultilevel"/>
    <w:tmpl w:val="63E6E1E0"/>
    <w:lvl w:ilvl="0" w:tplc="08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5">
    <w:nsid w:val="7F6767D4"/>
    <w:multiLevelType w:val="hybridMultilevel"/>
    <w:tmpl w:val="03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F"/>
    <w:rsid w:val="00004E4D"/>
    <w:rsid w:val="000446D8"/>
    <w:rsid w:val="00073576"/>
    <w:rsid w:val="0008012F"/>
    <w:rsid w:val="000C55D1"/>
    <w:rsid w:val="00107240"/>
    <w:rsid w:val="00130C52"/>
    <w:rsid w:val="001530D7"/>
    <w:rsid w:val="001549AB"/>
    <w:rsid w:val="00191BE4"/>
    <w:rsid w:val="001E6B83"/>
    <w:rsid w:val="001F4CD1"/>
    <w:rsid w:val="00201ACA"/>
    <w:rsid w:val="00232409"/>
    <w:rsid w:val="00275E0B"/>
    <w:rsid w:val="002951F3"/>
    <w:rsid w:val="002F3634"/>
    <w:rsid w:val="002F6987"/>
    <w:rsid w:val="00321305"/>
    <w:rsid w:val="003278E7"/>
    <w:rsid w:val="003405DF"/>
    <w:rsid w:val="00351D33"/>
    <w:rsid w:val="00390F83"/>
    <w:rsid w:val="003A52E1"/>
    <w:rsid w:val="003B1986"/>
    <w:rsid w:val="003C5B9B"/>
    <w:rsid w:val="003E2B8A"/>
    <w:rsid w:val="004003B7"/>
    <w:rsid w:val="004018C5"/>
    <w:rsid w:val="0046467C"/>
    <w:rsid w:val="004724A0"/>
    <w:rsid w:val="004850ED"/>
    <w:rsid w:val="004A012A"/>
    <w:rsid w:val="00502539"/>
    <w:rsid w:val="00506A13"/>
    <w:rsid w:val="00511FC9"/>
    <w:rsid w:val="00572C1A"/>
    <w:rsid w:val="00586348"/>
    <w:rsid w:val="005A5686"/>
    <w:rsid w:val="005E584E"/>
    <w:rsid w:val="005F7762"/>
    <w:rsid w:val="00604183"/>
    <w:rsid w:val="00624443"/>
    <w:rsid w:val="00627A82"/>
    <w:rsid w:val="00655319"/>
    <w:rsid w:val="00691940"/>
    <w:rsid w:val="00697E52"/>
    <w:rsid w:val="006A0A76"/>
    <w:rsid w:val="006B0182"/>
    <w:rsid w:val="006B61D8"/>
    <w:rsid w:val="00702795"/>
    <w:rsid w:val="007343E5"/>
    <w:rsid w:val="007965FC"/>
    <w:rsid w:val="007B4B87"/>
    <w:rsid w:val="007C5797"/>
    <w:rsid w:val="008122F0"/>
    <w:rsid w:val="00836EBF"/>
    <w:rsid w:val="008967AB"/>
    <w:rsid w:val="008F69CA"/>
    <w:rsid w:val="00942DC0"/>
    <w:rsid w:val="00957DDD"/>
    <w:rsid w:val="00963673"/>
    <w:rsid w:val="00973E34"/>
    <w:rsid w:val="009A7ADB"/>
    <w:rsid w:val="009C492D"/>
    <w:rsid w:val="009D3AC5"/>
    <w:rsid w:val="009D48F8"/>
    <w:rsid w:val="00A14055"/>
    <w:rsid w:val="00A95CE9"/>
    <w:rsid w:val="00AB5406"/>
    <w:rsid w:val="00B32BE1"/>
    <w:rsid w:val="00B71693"/>
    <w:rsid w:val="00BF0286"/>
    <w:rsid w:val="00BF1A09"/>
    <w:rsid w:val="00C371B2"/>
    <w:rsid w:val="00C71BC5"/>
    <w:rsid w:val="00C83B02"/>
    <w:rsid w:val="00CB7316"/>
    <w:rsid w:val="00D512E0"/>
    <w:rsid w:val="00D54A41"/>
    <w:rsid w:val="00D76B62"/>
    <w:rsid w:val="00DF36A9"/>
    <w:rsid w:val="00E0518E"/>
    <w:rsid w:val="00E11071"/>
    <w:rsid w:val="00E422DC"/>
    <w:rsid w:val="00E50B8D"/>
    <w:rsid w:val="00E7231F"/>
    <w:rsid w:val="00EA76AA"/>
    <w:rsid w:val="00EB27C4"/>
    <w:rsid w:val="00EC0387"/>
    <w:rsid w:val="00EC0BA2"/>
    <w:rsid w:val="00EC235A"/>
    <w:rsid w:val="00F25B97"/>
    <w:rsid w:val="00F349AE"/>
    <w:rsid w:val="00F82411"/>
    <w:rsid w:val="00FB4F95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1F"/>
    <w:pPr>
      <w:spacing w:after="200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1B2"/>
    <w:pPr>
      <w:keepNext/>
      <w:keepLines/>
      <w:spacing w:before="480" w:after="12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B2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B61D8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71B2"/>
    <w:rPr>
      <w:rFonts w:ascii="Arial" w:eastAsia="Times New Roman" w:hAnsi="Arial" w:cs="Times New Roman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71B2"/>
    <w:pPr>
      <w:spacing w:after="300"/>
      <w:contextualSpacing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1B2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71B2"/>
    <w:rPr>
      <w:rFonts w:ascii="Arial" w:eastAsia="Times New Roman" w:hAnsi="Arial" w:cs="Times New Roman"/>
      <w:b/>
      <w:bCs/>
      <w:sz w:val="28"/>
      <w:szCs w:val="26"/>
    </w:rPr>
  </w:style>
  <w:style w:type="paragraph" w:styleId="ListParagraph">
    <w:name w:val="List Paragraph"/>
    <w:aliases w:val="F5 List Paragraph,Dot pt,No Spacing1,List Paragraph Char Char Char,Indicator Text,List Paragraph1,Numbered Para 1,Bullet 1,List Paragraph12,Bullet Points,MAIN CONTENT,List Paragraph2,Normal numbered,List Paragraph11,OBC Bullet,Bullet Styl"/>
    <w:basedOn w:val="Normal"/>
    <w:link w:val="ListParagraphChar"/>
    <w:uiPriority w:val="34"/>
    <w:qFormat/>
    <w:rsid w:val="00691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A0"/>
    <w:rPr>
      <w:color w:val="0000FF"/>
      <w:u w:val="single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Numbered Para 1 Char,Bullet 1 Char,List Paragraph12 Char,Bullet Points Char,MAIN CONTENT Char"/>
    <w:link w:val="ListParagraph"/>
    <w:uiPriority w:val="34"/>
    <w:qFormat/>
    <w:locked/>
    <w:rsid w:val="00E7231F"/>
    <w:rPr>
      <w:rFonts w:ascii="Arial" w:hAnsi="Arial"/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3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3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1F"/>
    <w:pPr>
      <w:spacing w:after="200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1B2"/>
    <w:pPr>
      <w:keepNext/>
      <w:keepLines/>
      <w:spacing w:before="480" w:after="12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B2"/>
    <w:pPr>
      <w:keepNext/>
      <w:keepLines/>
      <w:spacing w:before="20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B61D8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71B2"/>
    <w:rPr>
      <w:rFonts w:ascii="Arial" w:eastAsia="Times New Roman" w:hAnsi="Arial" w:cs="Times New Roman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71B2"/>
    <w:pPr>
      <w:spacing w:after="300"/>
      <w:contextualSpacing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1B2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71B2"/>
    <w:rPr>
      <w:rFonts w:ascii="Arial" w:eastAsia="Times New Roman" w:hAnsi="Arial" w:cs="Times New Roman"/>
      <w:b/>
      <w:bCs/>
      <w:sz w:val="28"/>
      <w:szCs w:val="26"/>
    </w:rPr>
  </w:style>
  <w:style w:type="paragraph" w:styleId="ListParagraph">
    <w:name w:val="List Paragraph"/>
    <w:aliases w:val="F5 List Paragraph,Dot pt,No Spacing1,List Paragraph Char Char Char,Indicator Text,List Paragraph1,Numbered Para 1,Bullet 1,List Paragraph12,Bullet Points,MAIN CONTENT,List Paragraph2,Normal numbered,List Paragraph11,OBC Bullet,Bullet Styl"/>
    <w:basedOn w:val="Normal"/>
    <w:link w:val="ListParagraphChar"/>
    <w:uiPriority w:val="34"/>
    <w:qFormat/>
    <w:rsid w:val="00691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A0"/>
    <w:rPr>
      <w:color w:val="0000FF"/>
      <w:u w:val="single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Numbered Para 1 Char,Bullet 1 Char,List Paragraph12 Char,Bullet Points Char,MAIN CONTENT Char"/>
    <w:link w:val="ListParagraph"/>
    <w:uiPriority w:val="34"/>
    <w:qFormat/>
    <w:locked/>
    <w:rsid w:val="00E7231F"/>
    <w:rPr>
      <w:rFonts w:ascii="Arial" w:hAnsi="Arial"/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3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3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19F2-F729-419A-AE45-0308AA9A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Grant</dc:creator>
  <cp:lastModifiedBy>Amy Grant</cp:lastModifiedBy>
  <cp:revision>3</cp:revision>
  <dcterms:created xsi:type="dcterms:W3CDTF">2017-02-14T15:39:00Z</dcterms:created>
  <dcterms:modified xsi:type="dcterms:W3CDTF">2017-02-15T11:51:00Z</dcterms:modified>
</cp:coreProperties>
</file>