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09A" w:rsidRPr="00947872" w:rsidRDefault="008B009A" w:rsidP="008B009A">
      <w:pPr>
        <w:pStyle w:val="Heading1"/>
        <w:numPr>
          <w:ilvl w:val="0"/>
          <w:numId w:val="0"/>
        </w:numPr>
      </w:pPr>
      <w:bookmarkStart w:id="0" w:name="_GoBack"/>
      <w:bookmarkEnd w:id="0"/>
      <w:r>
        <w:rPr>
          <w:rFonts w:eastAsia="Calibri"/>
        </w:rPr>
        <w:t xml:space="preserve">Annex 6: </w:t>
      </w:r>
      <w:r w:rsidRPr="0061731F">
        <w:rPr>
          <w:rFonts w:eastAsia="Calibri"/>
        </w:rPr>
        <w:t>Terms of reference of the Commissioner Working Group on Treaty Monitoring and Related Matters</w:t>
      </w:r>
    </w:p>
    <w:p w:rsidR="008B009A" w:rsidRDefault="008B009A" w:rsidP="008B009A">
      <w:pPr>
        <w:pStyle w:val="Heading2"/>
        <w:spacing w:before="0" w:after="0"/>
        <w:rPr>
          <w:rFonts w:eastAsia="Calibri"/>
        </w:rPr>
      </w:pPr>
    </w:p>
    <w:p w:rsidR="008B009A" w:rsidRPr="00E12AA5" w:rsidRDefault="008B009A" w:rsidP="008B009A">
      <w:pPr>
        <w:pStyle w:val="Heading2"/>
        <w:spacing w:before="0" w:after="0"/>
        <w:rPr>
          <w:rFonts w:eastAsia="Calibri"/>
        </w:rPr>
      </w:pPr>
      <w:r w:rsidRPr="00E12AA5">
        <w:rPr>
          <w:rFonts w:eastAsia="Calibri"/>
        </w:rPr>
        <w:t xml:space="preserve">Version Control Note: </w:t>
      </w:r>
    </w:p>
    <w:p w:rsidR="008B009A" w:rsidRDefault="008B009A" w:rsidP="008B009A">
      <w:pPr>
        <w:spacing w:after="0"/>
        <w:contextualSpacing/>
        <w:rPr>
          <w:rFonts w:eastAsia="Helvetica"/>
          <w:lang w:eastAsia="en-GB"/>
        </w:rPr>
      </w:pPr>
    </w:p>
    <w:p w:rsidR="008B009A" w:rsidRPr="00E402CB" w:rsidRDefault="008B009A" w:rsidP="008B009A">
      <w:pPr>
        <w:spacing w:after="0"/>
        <w:contextualSpacing/>
      </w:pPr>
      <w:r w:rsidRPr="00E402CB">
        <w:rPr>
          <w:rFonts w:eastAsia="Helvetica"/>
          <w:lang w:eastAsia="en-GB"/>
        </w:rPr>
        <w:t>The Commissioner Working Group (the Working Group) was established by the Equality and Human Rights Commission’s Board</w:t>
      </w:r>
      <w:r>
        <w:rPr>
          <w:rFonts w:eastAsia="Helvetica"/>
          <w:lang w:eastAsia="en-GB"/>
        </w:rPr>
        <w:t xml:space="preserve"> (The Board) </w:t>
      </w:r>
      <w:r w:rsidRPr="00E402CB">
        <w:rPr>
          <w:rFonts w:eastAsia="Helvetica"/>
          <w:lang w:eastAsia="en-GB"/>
        </w:rPr>
        <w:t>in December 2013</w:t>
      </w:r>
      <w:r>
        <w:rPr>
          <w:rFonts w:eastAsia="Helvetica"/>
          <w:lang w:eastAsia="en-GB"/>
        </w:rPr>
        <w:t>.</w:t>
      </w:r>
      <w:r w:rsidRPr="00EB7DA2">
        <w:rPr>
          <w:rFonts w:eastAsia="Helvetica"/>
          <w:lang w:eastAsia="en-GB"/>
        </w:rPr>
        <w:t xml:space="preserve"> </w:t>
      </w:r>
      <w:r w:rsidRPr="00E402CB">
        <w:rPr>
          <w:rFonts w:eastAsia="Helvetica"/>
          <w:lang w:eastAsia="en-GB"/>
        </w:rPr>
        <w:t>The Board subsequently approved the Terms of Reference, membership and method of working of the Working Group at its meeting on 26 March 2014.</w:t>
      </w:r>
      <w:r>
        <w:rPr>
          <w:rFonts w:eastAsia="Helvetica"/>
          <w:lang w:eastAsia="en-GB"/>
        </w:rPr>
        <w:t xml:space="preserve"> These revised Terms of Reference were agreed by the Board on 23 January 2018.</w:t>
      </w:r>
    </w:p>
    <w:p w:rsidR="008B009A" w:rsidRPr="00E402CB" w:rsidRDefault="008B009A" w:rsidP="008B009A">
      <w:pPr>
        <w:spacing w:after="0"/>
        <w:ind w:left="720" w:hanging="720"/>
        <w:rPr>
          <w:rFonts w:eastAsia="Helvetica"/>
          <w:color w:val="000000"/>
          <w:lang w:eastAsia="en-GB"/>
        </w:rPr>
      </w:pPr>
    </w:p>
    <w:p w:rsidR="008B009A" w:rsidRPr="00E402CB" w:rsidRDefault="008B009A" w:rsidP="008B009A">
      <w:pPr>
        <w:pStyle w:val="Heading2"/>
        <w:spacing w:before="0" w:after="0"/>
        <w:rPr>
          <w:rFonts w:eastAsia="Helvetica"/>
          <w:lang w:eastAsia="en-GB"/>
        </w:rPr>
      </w:pPr>
      <w:bookmarkStart w:id="1" w:name="_Toc414918489"/>
      <w:bookmarkStart w:id="2" w:name="_Toc416880811"/>
      <w:bookmarkStart w:id="3" w:name="_Toc422917074"/>
      <w:r w:rsidRPr="00E402CB">
        <w:rPr>
          <w:rFonts w:eastAsia="Helvetica"/>
          <w:lang w:eastAsia="en-GB"/>
        </w:rPr>
        <w:t>Purpose</w:t>
      </w:r>
      <w:bookmarkEnd w:id="1"/>
      <w:bookmarkEnd w:id="2"/>
      <w:bookmarkEnd w:id="3"/>
    </w:p>
    <w:p w:rsidR="008B009A" w:rsidRPr="00E402CB" w:rsidRDefault="008B009A" w:rsidP="008B009A">
      <w:pPr>
        <w:spacing w:after="0"/>
        <w:ind w:left="720" w:hanging="720"/>
        <w:rPr>
          <w:rFonts w:eastAsia="Helvetica"/>
          <w:color w:val="000000"/>
          <w:lang w:eastAsia="en-GB"/>
        </w:rPr>
      </w:pPr>
    </w:p>
    <w:p w:rsidR="008B009A" w:rsidRPr="00274022" w:rsidRDefault="008B009A" w:rsidP="008B009A">
      <w:pPr>
        <w:numPr>
          <w:ilvl w:val="0"/>
          <w:numId w:val="2"/>
        </w:numPr>
        <w:spacing w:after="0"/>
        <w:ind w:hanging="720"/>
        <w:contextualSpacing/>
        <w:rPr>
          <w:rFonts w:eastAsia="Helvetica"/>
          <w:lang w:eastAsia="en-GB"/>
        </w:rPr>
      </w:pPr>
      <w:r w:rsidRPr="00274022">
        <w:rPr>
          <w:rFonts w:eastAsia="Helvetica"/>
          <w:lang w:eastAsia="en-GB"/>
        </w:rPr>
        <w:t xml:space="preserve">The purpose of the Working Group is to oversee the effective implementation of the EHRC’s monitoring and reporting function </w:t>
      </w:r>
      <w:r>
        <w:rPr>
          <w:rFonts w:eastAsia="Helvetica"/>
          <w:lang w:eastAsia="en-GB"/>
        </w:rPr>
        <w:t>through</w:t>
      </w:r>
      <w:r w:rsidRPr="00274022">
        <w:rPr>
          <w:rFonts w:eastAsia="Helvetica"/>
          <w:lang w:eastAsia="en-GB"/>
        </w:rPr>
        <w:t xml:space="preserve"> the</w:t>
      </w:r>
      <w:r>
        <w:rPr>
          <w:rFonts w:eastAsia="Helvetica"/>
          <w:lang w:eastAsia="en-GB"/>
        </w:rPr>
        <w:t xml:space="preserve"> current</w:t>
      </w:r>
      <w:r w:rsidRPr="00274022">
        <w:rPr>
          <w:rFonts w:eastAsia="Helvetica"/>
          <w:lang w:eastAsia="en-GB"/>
        </w:rPr>
        <w:t xml:space="preserve"> UPR and UN Treaty Monitoring Strategy</w:t>
      </w:r>
      <w:r>
        <w:rPr>
          <w:rFonts w:eastAsia="Helvetica"/>
          <w:lang w:eastAsia="en-GB"/>
        </w:rPr>
        <w:t xml:space="preserve"> (‘the Strategy’)</w:t>
      </w:r>
      <w:r w:rsidRPr="00274022">
        <w:rPr>
          <w:rFonts w:eastAsia="Helvetica"/>
          <w:lang w:eastAsia="en-GB"/>
        </w:rPr>
        <w:t xml:space="preserve">, </w:t>
      </w:r>
      <w:r>
        <w:rPr>
          <w:rFonts w:eastAsia="Helvetica"/>
          <w:lang w:eastAsia="en-GB"/>
        </w:rPr>
        <w:t>and to advise on reviewing and amending the Strategy.</w:t>
      </w:r>
      <w:r w:rsidRPr="00274022">
        <w:rPr>
          <w:rFonts w:eastAsia="Helvetica"/>
          <w:lang w:eastAsia="en-GB"/>
        </w:rPr>
        <w:t xml:space="preserve"> </w:t>
      </w:r>
    </w:p>
    <w:p w:rsidR="008B009A" w:rsidRPr="00E402CB" w:rsidRDefault="008B009A" w:rsidP="008B009A">
      <w:pPr>
        <w:spacing w:after="0"/>
        <w:ind w:left="720" w:hanging="720"/>
        <w:rPr>
          <w:rFonts w:eastAsia="Helvetica"/>
          <w:color w:val="000000"/>
          <w:lang w:eastAsia="en-GB"/>
        </w:rPr>
      </w:pPr>
    </w:p>
    <w:p w:rsidR="008B009A" w:rsidRPr="00274022" w:rsidRDefault="008B009A" w:rsidP="008B009A">
      <w:pPr>
        <w:numPr>
          <w:ilvl w:val="0"/>
          <w:numId w:val="2"/>
        </w:numPr>
        <w:spacing w:after="0"/>
        <w:ind w:hanging="720"/>
        <w:contextualSpacing/>
        <w:rPr>
          <w:rFonts w:eastAsia="Helvetica"/>
          <w:lang w:eastAsia="en-GB"/>
        </w:rPr>
      </w:pPr>
      <w:r w:rsidRPr="00274022">
        <w:rPr>
          <w:rFonts w:eastAsia="Helvetica"/>
          <w:lang w:eastAsia="en-GB"/>
        </w:rPr>
        <w:t xml:space="preserve">The principal aims of </w:t>
      </w:r>
      <w:r>
        <w:rPr>
          <w:rFonts w:eastAsia="Helvetica"/>
          <w:lang w:eastAsia="en-GB"/>
        </w:rPr>
        <w:t>the current</w:t>
      </w:r>
      <w:r w:rsidRPr="00274022">
        <w:rPr>
          <w:rFonts w:eastAsia="Helvetica"/>
          <w:lang w:eastAsia="en-GB"/>
        </w:rPr>
        <w:t xml:space="preserve"> </w:t>
      </w:r>
      <w:r>
        <w:rPr>
          <w:rFonts w:eastAsia="Helvetica"/>
          <w:lang w:eastAsia="en-GB"/>
        </w:rPr>
        <w:t>S</w:t>
      </w:r>
      <w:r w:rsidRPr="00274022">
        <w:rPr>
          <w:rFonts w:eastAsia="Helvetica"/>
          <w:lang w:eastAsia="en-GB"/>
        </w:rPr>
        <w:t>trategy are to:</w:t>
      </w:r>
    </w:p>
    <w:p w:rsidR="008B009A" w:rsidRPr="00E402CB" w:rsidRDefault="008B009A" w:rsidP="008B009A">
      <w:pPr>
        <w:spacing w:after="0"/>
        <w:rPr>
          <w:rFonts w:eastAsia="Helvetica"/>
          <w:color w:val="000000"/>
          <w:lang w:eastAsia="en-GB"/>
        </w:rPr>
      </w:pPr>
    </w:p>
    <w:p w:rsidR="008B009A" w:rsidRPr="00E402CB" w:rsidRDefault="008B009A" w:rsidP="008B009A">
      <w:pPr>
        <w:numPr>
          <w:ilvl w:val="0"/>
          <w:numId w:val="3"/>
        </w:numPr>
        <w:spacing w:after="0"/>
        <w:ind w:left="1440" w:hanging="720"/>
        <w:contextualSpacing/>
        <w:rPr>
          <w:rFonts w:eastAsia="Helvetica"/>
          <w:color w:val="000000"/>
          <w:lang w:eastAsia="en-GB"/>
        </w:rPr>
      </w:pPr>
      <w:r w:rsidRPr="00E402CB">
        <w:rPr>
          <w:rFonts w:eastAsia="Helvetica"/>
          <w:color w:val="000000"/>
          <w:lang w:eastAsia="en-GB"/>
        </w:rPr>
        <w:t>fulfil our Equality Act 2006 and NHRI monitoring and reporting responsibilities on the UK's compliance with UN treaties and the recommendations of treaty bodies;</w:t>
      </w:r>
    </w:p>
    <w:p w:rsidR="008B009A" w:rsidRPr="00E402CB" w:rsidRDefault="008B009A" w:rsidP="008B009A">
      <w:pPr>
        <w:numPr>
          <w:ilvl w:val="0"/>
          <w:numId w:val="3"/>
        </w:numPr>
        <w:spacing w:after="0"/>
        <w:ind w:left="1440" w:hanging="720"/>
        <w:contextualSpacing/>
        <w:rPr>
          <w:rFonts w:eastAsia="Helvetica"/>
          <w:color w:val="000000"/>
          <w:lang w:eastAsia="en-GB"/>
        </w:rPr>
      </w:pPr>
      <w:r w:rsidRPr="00E402CB">
        <w:rPr>
          <w:rFonts w:eastAsia="Helvetica"/>
          <w:color w:val="000000"/>
          <w:lang w:eastAsia="en-GB"/>
        </w:rPr>
        <w:t>support the implementation of UN recommendations</w:t>
      </w:r>
      <w:r>
        <w:rPr>
          <w:rFonts w:eastAsia="Helvetica"/>
          <w:color w:val="000000"/>
          <w:lang w:eastAsia="en-GB"/>
        </w:rPr>
        <w:t xml:space="preserve"> at domestic level</w:t>
      </w:r>
      <w:r w:rsidRPr="00E402CB">
        <w:rPr>
          <w:rFonts w:eastAsia="Helvetica"/>
          <w:color w:val="000000"/>
          <w:lang w:eastAsia="en-GB"/>
        </w:rPr>
        <w:t xml:space="preserve"> and advise UN bodies about the issues they should focus on, in order to improve the extent to which equality and human rights are respected;</w:t>
      </w:r>
    </w:p>
    <w:p w:rsidR="008B009A" w:rsidRPr="00E402CB" w:rsidRDefault="008B009A" w:rsidP="008B009A">
      <w:pPr>
        <w:numPr>
          <w:ilvl w:val="0"/>
          <w:numId w:val="3"/>
        </w:numPr>
        <w:spacing w:after="0"/>
        <w:ind w:left="1440" w:hanging="720"/>
        <w:contextualSpacing/>
        <w:rPr>
          <w:rFonts w:eastAsia="ヒラギノ角ゴ Pro W3"/>
          <w:color w:val="000000"/>
          <w:lang w:eastAsia="en-GB"/>
        </w:rPr>
      </w:pPr>
      <w:r w:rsidRPr="00E402CB">
        <w:rPr>
          <w:rFonts w:eastAsia="Helvetica"/>
          <w:color w:val="000000"/>
          <w:lang w:eastAsia="en-GB"/>
        </w:rPr>
        <w:t>consult NGOs and civil society and to facilitate their engagement with the UN; and to improve our external work with a range of interested organisations and government; and</w:t>
      </w:r>
    </w:p>
    <w:p w:rsidR="008B009A" w:rsidRPr="00E402CB" w:rsidRDefault="008B009A" w:rsidP="008B009A">
      <w:pPr>
        <w:numPr>
          <w:ilvl w:val="0"/>
          <w:numId w:val="3"/>
        </w:numPr>
        <w:spacing w:after="0"/>
        <w:ind w:left="1440" w:hanging="720"/>
        <w:contextualSpacing/>
        <w:rPr>
          <w:rFonts w:eastAsia="Helvetica"/>
          <w:color w:val="000000"/>
          <w:lang w:eastAsia="en-GB"/>
        </w:rPr>
      </w:pPr>
      <w:r w:rsidRPr="00E402CB">
        <w:rPr>
          <w:rFonts w:eastAsia="Helvetica"/>
          <w:color w:val="000000"/>
          <w:lang w:eastAsia="en-GB"/>
        </w:rPr>
        <w:t>have a consistent approach to our submissions that maximises our impact, whil</w:t>
      </w:r>
      <w:r>
        <w:rPr>
          <w:rFonts w:eastAsia="Helvetica"/>
          <w:color w:val="000000"/>
          <w:lang w:eastAsia="en-GB"/>
        </w:rPr>
        <w:t>e</w:t>
      </w:r>
      <w:r w:rsidRPr="00E402CB">
        <w:rPr>
          <w:rFonts w:eastAsia="Helvetica"/>
          <w:color w:val="000000"/>
          <w:lang w:eastAsia="en-GB"/>
        </w:rPr>
        <w:t xml:space="preserve"> informing our wider strategic and business planning.</w:t>
      </w:r>
    </w:p>
    <w:p w:rsidR="008B009A" w:rsidRPr="00E402CB" w:rsidRDefault="008B009A" w:rsidP="008B009A">
      <w:pPr>
        <w:spacing w:after="0"/>
        <w:ind w:left="720" w:hanging="720"/>
        <w:rPr>
          <w:rFonts w:eastAsia="Helvetica"/>
          <w:color w:val="000000"/>
          <w:lang w:eastAsia="en-GB"/>
        </w:rPr>
      </w:pPr>
    </w:p>
    <w:p w:rsidR="008B009A" w:rsidRPr="00E402CB" w:rsidRDefault="008B009A" w:rsidP="008B009A">
      <w:pPr>
        <w:pStyle w:val="Heading2"/>
        <w:spacing w:before="0" w:after="0"/>
        <w:rPr>
          <w:rFonts w:eastAsia="Helvetica"/>
          <w:lang w:eastAsia="en-GB"/>
        </w:rPr>
      </w:pPr>
      <w:bookmarkStart w:id="4" w:name="_Toc414918490"/>
      <w:bookmarkStart w:id="5" w:name="_Toc416880812"/>
      <w:bookmarkStart w:id="6" w:name="_Toc422917075"/>
      <w:r w:rsidRPr="00E402CB">
        <w:rPr>
          <w:rFonts w:eastAsia="Helvetica"/>
          <w:lang w:eastAsia="en-GB"/>
        </w:rPr>
        <w:t>Responsibilities</w:t>
      </w:r>
      <w:bookmarkEnd w:id="4"/>
      <w:bookmarkEnd w:id="5"/>
      <w:bookmarkEnd w:id="6"/>
    </w:p>
    <w:p w:rsidR="008B009A" w:rsidRPr="00E402CB" w:rsidRDefault="008B009A" w:rsidP="008B009A">
      <w:pPr>
        <w:spacing w:after="0"/>
        <w:ind w:left="720" w:hanging="720"/>
        <w:rPr>
          <w:rFonts w:eastAsia="Helvetica"/>
          <w:color w:val="000000"/>
          <w:lang w:eastAsia="en-GB"/>
        </w:rPr>
      </w:pPr>
    </w:p>
    <w:p w:rsidR="008B009A" w:rsidRPr="00274022" w:rsidRDefault="008B009A" w:rsidP="008B009A">
      <w:pPr>
        <w:numPr>
          <w:ilvl w:val="0"/>
          <w:numId w:val="2"/>
        </w:numPr>
        <w:spacing w:after="0"/>
        <w:ind w:hanging="720"/>
        <w:contextualSpacing/>
        <w:rPr>
          <w:rFonts w:eastAsia="Helvetica"/>
          <w:lang w:eastAsia="en-GB"/>
        </w:rPr>
      </w:pPr>
      <w:r w:rsidRPr="00274022">
        <w:rPr>
          <w:rFonts w:eastAsia="Helvetica"/>
          <w:lang w:eastAsia="en-GB"/>
        </w:rPr>
        <w:t>The Board has delegated to the Working Group the responsibility to:</w:t>
      </w:r>
    </w:p>
    <w:p w:rsidR="008B009A" w:rsidRPr="00E402CB" w:rsidRDefault="008B009A" w:rsidP="008B009A">
      <w:pPr>
        <w:spacing w:after="0"/>
        <w:ind w:left="720"/>
        <w:rPr>
          <w:rFonts w:eastAsia="Helvetica"/>
          <w:color w:val="000000"/>
          <w:lang w:eastAsia="en-GB"/>
        </w:rPr>
      </w:pPr>
    </w:p>
    <w:p w:rsidR="008B009A" w:rsidRPr="0096337C" w:rsidRDefault="008B009A" w:rsidP="008B009A">
      <w:pPr>
        <w:numPr>
          <w:ilvl w:val="0"/>
          <w:numId w:val="4"/>
        </w:numPr>
        <w:spacing w:after="0"/>
        <w:ind w:left="1440" w:hanging="720"/>
        <w:contextualSpacing/>
        <w:rPr>
          <w:rFonts w:eastAsia="Helvetica"/>
          <w:color w:val="000000"/>
          <w:lang w:eastAsia="en-GB"/>
        </w:rPr>
      </w:pPr>
      <w:r w:rsidRPr="0096337C">
        <w:rPr>
          <w:rFonts w:eastAsia="Helvetica"/>
          <w:color w:val="000000"/>
          <w:lang w:eastAsia="en-GB"/>
        </w:rPr>
        <w:t xml:space="preserve">approve the scope and approach of reports to Parliament and the UN of Britain’s progress and compliance with international equality and human rights instruments </w:t>
      </w:r>
    </w:p>
    <w:p w:rsidR="008B009A" w:rsidRPr="00E402CB" w:rsidRDefault="008B009A" w:rsidP="008B009A">
      <w:pPr>
        <w:numPr>
          <w:ilvl w:val="0"/>
          <w:numId w:val="4"/>
        </w:numPr>
        <w:spacing w:after="0"/>
        <w:ind w:left="1440" w:hanging="720"/>
        <w:contextualSpacing/>
        <w:rPr>
          <w:rFonts w:eastAsia="Helvetica"/>
          <w:color w:val="000000"/>
          <w:lang w:eastAsia="en-GB"/>
        </w:rPr>
      </w:pPr>
      <w:r w:rsidRPr="00E402CB">
        <w:rPr>
          <w:rFonts w:eastAsia="Helvetica"/>
          <w:color w:val="000000"/>
          <w:lang w:eastAsia="en-GB"/>
        </w:rPr>
        <w:t>ensure the effective implementation of the UPR and Treaty Monitoring Strategy.  This may include engaging with Government, Parliament, other NHRIs, NGOs, experts, the media and UN bodies to promote and further the aims of the Commission's UPR and Treaty Monitoring Strategy;</w:t>
      </w:r>
    </w:p>
    <w:p w:rsidR="008B009A" w:rsidRPr="00E402CB" w:rsidRDefault="008B009A" w:rsidP="008B009A">
      <w:pPr>
        <w:numPr>
          <w:ilvl w:val="0"/>
          <w:numId w:val="4"/>
        </w:numPr>
        <w:spacing w:after="0"/>
        <w:ind w:left="1440" w:hanging="720"/>
        <w:contextualSpacing/>
        <w:rPr>
          <w:rFonts w:eastAsia="Helvetica"/>
          <w:color w:val="000000"/>
          <w:lang w:eastAsia="en-GB"/>
        </w:rPr>
      </w:pPr>
      <w:r w:rsidRPr="00E402CB">
        <w:rPr>
          <w:rFonts w:eastAsia="Helvetica"/>
          <w:color w:val="000000"/>
          <w:lang w:eastAsia="en-GB"/>
        </w:rPr>
        <w:t xml:space="preserve">inform and approve </w:t>
      </w:r>
      <w:r>
        <w:rPr>
          <w:rFonts w:eastAsia="Helvetica"/>
          <w:color w:val="000000"/>
          <w:lang w:eastAsia="en-GB"/>
        </w:rPr>
        <w:t xml:space="preserve">specific policy positions and recommendations </w:t>
      </w:r>
      <w:r w:rsidRPr="00E402CB">
        <w:rPr>
          <w:rFonts w:eastAsia="Helvetica"/>
          <w:color w:val="000000"/>
          <w:lang w:eastAsia="en-GB"/>
        </w:rPr>
        <w:t>emerging from the UPR and Treaty Monitoring Strategy</w:t>
      </w:r>
      <w:r>
        <w:rPr>
          <w:rFonts w:eastAsia="Helvetica"/>
          <w:color w:val="000000"/>
          <w:lang w:eastAsia="en-GB"/>
        </w:rPr>
        <w:t xml:space="preserve"> that are new or have significant reputational or operational risk, referring to the full Board where appropriate (see para 7)</w:t>
      </w:r>
      <w:r w:rsidRPr="00E402CB">
        <w:rPr>
          <w:rFonts w:eastAsia="Helvetica"/>
          <w:color w:val="000000"/>
          <w:lang w:eastAsia="en-GB"/>
        </w:rPr>
        <w:t>; and</w:t>
      </w:r>
    </w:p>
    <w:p w:rsidR="008B009A" w:rsidRPr="00E402CB" w:rsidRDefault="008B009A" w:rsidP="008B009A">
      <w:pPr>
        <w:numPr>
          <w:ilvl w:val="0"/>
          <w:numId w:val="4"/>
        </w:numPr>
        <w:spacing w:after="0"/>
        <w:ind w:left="1440" w:hanging="720"/>
        <w:contextualSpacing/>
      </w:pPr>
      <w:r w:rsidRPr="0096337C">
        <w:rPr>
          <w:rFonts w:eastAsia="Helvetica"/>
          <w:color w:val="000000"/>
          <w:lang w:eastAsia="en-GB"/>
        </w:rPr>
        <w:lastRenderedPageBreak/>
        <w:t>ensure the Commission fulfils the requirements of Equality Act 2006 and complies with the Paris Principles in relation to monitoring and reporting to the United Nations</w:t>
      </w:r>
      <w:r w:rsidRPr="00E402CB">
        <w:t>.</w:t>
      </w:r>
    </w:p>
    <w:p w:rsidR="008B009A" w:rsidRPr="00E402CB" w:rsidRDefault="008B009A" w:rsidP="008B009A">
      <w:pPr>
        <w:spacing w:after="0"/>
        <w:ind w:left="1440" w:hanging="720"/>
        <w:rPr>
          <w:rFonts w:eastAsia="Helvetica"/>
          <w:color w:val="000000"/>
          <w:lang w:eastAsia="en-GB"/>
        </w:rPr>
      </w:pPr>
    </w:p>
    <w:p w:rsidR="008B009A" w:rsidRPr="00274022" w:rsidRDefault="008B009A" w:rsidP="008B009A">
      <w:pPr>
        <w:numPr>
          <w:ilvl w:val="0"/>
          <w:numId w:val="2"/>
        </w:numPr>
        <w:spacing w:after="0"/>
        <w:ind w:hanging="720"/>
        <w:contextualSpacing/>
        <w:rPr>
          <w:rFonts w:eastAsia="Helvetica"/>
          <w:lang w:eastAsia="en-GB"/>
        </w:rPr>
      </w:pPr>
      <w:r w:rsidRPr="00274022">
        <w:rPr>
          <w:rFonts w:eastAsia="Helvetica"/>
          <w:lang w:eastAsia="en-GB"/>
        </w:rPr>
        <w:t xml:space="preserve">The Board may vary, revoke or add to these delegations. The Terms of Reference of the Working Group </w:t>
      </w:r>
      <w:r>
        <w:rPr>
          <w:rFonts w:eastAsia="Helvetica"/>
          <w:lang w:eastAsia="en-GB"/>
        </w:rPr>
        <w:t>will</w:t>
      </w:r>
      <w:r w:rsidRPr="00274022">
        <w:rPr>
          <w:rFonts w:eastAsia="Helvetica"/>
          <w:lang w:eastAsia="en-GB"/>
        </w:rPr>
        <w:t xml:space="preserve"> be reviewed annually.</w:t>
      </w:r>
      <w:r w:rsidRPr="00274022">
        <w:rPr>
          <w:rFonts w:eastAsia="Helvetica"/>
          <w:lang w:eastAsia="en-GB"/>
        </w:rPr>
        <w:br/>
      </w:r>
    </w:p>
    <w:p w:rsidR="008B009A" w:rsidRPr="00E402CB" w:rsidRDefault="008B009A" w:rsidP="008B009A">
      <w:pPr>
        <w:pStyle w:val="Heading2"/>
        <w:spacing w:before="0" w:after="0"/>
        <w:rPr>
          <w:rFonts w:eastAsia="Helvetica"/>
          <w:lang w:eastAsia="en-GB"/>
        </w:rPr>
      </w:pPr>
      <w:bookmarkStart w:id="7" w:name="_Toc414918491"/>
      <w:bookmarkStart w:id="8" w:name="_Toc416880813"/>
      <w:bookmarkStart w:id="9" w:name="_Toc422917076"/>
      <w:r w:rsidRPr="00E402CB">
        <w:rPr>
          <w:rFonts w:eastAsia="Helvetica"/>
          <w:lang w:eastAsia="en-GB"/>
        </w:rPr>
        <w:t>Accountabilities</w:t>
      </w:r>
      <w:bookmarkEnd w:id="7"/>
      <w:bookmarkEnd w:id="8"/>
      <w:bookmarkEnd w:id="9"/>
    </w:p>
    <w:p w:rsidR="008B009A" w:rsidRPr="00E402CB" w:rsidRDefault="008B009A" w:rsidP="008B009A">
      <w:pPr>
        <w:spacing w:after="0"/>
        <w:ind w:left="720" w:hanging="720"/>
        <w:rPr>
          <w:rFonts w:eastAsia="Helvetica"/>
          <w:color w:val="000000"/>
          <w:lang w:eastAsia="en-GB"/>
        </w:rPr>
      </w:pPr>
    </w:p>
    <w:p w:rsidR="008B009A" w:rsidRPr="00274022" w:rsidRDefault="008B009A" w:rsidP="008B009A">
      <w:pPr>
        <w:numPr>
          <w:ilvl w:val="0"/>
          <w:numId w:val="2"/>
        </w:numPr>
        <w:spacing w:after="0"/>
        <w:ind w:hanging="720"/>
        <w:contextualSpacing/>
        <w:rPr>
          <w:rFonts w:eastAsia="Helvetica"/>
          <w:lang w:eastAsia="en-GB"/>
        </w:rPr>
      </w:pPr>
      <w:r w:rsidRPr="00274022">
        <w:rPr>
          <w:rFonts w:eastAsia="Helvetica"/>
          <w:lang w:eastAsia="en-GB"/>
        </w:rPr>
        <w:t xml:space="preserve">The Board remains responsible for all of its functions under the Equality Act, even those delegated to a Working Group, Commissioner, or a member of staff. </w:t>
      </w:r>
    </w:p>
    <w:p w:rsidR="008B009A" w:rsidRPr="00274022" w:rsidRDefault="008B009A" w:rsidP="008B009A">
      <w:pPr>
        <w:spacing w:after="0"/>
        <w:ind w:left="720"/>
        <w:rPr>
          <w:rFonts w:eastAsia="Helvetica"/>
          <w:lang w:eastAsia="en-GB"/>
        </w:rPr>
      </w:pPr>
    </w:p>
    <w:p w:rsidR="008B009A" w:rsidRPr="00274022" w:rsidRDefault="008B009A" w:rsidP="008B009A">
      <w:pPr>
        <w:numPr>
          <w:ilvl w:val="0"/>
          <w:numId w:val="2"/>
        </w:numPr>
        <w:spacing w:after="0"/>
        <w:ind w:hanging="720"/>
        <w:contextualSpacing/>
        <w:rPr>
          <w:rFonts w:eastAsia="Helvetica"/>
          <w:lang w:eastAsia="en-GB"/>
        </w:rPr>
      </w:pPr>
      <w:r w:rsidRPr="00274022">
        <w:rPr>
          <w:rFonts w:eastAsia="Helvetica"/>
          <w:lang w:eastAsia="en-GB"/>
        </w:rPr>
        <w:t xml:space="preserve">Where the Working Group is concerned that a decision is outside of its Terms of Reference, or has significant operational or reputational implications or risks, then it </w:t>
      </w:r>
      <w:r>
        <w:t>must consult the Chair and Chief Executive to determine whether the matter should be referred</w:t>
      </w:r>
      <w:r>
        <w:rPr>
          <w:rFonts w:eastAsia="Helvetica"/>
          <w:lang w:eastAsia="en-GB"/>
        </w:rPr>
        <w:t xml:space="preserve"> to the Board. </w:t>
      </w:r>
    </w:p>
    <w:p w:rsidR="008B009A" w:rsidRPr="00274022" w:rsidRDefault="008B009A" w:rsidP="008B009A">
      <w:pPr>
        <w:spacing w:after="0"/>
        <w:ind w:left="720"/>
        <w:rPr>
          <w:rFonts w:eastAsia="Helvetica"/>
          <w:lang w:eastAsia="en-GB"/>
        </w:rPr>
      </w:pPr>
    </w:p>
    <w:p w:rsidR="008B009A" w:rsidRPr="00064058" w:rsidRDefault="008B009A" w:rsidP="008B009A">
      <w:pPr>
        <w:numPr>
          <w:ilvl w:val="0"/>
          <w:numId w:val="2"/>
        </w:numPr>
        <w:spacing w:after="0"/>
        <w:ind w:hanging="720"/>
        <w:contextualSpacing/>
        <w:rPr>
          <w:rFonts w:eastAsia="Helvetica"/>
          <w:lang w:eastAsia="en-GB"/>
        </w:rPr>
      </w:pPr>
      <w:r w:rsidRPr="00274022">
        <w:rPr>
          <w:rFonts w:eastAsia="Helvetica"/>
          <w:lang w:eastAsia="en-GB"/>
        </w:rPr>
        <w:t xml:space="preserve">The Working Group must engage the </w:t>
      </w:r>
      <w:r>
        <w:rPr>
          <w:rFonts w:eastAsia="Helvetica"/>
          <w:lang w:eastAsia="en-GB"/>
        </w:rPr>
        <w:t xml:space="preserve">Disability Advisory Committee and consult the </w:t>
      </w:r>
      <w:r w:rsidRPr="00274022">
        <w:rPr>
          <w:rFonts w:eastAsia="Helvetica"/>
          <w:lang w:eastAsia="en-GB"/>
        </w:rPr>
        <w:t>St</w:t>
      </w:r>
      <w:r>
        <w:rPr>
          <w:rFonts w:eastAsia="Helvetica"/>
          <w:lang w:eastAsia="en-GB"/>
        </w:rPr>
        <w:t>atutory Committees for Scotland and</w:t>
      </w:r>
      <w:r w:rsidRPr="00274022">
        <w:rPr>
          <w:rFonts w:eastAsia="Helvetica"/>
          <w:lang w:eastAsia="en-GB"/>
        </w:rPr>
        <w:t xml:space="preserve"> Wales</w:t>
      </w:r>
      <w:r>
        <w:rPr>
          <w:rFonts w:eastAsia="Helvetica"/>
          <w:lang w:eastAsia="en-GB"/>
        </w:rPr>
        <w:t xml:space="preserve"> </w:t>
      </w:r>
      <w:r w:rsidRPr="00274022">
        <w:rPr>
          <w:rFonts w:eastAsia="Helvetica"/>
          <w:lang w:eastAsia="en-GB"/>
        </w:rPr>
        <w:t>where their decisions relate to issues that fall within their respective mandates.</w:t>
      </w:r>
    </w:p>
    <w:p w:rsidR="008B009A" w:rsidRPr="00274022" w:rsidRDefault="008B009A" w:rsidP="008B009A">
      <w:pPr>
        <w:spacing w:after="0"/>
        <w:ind w:left="720"/>
        <w:rPr>
          <w:rFonts w:eastAsia="Helvetica"/>
          <w:lang w:eastAsia="en-GB"/>
        </w:rPr>
      </w:pPr>
    </w:p>
    <w:p w:rsidR="008B009A" w:rsidRPr="00274022" w:rsidRDefault="008B009A" w:rsidP="008B009A">
      <w:pPr>
        <w:numPr>
          <w:ilvl w:val="0"/>
          <w:numId w:val="2"/>
        </w:numPr>
        <w:spacing w:after="0"/>
        <w:ind w:hanging="720"/>
        <w:contextualSpacing/>
        <w:rPr>
          <w:rFonts w:eastAsia="Helvetica"/>
          <w:lang w:eastAsia="en-GB"/>
        </w:rPr>
      </w:pPr>
      <w:r w:rsidRPr="00274022">
        <w:rPr>
          <w:rFonts w:eastAsia="Helvetica"/>
          <w:lang w:eastAsia="en-GB"/>
        </w:rPr>
        <w:t>The minutes of Working Group meetings will be recorded by the</w:t>
      </w:r>
      <w:r>
        <w:rPr>
          <w:rFonts w:eastAsia="Helvetica"/>
          <w:lang w:eastAsia="en-GB"/>
        </w:rPr>
        <w:t xml:space="preserve"> Working Group’s</w:t>
      </w:r>
      <w:r w:rsidRPr="00274022">
        <w:rPr>
          <w:rFonts w:eastAsia="Helvetica"/>
          <w:lang w:eastAsia="en-GB"/>
        </w:rPr>
        <w:t xml:space="preserve"> Secretariat and shared with the </w:t>
      </w:r>
      <w:r>
        <w:rPr>
          <w:rFonts w:eastAsia="Helvetica"/>
          <w:lang w:eastAsia="en-GB"/>
        </w:rPr>
        <w:t xml:space="preserve">Commission’s </w:t>
      </w:r>
      <w:r w:rsidRPr="00274022">
        <w:rPr>
          <w:rFonts w:eastAsia="Helvetica"/>
          <w:lang w:eastAsia="en-GB"/>
        </w:rPr>
        <w:t xml:space="preserve">Board, Statutory Committees and </w:t>
      </w:r>
      <w:r>
        <w:rPr>
          <w:rFonts w:eastAsia="Helvetica"/>
          <w:lang w:eastAsia="en-GB"/>
        </w:rPr>
        <w:t>Executive Group (EG)</w:t>
      </w:r>
      <w:r w:rsidRPr="00274022">
        <w:rPr>
          <w:rFonts w:eastAsia="Helvetica"/>
          <w:lang w:eastAsia="en-GB"/>
        </w:rPr>
        <w:t xml:space="preserve">. </w:t>
      </w:r>
    </w:p>
    <w:p w:rsidR="008B009A" w:rsidRPr="00E402CB" w:rsidRDefault="008B009A" w:rsidP="008B009A">
      <w:pPr>
        <w:spacing w:after="0"/>
        <w:ind w:left="720" w:hanging="720"/>
        <w:rPr>
          <w:rFonts w:eastAsia="Helvetica"/>
          <w:color w:val="000000"/>
          <w:lang w:eastAsia="en-GB"/>
        </w:rPr>
      </w:pPr>
    </w:p>
    <w:p w:rsidR="008B009A" w:rsidRDefault="008B009A" w:rsidP="008B009A">
      <w:pPr>
        <w:pStyle w:val="Heading2"/>
        <w:spacing w:before="0" w:after="0"/>
        <w:rPr>
          <w:rFonts w:eastAsia="Helvetica"/>
          <w:lang w:eastAsia="en-GB"/>
        </w:rPr>
      </w:pPr>
      <w:bookmarkStart w:id="10" w:name="_Toc414918492"/>
      <w:bookmarkStart w:id="11" w:name="_Toc416880814"/>
      <w:bookmarkStart w:id="12" w:name="_Toc422917077"/>
      <w:r w:rsidRPr="00E402CB">
        <w:rPr>
          <w:rFonts w:eastAsia="Helvetica"/>
          <w:lang w:eastAsia="en-GB"/>
        </w:rPr>
        <w:t>Members</w:t>
      </w:r>
      <w:bookmarkEnd w:id="10"/>
      <w:bookmarkEnd w:id="11"/>
      <w:bookmarkEnd w:id="12"/>
    </w:p>
    <w:p w:rsidR="008B009A" w:rsidRPr="008B009A" w:rsidRDefault="008B009A" w:rsidP="008B009A">
      <w:pPr>
        <w:rPr>
          <w:lang w:eastAsia="en-GB"/>
        </w:rPr>
      </w:pPr>
    </w:p>
    <w:p w:rsidR="008B009A" w:rsidRDefault="008B009A" w:rsidP="008B009A">
      <w:pPr>
        <w:pStyle w:val="ListParagraph"/>
        <w:numPr>
          <w:ilvl w:val="0"/>
          <w:numId w:val="2"/>
        </w:numPr>
        <w:spacing w:after="0"/>
        <w:ind w:left="0" w:firstLine="0"/>
        <w:rPr>
          <w:rFonts w:eastAsia="Helvetica"/>
          <w:lang w:eastAsia="en-GB"/>
        </w:rPr>
      </w:pPr>
      <w:r w:rsidRPr="00426F3E">
        <w:rPr>
          <w:rFonts w:eastAsia="Helvetica"/>
          <w:lang w:eastAsia="en-GB"/>
        </w:rPr>
        <w:t xml:space="preserve">The Working Group consists of serving members of the Board. </w:t>
      </w:r>
    </w:p>
    <w:p w:rsidR="008B009A" w:rsidRPr="00426F3E" w:rsidRDefault="008B009A" w:rsidP="008B009A">
      <w:pPr>
        <w:pStyle w:val="ListParagraph"/>
        <w:spacing w:after="0"/>
        <w:ind w:left="0"/>
        <w:rPr>
          <w:rFonts w:eastAsia="Helvetica"/>
          <w:lang w:eastAsia="en-GB"/>
        </w:rPr>
      </w:pPr>
    </w:p>
    <w:p w:rsidR="008B009A" w:rsidRPr="00274022" w:rsidRDefault="008B009A" w:rsidP="008B009A">
      <w:pPr>
        <w:numPr>
          <w:ilvl w:val="0"/>
          <w:numId w:val="2"/>
        </w:numPr>
        <w:spacing w:after="0"/>
        <w:ind w:hanging="720"/>
        <w:contextualSpacing/>
        <w:rPr>
          <w:rFonts w:eastAsia="Helvetica"/>
          <w:lang w:eastAsia="en-GB"/>
        </w:rPr>
      </w:pPr>
      <w:r w:rsidRPr="00274022">
        <w:rPr>
          <w:rFonts w:eastAsia="Helvetica"/>
          <w:lang w:eastAsia="en-GB"/>
        </w:rPr>
        <w:t xml:space="preserve">To be quorate, at least </w:t>
      </w:r>
      <w:r>
        <w:rPr>
          <w:rFonts w:eastAsia="Helvetica"/>
          <w:lang w:eastAsia="en-GB"/>
        </w:rPr>
        <w:t>two</w:t>
      </w:r>
      <w:r w:rsidRPr="00274022">
        <w:rPr>
          <w:rFonts w:eastAsia="Helvetica"/>
          <w:lang w:eastAsia="en-GB"/>
        </w:rPr>
        <w:t xml:space="preserve"> Commissioners must be present.</w:t>
      </w:r>
    </w:p>
    <w:p w:rsidR="008B009A" w:rsidRPr="00274022" w:rsidRDefault="008B009A" w:rsidP="008B009A">
      <w:pPr>
        <w:spacing w:after="0"/>
        <w:ind w:left="720"/>
        <w:rPr>
          <w:rFonts w:eastAsia="Helvetica"/>
          <w:lang w:eastAsia="en-GB"/>
        </w:rPr>
      </w:pPr>
    </w:p>
    <w:p w:rsidR="008B009A" w:rsidRPr="00274022" w:rsidRDefault="008B009A" w:rsidP="008B009A">
      <w:pPr>
        <w:numPr>
          <w:ilvl w:val="0"/>
          <w:numId w:val="2"/>
        </w:numPr>
        <w:spacing w:after="0"/>
        <w:ind w:hanging="720"/>
        <w:contextualSpacing/>
        <w:rPr>
          <w:rFonts w:eastAsia="Helvetica"/>
          <w:lang w:eastAsia="en-GB"/>
        </w:rPr>
      </w:pPr>
      <w:r w:rsidRPr="00274022">
        <w:rPr>
          <w:rFonts w:eastAsia="Helvetica"/>
          <w:lang w:eastAsia="en-GB"/>
        </w:rPr>
        <w:t>The Working Group may nominate a Chair from its membership, or alternatively operate a rotating system.</w:t>
      </w:r>
      <w:r>
        <w:rPr>
          <w:rFonts w:eastAsia="Helvetica"/>
          <w:lang w:eastAsia="en-GB"/>
        </w:rPr>
        <w:t xml:space="preserve"> </w:t>
      </w:r>
    </w:p>
    <w:p w:rsidR="008B009A" w:rsidRPr="00E402CB" w:rsidRDefault="008B009A" w:rsidP="008B009A">
      <w:pPr>
        <w:spacing w:after="0"/>
        <w:ind w:left="720" w:hanging="720"/>
        <w:rPr>
          <w:rFonts w:eastAsia="Helvetica"/>
          <w:color w:val="000000"/>
          <w:lang w:eastAsia="en-GB"/>
        </w:rPr>
      </w:pPr>
    </w:p>
    <w:p w:rsidR="008B009A" w:rsidRPr="00E402CB" w:rsidRDefault="008B009A" w:rsidP="008B009A">
      <w:pPr>
        <w:pStyle w:val="Heading2"/>
        <w:spacing w:before="0" w:after="0"/>
        <w:rPr>
          <w:rFonts w:eastAsia="Helvetica"/>
          <w:lang w:eastAsia="en-GB"/>
        </w:rPr>
      </w:pPr>
      <w:bookmarkStart w:id="13" w:name="_Toc414918493"/>
      <w:bookmarkStart w:id="14" w:name="_Toc416880815"/>
      <w:bookmarkStart w:id="15" w:name="_Toc422917078"/>
      <w:r w:rsidRPr="00E402CB">
        <w:rPr>
          <w:rFonts w:eastAsia="Helvetica"/>
          <w:lang w:eastAsia="en-GB"/>
        </w:rPr>
        <w:t>Attendance</w:t>
      </w:r>
      <w:bookmarkEnd w:id="13"/>
      <w:bookmarkEnd w:id="14"/>
      <w:bookmarkEnd w:id="15"/>
    </w:p>
    <w:p w:rsidR="008B009A" w:rsidRPr="00E402CB" w:rsidRDefault="008B009A" w:rsidP="008B009A">
      <w:pPr>
        <w:spacing w:after="0"/>
        <w:ind w:left="720" w:hanging="720"/>
        <w:rPr>
          <w:rFonts w:eastAsia="Helvetica"/>
          <w:color w:val="000000"/>
          <w:lang w:eastAsia="en-GB"/>
        </w:rPr>
      </w:pPr>
    </w:p>
    <w:p w:rsidR="008B009A" w:rsidRPr="00274022" w:rsidRDefault="008B009A" w:rsidP="008B009A">
      <w:pPr>
        <w:numPr>
          <w:ilvl w:val="0"/>
          <w:numId w:val="2"/>
        </w:numPr>
        <w:spacing w:after="0"/>
        <w:ind w:hanging="720"/>
        <w:contextualSpacing/>
        <w:rPr>
          <w:rFonts w:eastAsia="Helvetica"/>
          <w:lang w:eastAsia="en-GB"/>
        </w:rPr>
      </w:pPr>
      <w:r w:rsidRPr="00274022">
        <w:rPr>
          <w:rFonts w:eastAsia="Helvetica"/>
          <w:lang w:eastAsia="en-GB"/>
        </w:rPr>
        <w:t xml:space="preserve">The Lead Officer for the Working Group shall be the </w:t>
      </w:r>
      <w:r>
        <w:rPr>
          <w:rFonts w:eastAsia="Helvetica"/>
          <w:lang w:eastAsia="en-GB"/>
        </w:rPr>
        <w:t>Director of Human Rights and Research</w:t>
      </w:r>
      <w:r w:rsidRPr="00274022">
        <w:rPr>
          <w:rFonts w:eastAsia="Helvetica"/>
          <w:lang w:eastAsia="en-GB"/>
        </w:rPr>
        <w:t>.</w:t>
      </w:r>
    </w:p>
    <w:p w:rsidR="008B009A" w:rsidRPr="00274022" w:rsidRDefault="008B009A" w:rsidP="008B009A">
      <w:pPr>
        <w:spacing w:after="0"/>
        <w:ind w:left="720"/>
        <w:rPr>
          <w:rFonts w:eastAsia="Helvetica"/>
          <w:lang w:eastAsia="en-GB"/>
        </w:rPr>
      </w:pPr>
    </w:p>
    <w:p w:rsidR="008B009A" w:rsidRPr="00274022" w:rsidRDefault="008B009A" w:rsidP="008B009A">
      <w:pPr>
        <w:numPr>
          <w:ilvl w:val="0"/>
          <w:numId w:val="2"/>
        </w:numPr>
        <w:spacing w:after="0"/>
        <w:ind w:hanging="720"/>
        <w:contextualSpacing/>
        <w:rPr>
          <w:rFonts w:eastAsia="Helvetica"/>
          <w:lang w:eastAsia="en-GB"/>
        </w:rPr>
      </w:pPr>
      <w:r w:rsidRPr="00274022">
        <w:rPr>
          <w:rFonts w:eastAsia="Helvetica"/>
          <w:lang w:eastAsia="en-GB"/>
        </w:rPr>
        <w:t xml:space="preserve">The Secretariat for the Working Group shall be provided by the </w:t>
      </w:r>
      <w:r>
        <w:rPr>
          <w:rFonts w:eastAsia="Helvetica"/>
          <w:lang w:eastAsia="en-GB"/>
        </w:rPr>
        <w:t xml:space="preserve">Commission’s </w:t>
      </w:r>
      <w:r w:rsidRPr="00274022">
        <w:rPr>
          <w:rFonts w:eastAsia="Helvetica"/>
          <w:lang w:eastAsia="en-GB"/>
        </w:rPr>
        <w:t>Treaty</w:t>
      </w:r>
      <w:r>
        <w:rPr>
          <w:rFonts w:eastAsia="Helvetica"/>
          <w:lang w:eastAsia="en-GB"/>
        </w:rPr>
        <w:t xml:space="preserve"> Monitoring Team</w:t>
      </w:r>
      <w:r w:rsidRPr="00274022">
        <w:rPr>
          <w:rFonts w:eastAsia="Helvetica"/>
          <w:lang w:eastAsia="en-GB"/>
        </w:rPr>
        <w:t>.</w:t>
      </w:r>
    </w:p>
    <w:p w:rsidR="008B009A" w:rsidRPr="00274022" w:rsidRDefault="008B009A" w:rsidP="008B009A">
      <w:pPr>
        <w:spacing w:after="0"/>
        <w:ind w:left="720"/>
        <w:rPr>
          <w:rFonts w:eastAsia="Helvetica"/>
          <w:lang w:eastAsia="en-GB"/>
        </w:rPr>
      </w:pPr>
    </w:p>
    <w:p w:rsidR="008B009A" w:rsidRDefault="008B009A" w:rsidP="008B009A">
      <w:pPr>
        <w:numPr>
          <w:ilvl w:val="0"/>
          <w:numId w:val="2"/>
        </w:numPr>
        <w:spacing w:after="0"/>
        <w:ind w:hanging="720"/>
        <w:contextualSpacing/>
        <w:rPr>
          <w:rFonts w:eastAsia="Helvetica"/>
          <w:lang w:eastAsia="en-GB"/>
        </w:rPr>
      </w:pPr>
      <w:r w:rsidRPr="00274022">
        <w:rPr>
          <w:rFonts w:eastAsia="Helvetica"/>
          <w:lang w:eastAsia="en-GB"/>
        </w:rPr>
        <w:t xml:space="preserve">The following </w:t>
      </w:r>
      <w:r>
        <w:rPr>
          <w:rFonts w:eastAsia="Helvetica"/>
          <w:lang w:eastAsia="en-GB"/>
        </w:rPr>
        <w:t xml:space="preserve">officers </w:t>
      </w:r>
      <w:r w:rsidRPr="00274022">
        <w:rPr>
          <w:rFonts w:eastAsia="Helvetica"/>
          <w:lang w:eastAsia="en-GB"/>
        </w:rPr>
        <w:t xml:space="preserve">shall receive a standing invitation to attend meetings of the Working Group: </w:t>
      </w:r>
    </w:p>
    <w:p w:rsidR="008B009A" w:rsidRDefault="008B009A" w:rsidP="008B009A">
      <w:pPr>
        <w:pStyle w:val="ListParagraph"/>
        <w:spacing w:after="0"/>
        <w:rPr>
          <w:rFonts w:eastAsia="Helvetica"/>
          <w:lang w:eastAsia="en-GB"/>
        </w:rPr>
      </w:pPr>
    </w:p>
    <w:p w:rsidR="008B009A" w:rsidRPr="00BE1F55" w:rsidRDefault="008B009A" w:rsidP="008B009A">
      <w:pPr>
        <w:numPr>
          <w:ilvl w:val="0"/>
          <w:numId w:val="5"/>
        </w:numPr>
        <w:spacing w:after="0"/>
        <w:ind w:left="1080"/>
        <w:rPr>
          <w:rFonts w:eastAsia="Helvetica"/>
          <w:lang w:eastAsia="en-GB"/>
        </w:rPr>
      </w:pPr>
      <w:r w:rsidRPr="00A15FB4">
        <w:rPr>
          <w:rFonts w:eastAsia="Helvetica"/>
          <w:lang w:eastAsia="en-GB"/>
        </w:rPr>
        <w:t>Treaty</w:t>
      </w:r>
      <w:r w:rsidRPr="00BE1F55">
        <w:rPr>
          <w:rFonts w:eastAsia="Helvetica"/>
          <w:lang w:eastAsia="en-GB"/>
        </w:rPr>
        <w:t xml:space="preserve"> Monitoring Principal </w:t>
      </w:r>
    </w:p>
    <w:p w:rsidR="008B009A" w:rsidRPr="00A15FB4" w:rsidRDefault="008B009A" w:rsidP="008B009A">
      <w:pPr>
        <w:numPr>
          <w:ilvl w:val="0"/>
          <w:numId w:val="5"/>
        </w:numPr>
        <w:spacing w:after="0"/>
        <w:ind w:left="1080"/>
        <w:rPr>
          <w:rFonts w:eastAsia="Helvetica"/>
          <w:lang w:eastAsia="en-GB"/>
        </w:rPr>
      </w:pPr>
      <w:r w:rsidRPr="00960274">
        <w:rPr>
          <w:rFonts w:eastAsia="Helvetica"/>
          <w:lang w:eastAsia="en-GB"/>
        </w:rPr>
        <w:t xml:space="preserve">Treaty Monitoring </w:t>
      </w:r>
      <w:r>
        <w:rPr>
          <w:rFonts w:eastAsia="Helvetica"/>
          <w:lang w:eastAsia="en-GB"/>
        </w:rPr>
        <w:t>Senior Associates</w:t>
      </w:r>
    </w:p>
    <w:p w:rsidR="008B009A" w:rsidRDefault="008B009A" w:rsidP="008B009A">
      <w:pPr>
        <w:numPr>
          <w:ilvl w:val="0"/>
          <w:numId w:val="5"/>
        </w:numPr>
        <w:spacing w:after="0"/>
        <w:ind w:left="1080"/>
        <w:rPr>
          <w:rFonts w:eastAsia="Helvetica"/>
          <w:lang w:eastAsia="en-GB"/>
        </w:rPr>
      </w:pPr>
      <w:r w:rsidRPr="00A15FB4">
        <w:rPr>
          <w:rFonts w:eastAsia="Helvetica"/>
          <w:lang w:eastAsia="en-GB"/>
        </w:rPr>
        <w:t>Director of Human Rights and Research</w:t>
      </w:r>
    </w:p>
    <w:p w:rsidR="008B009A" w:rsidRPr="00532D2D" w:rsidRDefault="008B009A" w:rsidP="008B009A">
      <w:pPr>
        <w:numPr>
          <w:ilvl w:val="0"/>
          <w:numId w:val="5"/>
        </w:numPr>
        <w:spacing w:after="0"/>
        <w:ind w:left="1080"/>
        <w:rPr>
          <w:rFonts w:eastAsia="Helvetica"/>
          <w:lang w:eastAsia="en-GB"/>
        </w:rPr>
      </w:pPr>
      <w:r w:rsidRPr="00532D2D">
        <w:rPr>
          <w:lang w:eastAsia="en-GB"/>
        </w:rPr>
        <w:lastRenderedPageBreak/>
        <w:t>Executive Director, Corporate Strategy and Policy and Wales</w:t>
      </w:r>
    </w:p>
    <w:p w:rsidR="008B009A" w:rsidRPr="00274022" w:rsidRDefault="008B009A" w:rsidP="008B009A">
      <w:pPr>
        <w:spacing w:after="0"/>
        <w:ind w:left="720"/>
        <w:rPr>
          <w:rFonts w:eastAsia="Helvetica"/>
          <w:lang w:eastAsia="en-GB"/>
        </w:rPr>
      </w:pPr>
    </w:p>
    <w:p w:rsidR="008B009A" w:rsidRPr="00274022" w:rsidRDefault="008B009A" w:rsidP="008B009A">
      <w:pPr>
        <w:numPr>
          <w:ilvl w:val="0"/>
          <w:numId w:val="2"/>
        </w:numPr>
        <w:spacing w:after="0"/>
        <w:ind w:hanging="720"/>
        <w:contextualSpacing/>
        <w:rPr>
          <w:rFonts w:eastAsia="Helvetica"/>
          <w:lang w:eastAsia="en-GB"/>
        </w:rPr>
      </w:pPr>
      <w:r w:rsidRPr="00274022">
        <w:rPr>
          <w:rFonts w:eastAsia="Helvetica"/>
          <w:lang w:eastAsia="en-GB"/>
        </w:rPr>
        <w:t>The Working Group may, in discussion with the</w:t>
      </w:r>
      <w:r>
        <w:rPr>
          <w:rFonts w:eastAsia="Helvetica"/>
          <w:lang w:eastAsia="en-GB"/>
        </w:rPr>
        <w:t xml:space="preserve"> Director of Human Rights and Research</w:t>
      </w:r>
      <w:r w:rsidRPr="00274022">
        <w:rPr>
          <w:rFonts w:eastAsia="Helvetica"/>
          <w:lang w:eastAsia="en-GB"/>
        </w:rPr>
        <w:t>, extend an invitation for other officers, stakeholders or experts to attend its meetings, as appropriate.</w:t>
      </w:r>
    </w:p>
    <w:p w:rsidR="008B009A" w:rsidRPr="00E402CB" w:rsidRDefault="008B009A" w:rsidP="008B009A">
      <w:pPr>
        <w:spacing w:after="0"/>
        <w:ind w:left="720" w:hanging="720"/>
        <w:rPr>
          <w:rFonts w:eastAsia="Helvetica"/>
          <w:color w:val="000000"/>
          <w:lang w:eastAsia="en-GB"/>
        </w:rPr>
      </w:pPr>
    </w:p>
    <w:p w:rsidR="008B009A" w:rsidRPr="00E402CB" w:rsidRDefault="008B009A" w:rsidP="008B009A">
      <w:pPr>
        <w:pStyle w:val="Heading2"/>
        <w:spacing w:before="0" w:after="0"/>
        <w:rPr>
          <w:rFonts w:eastAsia="Helvetica"/>
          <w:lang w:eastAsia="en-GB"/>
        </w:rPr>
      </w:pPr>
      <w:bookmarkStart w:id="16" w:name="_Toc414918494"/>
      <w:bookmarkStart w:id="17" w:name="_Toc416880816"/>
      <w:bookmarkStart w:id="18" w:name="_Toc422917079"/>
      <w:r w:rsidRPr="00E402CB">
        <w:rPr>
          <w:rFonts w:eastAsia="Helvetica"/>
          <w:lang w:eastAsia="en-GB"/>
        </w:rPr>
        <w:t>Working methods</w:t>
      </w:r>
      <w:bookmarkEnd w:id="16"/>
      <w:bookmarkEnd w:id="17"/>
      <w:bookmarkEnd w:id="18"/>
    </w:p>
    <w:p w:rsidR="008B009A" w:rsidRPr="00E402CB" w:rsidRDefault="008B009A" w:rsidP="008B009A">
      <w:pPr>
        <w:spacing w:after="0"/>
        <w:ind w:left="720" w:hanging="720"/>
        <w:rPr>
          <w:rFonts w:eastAsia="Helvetica"/>
          <w:color w:val="000000"/>
          <w:lang w:eastAsia="en-GB"/>
        </w:rPr>
      </w:pPr>
    </w:p>
    <w:p w:rsidR="008B009A" w:rsidRPr="00274022" w:rsidRDefault="008B009A" w:rsidP="008B009A">
      <w:pPr>
        <w:numPr>
          <w:ilvl w:val="0"/>
          <w:numId w:val="2"/>
        </w:numPr>
        <w:spacing w:after="0"/>
        <w:ind w:hanging="720"/>
        <w:contextualSpacing/>
        <w:rPr>
          <w:rFonts w:eastAsia="Helvetica"/>
          <w:lang w:eastAsia="en-GB"/>
        </w:rPr>
      </w:pPr>
      <w:r w:rsidRPr="00274022">
        <w:rPr>
          <w:rFonts w:eastAsia="Helvetica"/>
          <w:lang w:eastAsia="en-GB"/>
        </w:rPr>
        <w:t xml:space="preserve">The Working Group shall convene at least </w:t>
      </w:r>
      <w:r>
        <w:rPr>
          <w:rFonts w:eastAsia="Helvetica"/>
          <w:lang w:eastAsia="en-GB"/>
        </w:rPr>
        <w:t xml:space="preserve">twice a </w:t>
      </w:r>
      <w:r w:rsidRPr="00274022">
        <w:rPr>
          <w:rFonts w:eastAsia="Helvetica"/>
          <w:lang w:eastAsia="en-GB"/>
        </w:rPr>
        <w:t xml:space="preserve">year at the </w:t>
      </w:r>
      <w:r>
        <w:rPr>
          <w:rFonts w:eastAsia="Helvetica"/>
          <w:lang w:eastAsia="en-GB"/>
        </w:rPr>
        <w:t>Commission</w:t>
      </w:r>
      <w:r w:rsidRPr="00274022">
        <w:rPr>
          <w:rFonts w:eastAsia="Helvetica"/>
          <w:lang w:eastAsia="en-GB"/>
        </w:rPr>
        <w:t>’s offices.</w:t>
      </w:r>
      <w:r>
        <w:rPr>
          <w:rFonts w:eastAsia="Helvetica"/>
          <w:lang w:eastAsia="en-GB"/>
        </w:rPr>
        <w:t xml:space="preserve"> Other meetings shall be convened as required. </w:t>
      </w:r>
    </w:p>
    <w:p w:rsidR="008B009A" w:rsidRPr="00274022" w:rsidRDefault="008B009A" w:rsidP="008B009A">
      <w:pPr>
        <w:spacing w:after="0"/>
        <w:ind w:left="720"/>
        <w:rPr>
          <w:rFonts w:eastAsia="Helvetica"/>
          <w:lang w:eastAsia="en-GB"/>
        </w:rPr>
      </w:pPr>
    </w:p>
    <w:p w:rsidR="008B009A" w:rsidRDefault="008B009A" w:rsidP="008B009A">
      <w:pPr>
        <w:numPr>
          <w:ilvl w:val="0"/>
          <w:numId w:val="2"/>
        </w:numPr>
        <w:spacing w:after="0"/>
        <w:ind w:hanging="720"/>
        <w:contextualSpacing/>
        <w:rPr>
          <w:rFonts w:eastAsia="Helvetica"/>
          <w:lang w:eastAsia="en-GB"/>
        </w:rPr>
      </w:pPr>
      <w:r>
        <w:rPr>
          <w:rFonts w:eastAsia="Helvetica"/>
          <w:lang w:eastAsia="en-GB"/>
        </w:rPr>
        <w:t xml:space="preserve">The Director of Human Rights and Research must approve all papers to the Working Group, escalating to the Executive Director, Corporate Strategy and Policy and Wales where appropriate. </w:t>
      </w:r>
      <w:r w:rsidRPr="00274022">
        <w:rPr>
          <w:rFonts w:eastAsia="Helvetica"/>
          <w:lang w:eastAsia="en-GB"/>
        </w:rPr>
        <w:t xml:space="preserve">The Secretariat shall </w:t>
      </w:r>
      <w:r>
        <w:rPr>
          <w:rFonts w:eastAsia="Helvetica"/>
          <w:lang w:eastAsia="en-GB"/>
        </w:rPr>
        <w:t>circulate</w:t>
      </w:r>
      <w:r w:rsidRPr="00274022">
        <w:rPr>
          <w:rFonts w:eastAsia="Helvetica"/>
          <w:lang w:eastAsia="en-GB"/>
        </w:rPr>
        <w:t xml:space="preserve"> the agenda and papers to the Working Group </w:t>
      </w:r>
      <w:r>
        <w:rPr>
          <w:rFonts w:eastAsia="Helvetica"/>
          <w:lang w:eastAsia="en-GB"/>
        </w:rPr>
        <w:t xml:space="preserve">in good time to allow members to prepare for the meeting </w:t>
      </w:r>
      <w:r w:rsidRPr="00274022">
        <w:rPr>
          <w:rFonts w:eastAsia="Helvetica"/>
          <w:lang w:eastAsia="en-GB"/>
        </w:rPr>
        <w:t xml:space="preserve">at least one week in advance of the meeting. </w:t>
      </w:r>
    </w:p>
    <w:p w:rsidR="008B009A" w:rsidRPr="00274022" w:rsidRDefault="008B009A" w:rsidP="008B009A">
      <w:pPr>
        <w:spacing w:after="0"/>
        <w:rPr>
          <w:rFonts w:eastAsia="Helvetica"/>
          <w:lang w:eastAsia="en-GB"/>
        </w:rPr>
      </w:pPr>
    </w:p>
    <w:p w:rsidR="008B009A" w:rsidRDefault="008B009A" w:rsidP="008B009A">
      <w:pPr>
        <w:numPr>
          <w:ilvl w:val="0"/>
          <w:numId w:val="2"/>
        </w:numPr>
        <w:spacing w:after="0"/>
        <w:ind w:hanging="720"/>
        <w:contextualSpacing/>
        <w:rPr>
          <w:rFonts w:eastAsia="Helvetica"/>
          <w:lang w:eastAsia="en-GB"/>
        </w:rPr>
      </w:pPr>
      <w:r w:rsidRPr="00274022">
        <w:rPr>
          <w:rFonts w:eastAsia="Helvetica"/>
          <w:lang w:eastAsia="en-GB"/>
        </w:rPr>
        <w:t xml:space="preserve">The Secretariat shall minute each meeting, and coordinate communication between the Working Group, </w:t>
      </w:r>
      <w:r>
        <w:rPr>
          <w:rFonts w:eastAsia="Helvetica"/>
          <w:lang w:eastAsia="en-GB"/>
        </w:rPr>
        <w:t>officers</w:t>
      </w:r>
      <w:r w:rsidRPr="00274022">
        <w:rPr>
          <w:rFonts w:eastAsia="Helvetica"/>
          <w:lang w:eastAsia="en-GB"/>
        </w:rPr>
        <w:t xml:space="preserve">, non-executives and external stakeholders, as appropriate. </w:t>
      </w:r>
    </w:p>
    <w:p w:rsidR="008B009A" w:rsidRPr="00274022" w:rsidRDefault="008B009A" w:rsidP="008B009A">
      <w:pPr>
        <w:spacing w:after="0"/>
        <w:rPr>
          <w:rFonts w:eastAsia="Helvetica"/>
          <w:lang w:eastAsia="en-GB"/>
        </w:rPr>
      </w:pPr>
    </w:p>
    <w:p w:rsidR="008B009A" w:rsidRPr="00274022" w:rsidRDefault="008B009A" w:rsidP="008B009A">
      <w:pPr>
        <w:numPr>
          <w:ilvl w:val="0"/>
          <w:numId w:val="2"/>
        </w:numPr>
        <w:spacing w:after="0"/>
        <w:ind w:hanging="720"/>
        <w:contextualSpacing/>
        <w:rPr>
          <w:rFonts w:eastAsia="Helvetica"/>
          <w:lang w:eastAsia="en-GB"/>
        </w:rPr>
      </w:pPr>
      <w:r w:rsidRPr="00274022">
        <w:rPr>
          <w:rFonts w:eastAsia="Helvetica"/>
          <w:lang w:eastAsia="en-GB"/>
        </w:rPr>
        <w:t xml:space="preserve">On occasion, </w:t>
      </w:r>
      <w:r>
        <w:rPr>
          <w:rFonts w:eastAsia="Helvetica"/>
          <w:lang w:eastAsia="en-GB"/>
        </w:rPr>
        <w:t>comments or a policy steer by</w:t>
      </w:r>
      <w:r w:rsidRPr="00274022">
        <w:rPr>
          <w:rFonts w:eastAsia="Helvetica"/>
          <w:lang w:eastAsia="en-GB"/>
        </w:rPr>
        <w:t xml:space="preserve"> email may be requested where Commission submissions and Working Group meetings cannot easily be aligned.</w:t>
      </w:r>
    </w:p>
    <w:p w:rsidR="008B009A" w:rsidRPr="00E402CB" w:rsidRDefault="008B009A" w:rsidP="008B009A">
      <w:pPr>
        <w:spacing w:after="0"/>
        <w:ind w:left="720" w:hanging="720"/>
        <w:rPr>
          <w:rFonts w:eastAsia="Helvetica"/>
          <w:color w:val="000000"/>
          <w:lang w:eastAsia="en-GB"/>
        </w:rPr>
      </w:pPr>
    </w:p>
    <w:p w:rsidR="008B009A" w:rsidRPr="00E402CB" w:rsidRDefault="008B009A" w:rsidP="008B009A">
      <w:pPr>
        <w:pStyle w:val="Heading2"/>
        <w:spacing w:before="0" w:after="0"/>
        <w:rPr>
          <w:u w:val="single"/>
        </w:rPr>
      </w:pPr>
      <w:bookmarkStart w:id="19" w:name="_Toc414918495"/>
      <w:bookmarkStart w:id="20" w:name="_Toc416880817"/>
      <w:bookmarkStart w:id="21" w:name="_Toc422917080"/>
      <w:r w:rsidRPr="00E402CB">
        <w:t>Conflict of interest</w:t>
      </w:r>
      <w:bookmarkEnd w:id="19"/>
      <w:bookmarkEnd w:id="20"/>
      <w:bookmarkEnd w:id="21"/>
      <w:r w:rsidRPr="00E402CB">
        <w:rPr>
          <w:u w:val="single"/>
        </w:rPr>
        <w:t xml:space="preserve"> </w:t>
      </w:r>
    </w:p>
    <w:p w:rsidR="008B009A" w:rsidRPr="00E402CB" w:rsidRDefault="008B009A" w:rsidP="008B009A">
      <w:pPr>
        <w:spacing w:after="0"/>
        <w:ind w:left="720" w:hanging="720"/>
        <w:rPr>
          <w:bCs/>
          <w:u w:val="single"/>
        </w:rPr>
      </w:pPr>
    </w:p>
    <w:p w:rsidR="008B009A" w:rsidRPr="00274022" w:rsidRDefault="008B009A" w:rsidP="008B009A">
      <w:pPr>
        <w:numPr>
          <w:ilvl w:val="0"/>
          <w:numId w:val="2"/>
        </w:numPr>
        <w:spacing w:after="0"/>
        <w:ind w:hanging="720"/>
        <w:contextualSpacing/>
        <w:rPr>
          <w:rFonts w:eastAsia="Helvetica"/>
          <w:lang w:eastAsia="en-GB"/>
        </w:rPr>
      </w:pPr>
      <w:r w:rsidRPr="00274022">
        <w:rPr>
          <w:rFonts w:eastAsia="Helvetica"/>
          <w:lang w:eastAsia="en-GB"/>
        </w:rPr>
        <w:t>Any Commissioner or attendee who becomes aware of a potential conflict of interest relating to matters to be discussed by the Working Group must give prior notification to the Secretariat. If this is not possible, or if the conflict only becomes apparent at the meeting, they should declare this at the meeting and, where necessary, withdraw during discussion of the relevant agenda item.</w:t>
      </w:r>
    </w:p>
    <w:p w:rsidR="008B009A" w:rsidRPr="00274022" w:rsidRDefault="008B009A" w:rsidP="008B009A">
      <w:pPr>
        <w:spacing w:after="0"/>
        <w:ind w:left="720"/>
        <w:rPr>
          <w:rFonts w:eastAsia="Helvetica"/>
          <w:lang w:eastAsia="en-GB"/>
        </w:rPr>
      </w:pPr>
    </w:p>
    <w:p w:rsidR="008B009A" w:rsidRDefault="008B009A" w:rsidP="008B009A">
      <w:pPr>
        <w:numPr>
          <w:ilvl w:val="0"/>
          <w:numId w:val="2"/>
        </w:numPr>
        <w:spacing w:after="0"/>
        <w:ind w:hanging="720"/>
        <w:contextualSpacing/>
        <w:rPr>
          <w:lang w:eastAsia="en-GB"/>
        </w:rPr>
      </w:pPr>
      <w:r w:rsidRPr="00AB0656">
        <w:rPr>
          <w:rFonts w:eastAsia="Helvetica"/>
          <w:lang w:eastAsia="en-GB"/>
        </w:rPr>
        <w:t>Declaration of interest will be a standing item on the Working Group agenda.</w:t>
      </w:r>
    </w:p>
    <w:p w:rsidR="005121B2" w:rsidRDefault="005121B2" w:rsidP="008B009A">
      <w:pPr>
        <w:spacing w:after="0"/>
      </w:pPr>
    </w:p>
    <w:sectPr w:rsidR="005121B2" w:rsidSect="00C07809">
      <w:footerReference w:type="default" r:id="rId7"/>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F04" w:rsidRDefault="00953F04" w:rsidP="008B009A">
      <w:pPr>
        <w:spacing w:after="0"/>
      </w:pPr>
      <w:r>
        <w:separator/>
      </w:r>
    </w:p>
  </w:endnote>
  <w:endnote w:type="continuationSeparator" w:id="0">
    <w:p w:rsidR="00953F04" w:rsidRDefault="00953F04" w:rsidP="008B00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ook w:val="04A0" w:firstRow="1" w:lastRow="0" w:firstColumn="1" w:lastColumn="0" w:noHBand="0" w:noVBand="1"/>
    </w:tblPr>
    <w:tblGrid>
      <w:gridCol w:w="9072"/>
      <w:gridCol w:w="567"/>
    </w:tblGrid>
    <w:tr w:rsidR="00FF6272" w:rsidRPr="00B21768" w:rsidTr="001A1834">
      <w:tc>
        <w:tcPr>
          <w:tcW w:w="9072" w:type="dxa"/>
          <w:shd w:val="clear" w:color="auto" w:fill="auto"/>
        </w:tcPr>
        <w:p w:rsidR="00FF6272" w:rsidRPr="00B21768" w:rsidRDefault="008B009A" w:rsidP="00B21768">
          <w:pPr>
            <w:tabs>
              <w:tab w:val="center" w:pos="4513"/>
              <w:tab w:val="right" w:pos="9026"/>
            </w:tabs>
            <w:spacing w:after="0"/>
            <w:rPr>
              <w:color w:val="7F7F7F" w:themeColor="text1" w:themeTint="80"/>
              <w:sz w:val="18"/>
              <w:szCs w:val="18"/>
            </w:rPr>
          </w:pPr>
          <w:r>
            <w:t xml:space="preserve">EHRC Governance Manual - Annex 6: CWG Treaty Monitoring </w:t>
          </w:r>
          <w:proofErr w:type="spellStart"/>
          <w:r>
            <w:t>ToR</w:t>
          </w:r>
          <w:proofErr w:type="spellEnd"/>
          <w:r w:rsidRPr="00B21768">
            <w:rPr>
              <w:color w:val="7F7F7F" w:themeColor="text1" w:themeTint="80"/>
              <w:sz w:val="16"/>
              <w:szCs w:val="16"/>
            </w:rPr>
            <w:tab/>
          </w:r>
        </w:p>
      </w:tc>
      <w:tc>
        <w:tcPr>
          <w:tcW w:w="567" w:type="dxa"/>
          <w:shd w:val="clear" w:color="auto" w:fill="auto"/>
        </w:tcPr>
        <w:p w:rsidR="00FF6272" w:rsidRPr="00B21768" w:rsidRDefault="008B009A" w:rsidP="00B21768">
          <w:pPr>
            <w:tabs>
              <w:tab w:val="center" w:pos="4513"/>
              <w:tab w:val="right" w:pos="9026"/>
            </w:tabs>
            <w:spacing w:after="0"/>
            <w:jc w:val="right"/>
          </w:pPr>
          <w:r>
            <w:fldChar w:fldCharType="begin"/>
          </w:r>
          <w:r>
            <w:instrText xml:space="preserve"> PAGE   \* MERGEFORMAT </w:instrText>
          </w:r>
          <w:r>
            <w:fldChar w:fldCharType="separate"/>
          </w:r>
          <w:r w:rsidR="007A1B3E">
            <w:rPr>
              <w:noProof/>
            </w:rPr>
            <w:t>1</w:t>
          </w:r>
          <w:r>
            <w:rPr>
              <w:noProof/>
            </w:rPr>
            <w:fldChar w:fldCharType="end"/>
          </w:r>
        </w:p>
        <w:p w:rsidR="00FF6272" w:rsidRPr="00B21768" w:rsidRDefault="00953F04" w:rsidP="00B21768">
          <w:pPr>
            <w:tabs>
              <w:tab w:val="center" w:pos="4513"/>
              <w:tab w:val="right" w:pos="9026"/>
            </w:tabs>
            <w:spacing w:after="0"/>
            <w:jc w:val="right"/>
            <w:rPr>
              <w:color w:val="1F497D"/>
              <w:sz w:val="16"/>
              <w:szCs w:val="16"/>
            </w:rPr>
          </w:pPr>
        </w:p>
      </w:tc>
    </w:tr>
  </w:tbl>
  <w:p w:rsidR="00E81B9C" w:rsidRDefault="00953F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F04" w:rsidRDefault="00953F04" w:rsidP="008B009A">
      <w:pPr>
        <w:spacing w:after="0"/>
      </w:pPr>
      <w:r>
        <w:separator/>
      </w:r>
    </w:p>
  </w:footnote>
  <w:footnote w:type="continuationSeparator" w:id="0">
    <w:p w:rsidR="00953F04" w:rsidRDefault="00953F04" w:rsidP="008B009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F202C"/>
    <w:multiLevelType w:val="multilevel"/>
    <w:tmpl w:val="A25890A4"/>
    <w:lvl w:ilvl="0">
      <w:start w:val="1"/>
      <w:numFmt w:val="decimal"/>
      <w:pStyle w:val="Heading1"/>
      <w:lvlText w:val="%1."/>
      <w:lvlJc w:val="left"/>
      <w:pPr>
        <w:ind w:left="360" w:hanging="360"/>
      </w:pPr>
      <w:rPr>
        <w:rFonts w:ascii="Arial" w:eastAsia="Calibri" w:hAnsi="Arial" w:cs="Times New Roman"/>
      </w:rPr>
    </w:lvl>
    <w:lvl w:ilvl="1">
      <w:start w:val="1"/>
      <w:numFmt w:val="decimal"/>
      <w:lvlText w:val="%1.%2."/>
      <w:lvlJc w:val="left"/>
      <w:pPr>
        <w:ind w:left="1142" w:hanging="432"/>
      </w:pPr>
      <w:rPr>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D81B33"/>
    <w:multiLevelType w:val="hybridMultilevel"/>
    <w:tmpl w:val="517A06A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6913F3"/>
    <w:multiLevelType w:val="hybridMultilevel"/>
    <w:tmpl w:val="0EB461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F759A2"/>
    <w:multiLevelType w:val="hybridMultilevel"/>
    <w:tmpl w:val="C046E2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4557E2"/>
    <w:multiLevelType w:val="hybridMultilevel"/>
    <w:tmpl w:val="A9966DC2"/>
    <w:lvl w:ilvl="0" w:tplc="86A845F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9A"/>
    <w:rsid w:val="005121B2"/>
    <w:rsid w:val="007A1B3E"/>
    <w:rsid w:val="008B009A"/>
    <w:rsid w:val="00953F04"/>
    <w:rsid w:val="00E7545F"/>
    <w:rsid w:val="00EF51EA"/>
    <w:rsid w:val="00F34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F6129-B483-4DB4-ABE2-169134D6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9A"/>
    <w:pPr>
      <w:spacing w:after="120" w:line="240" w:lineRule="auto"/>
    </w:pPr>
    <w:rPr>
      <w:rFonts w:ascii="Arial" w:eastAsia="Calibri" w:hAnsi="Arial" w:cs="Times New Roman"/>
      <w:sz w:val="24"/>
      <w:lang w:eastAsia="en-US"/>
    </w:rPr>
  </w:style>
  <w:style w:type="paragraph" w:styleId="Heading1">
    <w:name w:val="heading 1"/>
    <w:basedOn w:val="Normal"/>
    <w:next w:val="Normal"/>
    <w:link w:val="Heading1Char"/>
    <w:uiPriority w:val="9"/>
    <w:qFormat/>
    <w:rsid w:val="008B009A"/>
    <w:pPr>
      <w:keepNext/>
      <w:keepLines/>
      <w:numPr>
        <w:numId w:val="1"/>
      </w:numPr>
      <w:spacing w:after="0"/>
      <w:ind w:left="0" w:firstLine="0"/>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8B009A"/>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09A"/>
    <w:rPr>
      <w:rFonts w:ascii="Arial" w:eastAsia="Times New Roman" w:hAnsi="Arial" w:cs="Arial"/>
      <w:b/>
      <w:bCs/>
      <w:sz w:val="28"/>
      <w:szCs w:val="28"/>
      <w:lang w:eastAsia="en-US"/>
    </w:rPr>
  </w:style>
  <w:style w:type="character" w:customStyle="1" w:styleId="Heading2Char">
    <w:name w:val="Heading 2 Char"/>
    <w:basedOn w:val="DefaultParagraphFont"/>
    <w:link w:val="Heading2"/>
    <w:uiPriority w:val="9"/>
    <w:rsid w:val="008B009A"/>
    <w:rPr>
      <w:rFonts w:ascii="Arial" w:eastAsia="Times New Roman" w:hAnsi="Arial" w:cs="Times New Roman"/>
      <w:b/>
      <w:bCs/>
      <w:sz w:val="24"/>
      <w:szCs w:val="26"/>
      <w:lang w:eastAsia="en-US"/>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8B009A"/>
    <w:pPr>
      <w:ind w:left="720"/>
      <w:contextualSpacing/>
    </w:pPr>
  </w:style>
  <w:style w:type="paragraph" w:styleId="Header">
    <w:name w:val="header"/>
    <w:basedOn w:val="Normal"/>
    <w:link w:val="HeaderChar"/>
    <w:uiPriority w:val="99"/>
    <w:unhideWhenUsed/>
    <w:rsid w:val="008B009A"/>
    <w:pPr>
      <w:tabs>
        <w:tab w:val="center" w:pos="4513"/>
        <w:tab w:val="right" w:pos="9026"/>
      </w:tabs>
      <w:spacing w:after="0"/>
    </w:pPr>
  </w:style>
  <w:style w:type="character" w:customStyle="1" w:styleId="HeaderChar">
    <w:name w:val="Header Char"/>
    <w:basedOn w:val="DefaultParagraphFont"/>
    <w:link w:val="Header"/>
    <w:uiPriority w:val="99"/>
    <w:rsid w:val="008B009A"/>
    <w:rPr>
      <w:rFonts w:ascii="Arial" w:eastAsia="Calibri" w:hAnsi="Arial" w:cs="Times New Roman"/>
      <w:sz w:val="24"/>
      <w:lang w:eastAsia="en-US"/>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link w:val="ListParagraph"/>
    <w:uiPriority w:val="34"/>
    <w:qFormat/>
    <w:locked/>
    <w:rsid w:val="008B009A"/>
    <w:rPr>
      <w:rFonts w:ascii="Arial" w:eastAsia="Calibri" w:hAnsi="Arial" w:cs="Times New Roman"/>
      <w:sz w:val="24"/>
      <w:lang w:eastAsia="en-US"/>
    </w:rPr>
  </w:style>
  <w:style w:type="paragraph" w:styleId="Footer">
    <w:name w:val="footer"/>
    <w:basedOn w:val="Normal"/>
    <w:link w:val="FooterChar"/>
    <w:uiPriority w:val="99"/>
    <w:unhideWhenUsed/>
    <w:rsid w:val="008B009A"/>
    <w:pPr>
      <w:tabs>
        <w:tab w:val="center" w:pos="4513"/>
        <w:tab w:val="right" w:pos="9026"/>
      </w:tabs>
      <w:spacing w:after="0"/>
    </w:pPr>
  </w:style>
  <w:style w:type="character" w:customStyle="1" w:styleId="FooterChar">
    <w:name w:val="Footer Char"/>
    <w:basedOn w:val="DefaultParagraphFont"/>
    <w:link w:val="Footer"/>
    <w:uiPriority w:val="99"/>
    <w:rsid w:val="008B009A"/>
    <w:rPr>
      <w:rFonts w:ascii="Arial" w:eastAsia="Calibri" w:hAnsi="Arial"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Mabbitt</dc:creator>
  <cp:lastModifiedBy>Emma Frith</cp:lastModifiedBy>
  <cp:revision>2</cp:revision>
  <dcterms:created xsi:type="dcterms:W3CDTF">2018-01-25T16:15:00Z</dcterms:created>
  <dcterms:modified xsi:type="dcterms:W3CDTF">2018-01-25T16:15:00Z</dcterms:modified>
</cp:coreProperties>
</file>