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495E" w14:textId="77777777" w:rsidR="00272CC5" w:rsidRPr="00E900CE" w:rsidRDefault="00272CC5" w:rsidP="00272CC5">
      <w:pPr>
        <w:pStyle w:val="ID"/>
      </w:pPr>
      <w:bookmarkStart w:id="0" w:name="_Toc296339167"/>
      <w:bookmarkStart w:id="1" w:name="_Toc296439663"/>
      <w:bookmarkStart w:id="2" w:name="_Toc268242827"/>
      <w:bookmarkStart w:id="3" w:name="_Toc268275288"/>
      <w:bookmarkStart w:id="4" w:name="_Toc269192606"/>
      <w:bookmarkStart w:id="5" w:name="_Toc288638306"/>
      <w:bookmarkStart w:id="6" w:name="_GoBack"/>
      <w:bookmarkEnd w:id="6"/>
      <w:r w:rsidRPr="00E900CE">
        <w:t>GUIDANCE</w:t>
      </w:r>
      <w:bookmarkEnd w:id="0"/>
      <w:bookmarkEnd w:id="1"/>
    </w:p>
    <w:p w14:paraId="42C477FC" w14:textId="77777777" w:rsidR="004F69F7" w:rsidRPr="007A58B0" w:rsidRDefault="004F69F7" w:rsidP="007A58B0">
      <w:pPr>
        <w:pStyle w:val="Title"/>
      </w:pPr>
      <w:r w:rsidRPr="007A58B0">
        <w:t>Your rights to equality from healthcare and social care services</w:t>
      </w:r>
    </w:p>
    <w:p w14:paraId="3CC6CD0F" w14:textId="31B58F11" w:rsidR="00EC0AEC" w:rsidRPr="00EC0AEC" w:rsidRDefault="005809FC" w:rsidP="00EC0AEC">
      <w:pPr>
        <w:pStyle w:val="Subtitle"/>
      </w:pPr>
      <w:r w:rsidRPr="007A58B0">
        <w:t>Equality Act 2010</w:t>
      </w:r>
    </w:p>
    <w:p w14:paraId="1D3E581E" w14:textId="77777777" w:rsidR="00EC0AEC" w:rsidRDefault="00EC0AEC" w:rsidP="007A58B0">
      <w:pPr>
        <w:pStyle w:val="Subtitle"/>
      </w:pPr>
      <w:r>
        <w:t>Guidance for service users</w:t>
      </w:r>
    </w:p>
    <w:p w14:paraId="6BDCB4A6" w14:textId="7BC741AC" w:rsidR="005809FC" w:rsidRDefault="005809FC" w:rsidP="007A58B0">
      <w:pPr>
        <w:pStyle w:val="Subtitle"/>
      </w:pPr>
      <w:r>
        <w:t xml:space="preserve">Vol. </w:t>
      </w:r>
      <w:r w:rsidR="00A37C11">
        <w:t>4</w:t>
      </w:r>
      <w:r>
        <w:t xml:space="preserve"> of 7</w:t>
      </w:r>
    </w:p>
    <w:p w14:paraId="0D0B4303" w14:textId="77777777" w:rsidR="007A58B0" w:rsidRPr="007A58B0" w:rsidRDefault="007A58B0" w:rsidP="007A58B0"/>
    <w:p w14:paraId="04168390" w14:textId="77777777" w:rsidR="007A58B0" w:rsidRPr="007A58B0" w:rsidRDefault="007A58B0" w:rsidP="007A58B0">
      <w:pPr>
        <w:sectPr w:rsidR="007A58B0" w:rsidRPr="007A58B0" w:rsidSect="00715B3F">
          <w:headerReference w:type="even" r:id="rId8"/>
          <w:footerReference w:type="even" r:id="rId9"/>
          <w:footerReference w:type="default" r:id="rId10"/>
          <w:pgSz w:w="11906" w:h="16838" w:code="9"/>
          <w:pgMar w:top="1418" w:right="1418" w:bottom="1418" w:left="1418" w:header="624" w:footer="624" w:gutter="0"/>
          <w:pgNumType w:start="1"/>
          <w:cols w:space="720"/>
          <w:noEndnote/>
        </w:sectPr>
      </w:pPr>
    </w:p>
    <w:p w14:paraId="6EC1EB00" w14:textId="77777777" w:rsidR="0025118A" w:rsidRPr="00E30194" w:rsidRDefault="0025118A" w:rsidP="00921E87">
      <w:pPr>
        <w:pStyle w:val="L1Headers"/>
        <w:numPr>
          <w:ilvl w:val="0"/>
          <w:numId w:val="0"/>
        </w:numPr>
      </w:pPr>
      <w:bookmarkStart w:id="7" w:name="_Toc297124758"/>
      <w:bookmarkStart w:id="8" w:name="_Toc297180269"/>
      <w:bookmarkStart w:id="9" w:name="_Toc297300481"/>
      <w:r w:rsidRPr="00D11DDC">
        <w:lastRenderedPageBreak/>
        <w:t>Contents</w:t>
      </w:r>
      <w:bookmarkEnd w:id="2"/>
      <w:bookmarkEnd w:id="3"/>
      <w:bookmarkEnd w:id="4"/>
      <w:bookmarkEnd w:id="5"/>
      <w:bookmarkEnd w:id="7"/>
      <w:bookmarkEnd w:id="8"/>
      <w:bookmarkEnd w:id="9"/>
    </w:p>
    <w:p w14:paraId="3BCB916B" w14:textId="76E0EE39" w:rsidR="00F028F1" w:rsidRDefault="004F1CE7">
      <w:pPr>
        <w:pStyle w:val="TOC1"/>
        <w:rPr>
          <w:rFonts w:asciiTheme="minorHAnsi" w:eastAsiaTheme="minorEastAsia" w:hAnsiTheme="minorHAnsi" w:cstheme="minorBidi"/>
          <w:noProof/>
          <w:lang w:eastAsia="ja-JP"/>
        </w:rPr>
      </w:pPr>
      <w:r>
        <w:rPr>
          <w:lang w:eastAsia="en-GB"/>
        </w:rPr>
        <w:fldChar w:fldCharType="begin"/>
      </w:r>
      <w:r>
        <w:rPr>
          <w:lang w:eastAsia="en-GB"/>
        </w:rPr>
        <w:instrText xml:space="preserve"> TOC \t "&gt; L1 Headers,1,&gt; L2 Headers,2,&gt; L3 Heading,3" </w:instrText>
      </w:r>
      <w:r>
        <w:rPr>
          <w:lang w:eastAsia="en-GB"/>
        </w:rPr>
        <w:fldChar w:fldCharType="separate"/>
      </w:r>
      <w:r w:rsidR="00F028F1">
        <w:rPr>
          <w:noProof/>
        </w:rPr>
        <w:t>Introduction</w:t>
      </w:r>
      <w:r w:rsidR="00F028F1">
        <w:rPr>
          <w:noProof/>
        </w:rPr>
        <w:tab/>
      </w:r>
      <w:r w:rsidR="00F028F1">
        <w:rPr>
          <w:noProof/>
        </w:rPr>
        <w:fldChar w:fldCharType="begin"/>
      </w:r>
      <w:r w:rsidR="00F028F1">
        <w:rPr>
          <w:noProof/>
        </w:rPr>
        <w:instrText xml:space="preserve"> PAGEREF _Toc297300482 \h </w:instrText>
      </w:r>
      <w:r w:rsidR="00F028F1">
        <w:rPr>
          <w:noProof/>
        </w:rPr>
      </w:r>
      <w:r w:rsidR="00F028F1">
        <w:rPr>
          <w:noProof/>
        </w:rPr>
        <w:fldChar w:fldCharType="separate"/>
      </w:r>
      <w:r w:rsidR="00925735">
        <w:rPr>
          <w:noProof/>
        </w:rPr>
        <w:t>5</w:t>
      </w:r>
      <w:r w:rsidR="00F028F1">
        <w:rPr>
          <w:noProof/>
        </w:rPr>
        <w:fldChar w:fldCharType="end"/>
      </w:r>
    </w:p>
    <w:p w14:paraId="0B968214"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rPr>
        <w:t>Other guides and alternative formats</w:t>
      </w:r>
      <w:r>
        <w:rPr>
          <w:noProof/>
        </w:rPr>
        <w:tab/>
      </w:r>
      <w:r>
        <w:rPr>
          <w:noProof/>
        </w:rPr>
        <w:fldChar w:fldCharType="begin"/>
      </w:r>
      <w:r>
        <w:rPr>
          <w:noProof/>
        </w:rPr>
        <w:instrText xml:space="preserve"> PAGEREF _Toc297300483 \h </w:instrText>
      </w:r>
      <w:r>
        <w:rPr>
          <w:noProof/>
        </w:rPr>
      </w:r>
      <w:r>
        <w:rPr>
          <w:noProof/>
        </w:rPr>
        <w:fldChar w:fldCharType="separate"/>
      </w:r>
      <w:r w:rsidR="00925735">
        <w:rPr>
          <w:noProof/>
        </w:rPr>
        <w:t>5</w:t>
      </w:r>
      <w:r>
        <w:rPr>
          <w:noProof/>
        </w:rPr>
        <w:fldChar w:fldCharType="end"/>
      </w:r>
    </w:p>
    <w:p w14:paraId="2808E254"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The legal status of this guidance</w:t>
      </w:r>
      <w:r>
        <w:rPr>
          <w:noProof/>
        </w:rPr>
        <w:tab/>
      </w:r>
      <w:r>
        <w:rPr>
          <w:noProof/>
        </w:rPr>
        <w:fldChar w:fldCharType="begin"/>
      </w:r>
      <w:r>
        <w:rPr>
          <w:noProof/>
        </w:rPr>
        <w:instrText xml:space="preserve"> PAGEREF _Toc297300484 \h </w:instrText>
      </w:r>
      <w:r>
        <w:rPr>
          <w:noProof/>
        </w:rPr>
      </w:r>
      <w:r>
        <w:rPr>
          <w:noProof/>
        </w:rPr>
        <w:fldChar w:fldCharType="separate"/>
      </w:r>
      <w:r w:rsidR="00925735">
        <w:rPr>
          <w:noProof/>
        </w:rPr>
        <w:t>6</w:t>
      </w:r>
      <w:r>
        <w:rPr>
          <w:noProof/>
        </w:rPr>
        <w:fldChar w:fldCharType="end"/>
      </w:r>
    </w:p>
    <w:p w14:paraId="77DF78AB" w14:textId="77777777" w:rsidR="00F028F1" w:rsidRDefault="00F028F1">
      <w:pPr>
        <w:pStyle w:val="TOC1"/>
        <w:tabs>
          <w:tab w:val="left" w:pos="503"/>
        </w:tabs>
        <w:rPr>
          <w:rFonts w:asciiTheme="minorHAnsi" w:eastAsiaTheme="minorEastAsia" w:hAnsiTheme="minorHAnsi" w:cstheme="minorBidi"/>
          <w:noProof/>
          <w:lang w:eastAsia="ja-JP"/>
        </w:rPr>
      </w:pPr>
      <w:r w:rsidRPr="006A0F51">
        <w:rPr>
          <w:noProof/>
          <w:color w:val="E2007A"/>
        </w:rPr>
        <w:t>1 |</w:t>
      </w:r>
      <w:r>
        <w:rPr>
          <w:rFonts w:asciiTheme="minorHAnsi" w:eastAsiaTheme="minorEastAsia" w:hAnsiTheme="minorHAnsi" w:cstheme="minorBidi"/>
          <w:noProof/>
          <w:lang w:eastAsia="ja-JP"/>
        </w:rPr>
        <w:tab/>
      </w:r>
      <w:r>
        <w:rPr>
          <w:noProof/>
        </w:rPr>
        <w:t>Your rights to equality from healthcare and social care services</w:t>
      </w:r>
      <w:r>
        <w:rPr>
          <w:noProof/>
        </w:rPr>
        <w:tab/>
      </w:r>
      <w:r>
        <w:rPr>
          <w:noProof/>
        </w:rPr>
        <w:fldChar w:fldCharType="begin"/>
      </w:r>
      <w:r>
        <w:rPr>
          <w:noProof/>
        </w:rPr>
        <w:instrText xml:space="preserve"> PAGEREF _Toc297300485 \h </w:instrText>
      </w:r>
      <w:r>
        <w:rPr>
          <w:noProof/>
        </w:rPr>
      </w:r>
      <w:r>
        <w:rPr>
          <w:noProof/>
        </w:rPr>
        <w:fldChar w:fldCharType="separate"/>
      </w:r>
      <w:r w:rsidR="00925735">
        <w:rPr>
          <w:noProof/>
        </w:rPr>
        <w:t>7</w:t>
      </w:r>
      <w:r>
        <w:rPr>
          <w:noProof/>
        </w:rPr>
        <w:fldChar w:fldCharType="end"/>
      </w:r>
    </w:p>
    <w:p w14:paraId="53253540"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Who is this guide for?</w:t>
      </w:r>
      <w:r>
        <w:rPr>
          <w:noProof/>
        </w:rPr>
        <w:tab/>
      </w:r>
      <w:r>
        <w:rPr>
          <w:noProof/>
        </w:rPr>
        <w:fldChar w:fldCharType="begin"/>
      </w:r>
      <w:r>
        <w:rPr>
          <w:noProof/>
        </w:rPr>
        <w:instrText xml:space="preserve"> PAGEREF _Toc297300486 \h </w:instrText>
      </w:r>
      <w:r>
        <w:rPr>
          <w:noProof/>
        </w:rPr>
      </w:r>
      <w:r>
        <w:rPr>
          <w:noProof/>
        </w:rPr>
        <w:fldChar w:fldCharType="separate"/>
      </w:r>
      <w:r w:rsidR="00925735">
        <w:rPr>
          <w:noProof/>
        </w:rPr>
        <w:t>7</w:t>
      </w:r>
      <w:r>
        <w:rPr>
          <w:noProof/>
        </w:rPr>
        <w:fldChar w:fldCharType="end"/>
      </w:r>
    </w:p>
    <w:p w14:paraId="5578BF47"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Healthcare and social care services</w:t>
      </w:r>
      <w:r>
        <w:rPr>
          <w:noProof/>
        </w:rPr>
        <w:tab/>
      </w:r>
      <w:r>
        <w:rPr>
          <w:noProof/>
        </w:rPr>
        <w:fldChar w:fldCharType="begin"/>
      </w:r>
      <w:r>
        <w:rPr>
          <w:noProof/>
        </w:rPr>
        <w:instrText xml:space="preserve"> PAGEREF _Toc297300487 \h </w:instrText>
      </w:r>
      <w:r>
        <w:rPr>
          <w:noProof/>
        </w:rPr>
      </w:r>
      <w:r>
        <w:rPr>
          <w:noProof/>
        </w:rPr>
        <w:fldChar w:fldCharType="separate"/>
      </w:r>
      <w:r w:rsidR="00925735">
        <w:rPr>
          <w:noProof/>
        </w:rPr>
        <w:t>7</w:t>
      </w:r>
      <w:r>
        <w:rPr>
          <w:noProof/>
        </w:rPr>
        <w:fldChar w:fldCharType="end"/>
      </w:r>
    </w:p>
    <w:p w14:paraId="144ED745"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Does equality law apply?</w:t>
      </w:r>
      <w:r>
        <w:rPr>
          <w:noProof/>
        </w:rPr>
        <w:tab/>
      </w:r>
      <w:r>
        <w:rPr>
          <w:noProof/>
        </w:rPr>
        <w:fldChar w:fldCharType="begin"/>
      </w:r>
      <w:r>
        <w:rPr>
          <w:noProof/>
        </w:rPr>
        <w:instrText xml:space="preserve"> PAGEREF _Toc297300488 \h </w:instrText>
      </w:r>
      <w:r>
        <w:rPr>
          <w:noProof/>
        </w:rPr>
      </w:r>
      <w:r>
        <w:rPr>
          <w:noProof/>
        </w:rPr>
        <w:fldChar w:fldCharType="separate"/>
      </w:r>
      <w:r w:rsidR="00925735">
        <w:rPr>
          <w:noProof/>
        </w:rPr>
        <w:t>8</w:t>
      </w:r>
      <w:r>
        <w:rPr>
          <w:noProof/>
        </w:rPr>
        <w:fldChar w:fldCharType="end"/>
      </w:r>
    </w:p>
    <w:p w14:paraId="2FA528B1"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What’s in this guide?</w:t>
      </w:r>
      <w:r>
        <w:rPr>
          <w:noProof/>
        </w:rPr>
        <w:tab/>
      </w:r>
      <w:r>
        <w:rPr>
          <w:noProof/>
        </w:rPr>
        <w:fldChar w:fldCharType="begin"/>
      </w:r>
      <w:r>
        <w:rPr>
          <w:noProof/>
        </w:rPr>
        <w:instrText xml:space="preserve"> PAGEREF _Toc297300489 \h </w:instrText>
      </w:r>
      <w:r>
        <w:rPr>
          <w:noProof/>
        </w:rPr>
      </w:r>
      <w:r>
        <w:rPr>
          <w:noProof/>
        </w:rPr>
        <w:fldChar w:fldCharType="separate"/>
      </w:r>
      <w:r w:rsidR="00925735">
        <w:rPr>
          <w:noProof/>
        </w:rPr>
        <w:t>8</w:t>
      </w:r>
      <w:r>
        <w:rPr>
          <w:noProof/>
        </w:rPr>
        <w:fldChar w:fldCharType="end"/>
      </w:r>
    </w:p>
    <w:p w14:paraId="6E16D1BC"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What else is in this guide?</w:t>
      </w:r>
      <w:r>
        <w:rPr>
          <w:noProof/>
        </w:rPr>
        <w:tab/>
      </w:r>
      <w:r>
        <w:rPr>
          <w:noProof/>
        </w:rPr>
        <w:fldChar w:fldCharType="begin"/>
      </w:r>
      <w:r>
        <w:rPr>
          <w:noProof/>
        </w:rPr>
        <w:instrText xml:space="preserve"> PAGEREF _Toc297300490 \h </w:instrText>
      </w:r>
      <w:r>
        <w:rPr>
          <w:noProof/>
        </w:rPr>
      </w:r>
      <w:r>
        <w:rPr>
          <w:noProof/>
        </w:rPr>
        <w:fldChar w:fldCharType="separate"/>
      </w:r>
      <w:r w:rsidR="00925735">
        <w:rPr>
          <w:noProof/>
        </w:rPr>
        <w:t>9</w:t>
      </w:r>
      <w:r>
        <w:rPr>
          <w:noProof/>
        </w:rPr>
        <w:fldChar w:fldCharType="end"/>
      </w:r>
    </w:p>
    <w:p w14:paraId="7C79056A"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Services and public functions</w:t>
      </w:r>
      <w:r>
        <w:rPr>
          <w:noProof/>
        </w:rPr>
        <w:tab/>
      </w:r>
      <w:r>
        <w:rPr>
          <w:noProof/>
        </w:rPr>
        <w:fldChar w:fldCharType="begin"/>
      </w:r>
      <w:r>
        <w:rPr>
          <w:noProof/>
        </w:rPr>
        <w:instrText xml:space="preserve"> PAGEREF _Toc297300491 \h </w:instrText>
      </w:r>
      <w:r>
        <w:rPr>
          <w:noProof/>
        </w:rPr>
      </w:r>
      <w:r>
        <w:rPr>
          <w:noProof/>
        </w:rPr>
        <w:fldChar w:fldCharType="separate"/>
      </w:r>
      <w:r w:rsidR="00925735">
        <w:rPr>
          <w:noProof/>
        </w:rPr>
        <w:t>9</w:t>
      </w:r>
      <w:r>
        <w:rPr>
          <w:noProof/>
        </w:rPr>
        <w:fldChar w:fldCharType="end"/>
      </w:r>
    </w:p>
    <w:p w14:paraId="49D1B7E8"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What equality law says service providers must do</w:t>
      </w:r>
      <w:r>
        <w:rPr>
          <w:noProof/>
        </w:rPr>
        <w:tab/>
      </w:r>
      <w:r>
        <w:rPr>
          <w:noProof/>
        </w:rPr>
        <w:fldChar w:fldCharType="begin"/>
      </w:r>
      <w:r>
        <w:rPr>
          <w:noProof/>
        </w:rPr>
        <w:instrText xml:space="preserve"> PAGEREF _Toc297300492 \h </w:instrText>
      </w:r>
      <w:r>
        <w:rPr>
          <w:noProof/>
        </w:rPr>
      </w:r>
      <w:r>
        <w:rPr>
          <w:noProof/>
        </w:rPr>
        <w:fldChar w:fldCharType="separate"/>
      </w:r>
      <w:r w:rsidR="00925735">
        <w:rPr>
          <w:noProof/>
        </w:rPr>
        <w:t>11</w:t>
      </w:r>
      <w:r>
        <w:rPr>
          <w:noProof/>
        </w:rPr>
        <w:fldChar w:fldCharType="end"/>
      </w:r>
    </w:p>
    <w:p w14:paraId="0D8917A0"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Protected characteristics</w:t>
      </w:r>
      <w:r>
        <w:rPr>
          <w:noProof/>
        </w:rPr>
        <w:tab/>
      </w:r>
      <w:r>
        <w:rPr>
          <w:noProof/>
        </w:rPr>
        <w:fldChar w:fldCharType="begin"/>
      </w:r>
      <w:r>
        <w:rPr>
          <w:noProof/>
        </w:rPr>
        <w:instrText xml:space="preserve"> PAGEREF _Toc297300493 \h </w:instrText>
      </w:r>
      <w:r>
        <w:rPr>
          <w:noProof/>
        </w:rPr>
      </w:r>
      <w:r>
        <w:rPr>
          <w:noProof/>
        </w:rPr>
        <w:fldChar w:fldCharType="separate"/>
      </w:r>
      <w:r w:rsidR="00925735">
        <w:rPr>
          <w:noProof/>
        </w:rPr>
        <w:t>11</w:t>
      </w:r>
      <w:r>
        <w:rPr>
          <w:noProof/>
        </w:rPr>
        <w:fldChar w:fldCharType="end"/>
      </w:r>
    </w:p>
    <w:p w14:paraId="5F5C0E85"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Unlawful discrimination</w:t>
      </w:r>
      <w:r>
        <w:rPr>
          <w:noProof/>
        </w:rPr>
        <w:tab/>
      </w:r>
      <w:r>
        <w:rPr>
          <w:noProof/>
        </w:rPr>
        <w:fldChar w:fldCharType="begin"/>
      </w:r>
      <w:r>
        <w:rPr>
          <w:noProof/>
        </w:rPr>
        <w:instrText xml:space="preserve"> PAGEREF _Toc297300494 \h </w:instrText>
      </w:r>
      <w:r>
        <w:rPr>
          <w:noProof/>
        </w:rPr>
      </w:r>
      <w:r>
        <w:rPr>
          <w:noProof/>
        </w:rPr>
        <w:fldChar w:fldCharType="separate"/>
      </w:r>
      <w:r w:rsidR="00925735">
        <w:rPr>
          <w:noProof/>
        </w:rPr>
        <w:t>11</w:t>
      </w:r>
      <w:r>
        <w:rPr>
          <w:noProof/>
        </w:rPr>
        <w:fldChar w:fldCharType="end"/>
      </w:r>
    </w:p>
    <w:p w14:paraId="69A5E366"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Standards of behaviour</w:t>
      </w:r>
      <w:r>
        <w:rPr>
          <w:noProof/>
        </w:rPr>
        <w:tab/>
      </w:r>
      <w:r>
        <w:rPr>
          <w:noProof/>
        </w:rPr>
        <w:fldChar w:fldCharType="begin"/>
      </w:r>
      <w:r>
        <w:rPr>
          <w:noProof/>
        </w:rPr>
        <w:instrText xml:space="preserve"> PAGEREF _Toc297300495 \h </w:instrText>
      </w:r>
      <w:r>
        <w:rPr>
          <w:noProof/>
        </w:rPr>
      </w:r>
      <w:r>
        <w:rPr>
          <w:noProof/>
        </w:rPr>
        <w:fldChar w:fldCharType="separate"/>
      </w:r>
      <w:r w:rsidR="00925735">
        <w:rPr>
          <w:noProof/>
        </w:rPr>
        <w:t>16</w:t>
      </w:r>
      <w:r>
        <w:rPr>
          <w:noProof/>
        </w:rPr>
        <w:fldChar w:fldCharType="end"/>
      </w:r>
    </w:p>
    <w:p w14:paraId="1C11AD27"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Services for particular groups</w:t>
      </w:r>
      <w:r>
        <w:rPr>
          <w:noProof/>
        </w:rPr>
        <w:tab/>
      </w:r>
      <w:r>
        <w:rPr>
          <w:noProof/>
        </w:rPr>
        <w:fldChar w:fldCharType="begin"/>
      </w:r>
      <w:r>
        <w:rPr>
          <w:noProof/>
        </w:rPr>
        <w:instrText xml:space="preserve"> PAGEREF _Toc297300496 \h </w:instrText>
      </w:r>
      <w:r>
        <w:rPr>
          <w:noProof/>
        </w:rPr>
      </w:r>
      <w:r>
        <w:rPr>
          <w:noProof/>
        </w:rPr>
        <w:fldChar w:fldCharType="separate"/>
      </w:r>
      <w:r w:rsidR="00925735">
        <w:rPr>
          <w:noProof/>
        </w:rPr>
        <w:t>17</w:t>
      </w:r>
      <w:r>
        <w:rPr>
          <w:noProof/>
        </w:rPr>
        <w:fldChar w:fldCharType="end"/>
      </w:r>
    </w:p>
    <w:p w14:paraId="6D2C76A0"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Giving blood</w:t>
      </w:r>
      <w:r>
        <w:rPr>
          <w:noProof/>
        </w:rPr>
        <w:tab/>
      </w:r>
      <w:r>
        <w:rPr>
          <w:noProof/>
        </w:rPr>
        <w:fldChar w:fldCharType="begin"/>
      </w:r>
      <w:r>
        <w:rPr>
          <w:noProof/>
        </w:rPr>
        <w:instrText xml:space="preserve"> PAGEREF _Toc297300497 \h </w:instrText>
      </w:r>
      <w:r>
        <w:rPr>
          <w:noProof/>
        </w:rPr>
      </w:r>
      <w:r>
        <w:rPr>
          <w:noProof/>
        </w:rPr>
        <w:fldChar w:fldCharType="separate"/>
      </w:r>
      <w:r w:rsidR="00925735">
        <w:rPr>
          <w:noProof/>
        </w:rPr>
        <w:t>23</w:t>
      </w:r>
      <w:r>
        <w:rPr>
          <w:noProof/>
        </w:rPr>
        <w:fldChar w:fldCharType="end"/>
      </w:r>
    </w:p>
    <w:p w14:paraId="5DCFC093"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Access to fertility treatment</w:t>
      </w:r>
      <w:r>
        <w:rPr>
          <w:noProof/>
        </w:rPr>
        <w:tab/>
      </w:r>
      <w:r>
        <w:rPr>
          <w:noProof/>
        </w:rPr>
        <w:fldChar w:fldCharType="begin"/>
      </w:r>
      <w:r>
        <w:rPr>
          <w:noProof/>
        </w:rPr>
        <w:instrText xml:space="preserve"> PAGEREF _Toc297300498 \h </w:instrText>
      </w:r>
      <w:r>
        <w:rPr>
          <w:noProof/>
        </w:rPr>
      </w:r>
      <w:r>
        <w:rPr>
          <w:noProof/>
        </w:rPr>
        <w:fldChar w:fldCharType="separate"/>
      </w:r>
      <w:r w:rsidR="00925735">
        <w:rPr>
          <w:noProof/>
        </w:rPr>
        <w:t>24</w:t>
      </w:r>
      <w:r>
        <w:rPr>
          <w:noProof/>
        </w:rPr>
        <w:fldChar w:fldCharType="end"/>
      </w:r>
    </w:p>
    <w:p w14:paraId="061BA956" w14:textId="77777777" w:rsidR="00F028F1" w:rsidRDefault="00F028F1">
      <w:pPr>
        <w:pStyle w:val="TOC1"/>
        <w:tabs>
          <w:tab w:val="left" w:pos="503"/>
        </w:tabs>
        <w:rPr>
          <w:rFonts w:asciiTheme="minorHAnsi" w:eastAsiaTheme="minorEastAsia" w:hAnsiTheme="minorHAnsi" w:cstheme="minorBidi"/>
          <w:noProof/>
          <w:lang w:eastAsia="ja-JP"/>
        </w:rPr>
      </w:pPr>
      <w:r w:rsidRPr="006A0F51">
        <w:rPr>
          <w:noProof/>
          <w:color w:val="E2007A"/>
        </w:rPr>
        <w:t>2 |</w:t>
      </w:r>
      <w:r>
        <w:rPr>
          <w:rFonts w:asciiTheme="minorHAnsi" w:eastAsiaTheme="minorEastAsia" w:hAnsiTheme="minorHAnsi" w:cstheme="minorBidi"/>
          <w:noProof/>
          <w:lang w:eastAsia="ja-JP"/>
        </w:rPr>
        <w:tab/>
      </w:r>
      <w:r>
        <w:rPr>
          <w:noProof/>
        </w:rPr>
        <w:t>What equality law says about delivering services: staff, places, advertisements and marketing, written materials, websites, telephone services and call centres</w:t>
      </w:r>
      <w:r>
        <w:rPr>
          <w:noProof/>
        </w:rPr>
        <w:tab/>
      </w:r>
      <w:r>
        <w:rPr>
          <w:noProof/>
        </w:rPr>
        <w:fldChar w:fldCharType="begin"/>
      </w:r>
      <w:r>
        <w:rPr>
          <w:noProof/>
        </w:rPr>
        <w:instrText xml:space="preserve"> PAGEREF _Toc297300499 \h </w:instrText>
      </w:r>
      <w:r>
        <w:rPr>
          <w:noProof/>
        </w:rPr>
      </w:r>
      <w:r>
        <w:rPr>
          <w:noProof/>
        </w:rPr>
        <w:fldChar w:fldCharType="separate"/>
      </w:r>
      <w:r w:rsidR="00925735">
        <w:rPr>
          <w:noProof/>
        </w:rPr>
        <w:t>26</w:t>
      </w:r>
      <w:r>
        <w:rPr>
          <w:noProof/>
        </w:rPr>
        <w:fldChar w:fldCharType="end"/>
      </w:r>
    </w:p>
    <w:p w14:paraId="6E3C0B3A"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Staff behaviour</w:t>
      </w:r>
      <w:r>
        <w:rPr>
          <w:noProof/>
        </w:rPr>
        <w:tab/>
      </w:r>
      <w:r>
        <w:rPr>
          <w:noProof/>
        </w:rPr>
        <w:fldChar w:fldCharType="begin"/>
      </w:r>
      <w:r>
        <w:rPr>
          <w:noProof/>
        </w:rPr>
        <w:instrText xml:space="preserve"> PAGEREF _Toc297300500 \h </w:instrText>
      </w:r>
      <w:r>
        <w:rPr>
          <w:noProof/>
        </w:rPr>
      </w:r>
      <w:r>
        <w:rPr>
          <w:noProof/>
        </w:rPr>
        <w:fldChar w:fldCharType="separate"/>
      </w:r>
      <w:r w:rsidR="00925735">
        <w:rPr>
          <w:noProof/>
        </w:rPr>
        <w:t>27</w:t>
      </w:r>
      <w:r>
        <w:rPr>
          <w:noProof/>
        </w:rPr>
        <w:fldChar w:fldCharType="end"/>
      </w:r>
    </w:p>
    <w:p w14:paraId="108798C0"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The building or other place where services are delivered</w:t>
      </w:r>
      <w:r>
        <w:rPr>
          <w:noProof/>
        </w:rPr>
        <w:tab/>
      </w:r>
      <w:r>
        <w:rPr>
          <w:noProof/>
        </w:rPr>
        <w:fldChar w:fldCharType="begin"/>
      </w:r>
      <w:r>
        <w:rPr>
          <w:noProof/>
        </w:rPr>
        <w:instrText xml:space="preserve"> PAGEREF _Toc297300501 \h </w:instrText>
      </w:r>
      <w:r>
        <w:rPr>
          <w:noProof/>
        </w:rPr>
      </w:r>
      <w:r>
        <w:rPr>
          <w:noProof/>
        </w:rPr>
        <w:fldChar w:fldCharType="separate"/>
      </w:r>
      <w:r w:rsidR="00925735">
        <w:rPr>
          <w:noProof/>
        </w:rPr>
        <w:t>28</w:t>
      </w:r>
      <w:r>
        <w:rPr>
          <w:noProof/>
        </w:rPr>
        <w:fldChar w:fldCharType="end"/>
      </w:r>
    </w:p>
    <w:p w14:paraId="3CFBA7C9"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Advertisements and marketing</w:t>
      </w:r>
      <w:r>
        <w:rPr>
          <w:noProof/>
        </w:rPr>
        <w:tab/>
      </w:r>
      <w:r>
        <w:rPr>
          <w:noProof/>
        </w:rPr>
        <w:fldChar w:fldCharType="begin"/>
      </w:r>
      <w:r>
        <w:rPr>
          <w:noProof/>
        </w:rPr>
        <w:instrText xml:space="preserve"> PAGEREF _Toc297300502 \h </w:instrText>
      </w:r>
      <w:r>
        <w:rPr>
          <w:noProof/>
        </w:rPr>
      </w:r>
      <w:r>
        <w:rPr>
          <w:noProof/>
        </w:rPr>
        <w:fldChar w:fldCharType="separate"/>
      </w:r>
      <w:r w:rsidR="00925735">
        <w:rPr>
          <w:noProof/>
        </w:rPr>
        <w:t>29</w:t>
      </w:r>
      <w:r>
        <w:rPr>
          <w:noProof/>
        </w:rPr>
        <w:fldChar w:fldCharType="end"/>
      </w:r>
    </w:p>
    <w:p w14:paraId="1D60A00A"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Written information</w:t>
      </w:r>
      <w:r>
        <w:rPr>
          <w:noProof/>
        </w:rPr>
        <w:tab/>
      </w:r>
      <w:r>
        <w:rPr>
          <w:noProof/>
        </w:rPr>
        <w:fldChar w:fldCharType="begin"/>
      </w:r>
      <w:r>
        <w:rPr>
          <w:noProof/>
        </w:rPr>
        <w:instrText xml:space="preserve"> PAGEREF _Toc297300503 \h </w:instrText>
      </w:r>
      <w:r>
        <w:rPr>
          <w:noProof/>
        </w:rPr>
      </w:r>
      <w:r>
        <w:rPr>
          <w:noProof/>
        </w:rPr>
        <w:fldChar w:fldCharType="separate"/>
      </w:r>
      <w:r w:rsidR="00925735">
        <w:rPr>
          <w:noProof/>
        </w:rPr>
        <w:t>31</w:t>
      </w:r>
      <w:r>
        <w:rPr>
          <w:noProof/>
        </w:rPr>
        <w:fldChar w:fldCharType="end"/>
      </w:r>
    </w:p>
    <w:p w14:paraId="1EE86731"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Websites and internet services</w:t>
      </w:r>
      <w:r>
        <w:rPr>
          <w:noProof/>
        </w:rPr>
        <w:tab/>
      </w:r>
      <w:r>
        <w:rPr>
          <w:noProof/>
        </w:rPr>
        <w:fldChar w:fldCharType="begin"/>
      </w:r>
      <w:r>
        <w:rPr>
          <w:noProof/>
        </w:rPr>
        <w:instrText xml:space="preserve"> PAGEREF _Toc297300504 \h </w:instrText>
      </w:r>
      <w:r>
        <w:rPr>
          <w:noProof/>
        </w:rPr>
      </w:r>
      <w:r>
        <w:rPr>
          <w:noProof/>
        </w:rPr>
        <w:fldChar w:fldCharType="separate"/>
      </w:r>
      <w:r w:rsidR="00925735">
        <w:rPr>
          <w:noProof/>
        </w:rPr>
        <w:t>32</w:t>
      </w:r>
      <w:r>
        <w:rPr>
          <w:noProof/>
        </w:rPr>
        <w:fldChar w:fldCharType="end"/>
      </w:r>
    </w:p>
    <w:p w14:paraId="54CB882F"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Reasonable adjustments</w:t>
      </w:r>
      <w:r>
        <w:rPr>
          <w:noProof/>
        </w:rPr>
        <w:tab/>
      </w:r>
      <w:r>
        <w:rPr>
          <w:noProof/>
        </w:rPr>
        <w:fldChar w:fldCharType="begin"/>
      </w:r>
      <w:r>
        <w:rPr>
          <w:noProof/>
        </w:rPr>
        <w:instrText xml:space="preserve"> PAGEREF _Toc297300505 \h </w:instrText>
      </w:r>
      <w:r>
        <w:rPr>
          <w:noProof/>
        </w:rPr>
      </w:r>
      <w:r>
        <w:rPr>
          <w:noProof/>
        </w:rPr>
        <w:fldChar w:fldCharType="separate"/>
      </w:r>
      <w:r w:rsidR="00925735">
        <w:rPr>
          <w:noProof/>
        </w:rPr>
        <w:t>33</w:t>
      </w:r>
      <w:r>
        <w:rPr>
          <w:noProof/>
        </w:rPr>
        <w:fldChar w:fldCharType="end"/>
      </w:r>
    </w:p>
    <w:p w14:paraId="1F34548F"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Exceptions</w:t>
      </w:r>
      <w:r>
        <w:rPr>
          <w:noProof/>
        </w:rPr>
        <w:tab/>
      </w:r>
      <w:r>
        <w:rPr>
          <w:noProof/>
        </w:rPr>
        <w:fldChar w:fldCharType="begin"/>
      </w:r>
      <w:r>
        <w:rPr>
          <w:noProof/>
        </w:rPr>
        <w:instrText xml:space="preserve"> PAGEREF _Toc297300506 \h </w:instrText>
      </w:r>
      <w:r>
        <w:rPr>
          <w:noProof/>
        </w:rPr>
      </w:r>
      <w:r>
        <w:rPr>
          <w:noProof/>
        </w:rPr>
        <w:fldChar w:fldCharType="separate"/>
      </w:r>
      <w:r w:rsidR="00925735">
        <w:rPr>
          <w:noProof/>
        </w:rPr>
        <w:t>33</w:t>
      </w:r>
      <w:r>
        <w:rPr>
          <w:noProof/>
        </w:rPr>
        <w:fldChar w:fldCharType="end"/>
      </w:r>
    </w:p>
    <w:p w14:paraId="359CB17D"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lastRenderedPageBreak/>
        <w:t>Telephone access and call centres</w:t>
      </w:r>
      <w:r>
        <w:rPr>
          <w:noProof/>
        </w:rPr>
        <w:tab/>
      </w:r>
      <w:r>
        <w:rPr>
          <w:noProof/>
        </w:rPr>
        <w:fldChar w:fldCharType="begin"/>
      </w:r>
      <w:r>
        <w:rPr>
          <w:noProof/>
        </w:rPr>
        <w:instrText xml:space="preserve"> PAGEREF _Toc297300507 \h </w:instrText>
      </w:r>
      <w:r>
        <w:rPr>
          <w:noProof/>
        </w:rPr>
      </w:r>
      <w:r>
        <w:rPr>
          <w:noProof/>
        </w:rPr>
        <w:fldChar w:fldCharType="separate"/>
      </w:r>
      <w:r w:rsidR="00925735">
        <w:rPr>
          <w:noProof/>
        </w:rPr>
        <w:t>34</w:t>
      </w:r>
      <w:r>
        <w:rPr>
          <w:noProof/>
        </w:rPr>
        <w:fldChar w:fldCharType="end"/>
      </w:r>
    </w:p>
    <w:p w14:paraId="5751E372" w14:textId="77777777" w:rsidR="00F028F1" w:rsidRDefault="00F028F1">
      <w:pPr>
        <w:pStyle w:val="TOC1"/>
        <w:tabs>
          <w:tab w:val="left" w:pos="503"/>
        </w:tabs>
        <w:rPr>
          <w:rFonts w:asciiTheme="minorHAnsi" w:eastAsiaTheme="minorEastAsia" w:hAnsiTheme="minorHAnsi" w:cstheme="minorBidi"/>
          <w:noProof/>
          <w:lang w:eastAsia="ja-JP"/>
        </w:rPr>
      </w:pPr>
      <w:r w:rsidRPr="006A0F51">
        <w:rPr>
          <w:noProof/>
          <w:color w:val="E2007A"/>
        </w:rPr>
        <w:t>3 |</w:t>
      </w:r>
      <w:r>
        <w:rPr>
          <w:rFonts w:asciiTheme="minorHAnsi" w:eastAsiaTheme="minorEastAsia" w:hAnsiTheme="minorHAnsi" w:cstheme="minorBidi"/>
          <w:noProof/>
          <w:lang w:eastAsia="ja-JP"/>
        </w:rPr>
        <w:tab/>
      </w:r>
      <w:r>
        <w:rPr>
          <w:noProof/>
        </w:rPr>
        <w:t>When a service provider is responsible for what other people do</w:t>
      </w:r>
      <w:r>
        <w:rPr>
          <w:noProof/>
        </w:rPr>
        <w:tab/>
      </w:r>
      <w:r>
        <w:rPr>
          <w:noProof/>
        </w:rPr>
        <w:fldChar w:fldCharType="begin"/>
      </w:r>
      <w:r>
        <w:rPr>
          <w:noProof/>
        </w:rPr>
        <w:instrText xml:space="preserve"> PAGEREF _Toc297300508 \h </w:instrText>
      </w:r>
      <w:r>
        <w:rPr>
          <w:noProof/>
        </w:rPr>
      </w:r>
      <w:r>
        <w:rPr>
          <w:noProof/>
        </w:rPr>
        <w:fldChar w:fldCharType="separate"/>
      </w:r>
      <w:r w:rsidR="00925735">
        <w:rPr>
          <w:noProof/>
        </w:rPr>
        <w:t>35</w:t>
      </w:r>
      <w:r>
        <w:rPr>
          <w:noProof/>
        </w:rPr>
        <w:fldChar w:fldCharType="end"/>
      </w:r>
    </w:p>
    <w:p w14:paraId="7B8F80D9" w14:textId="5E53568D"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 xml:space="preserve">When a service provider can be held legally responsible for someone else’s </w:t>
      </w:r>
      <w:r>
        <w:rPr>
          <w:noProof/>
          <w:lang w:eastAsia="en-GB"/>
        </w:rPr>
        <w:br/>
        <w:t>unlawful discrimination, harassment or victimisation</w:t>
      </w:r>
      <w:r>
        <w:rPr>
          <w:noProof/>
        </w:rPr>
        <w:tab/>
      </w:r>
      <w:r>
        <w:rPr>
          <w:noProof/>
        </w:rPr>
        <w:fldChar w:fldCharType="begin"/>
      </w:r>
      <w:r>
        <w:rPr>
          <w:noProof/>
        </w:rPr>
        <w:instrText xml:space="preserve"> PAGEREF _Toc297300509 \h </w:instrText>
      </w:r>
      <w:r>
        <w:rPr>
          <w:noProof/>
        </w:rPr>
      </w:r>
      <w:r>
        <w:rPr>
          <w:noProof/>
        </w:rPr>
        <w:fldChar w:fldCharType="separate"/>
      </w:r>
      <w:r w:rsidR="00925735">
        <w:rPr>
          <w:noProof/>
        </w:rPr>
        <w:t>36</w:t>
      </w:r>
      <w:r>
        <w:rPr>
          <w:noProof/>
        </w:rPr>
        <w:fldChar w:fldCharType="end"/>
      </w:r>
    </w:p>
    <w:p w14:paraId="4B4F0F60" w14:textId="75AAB71F"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 xml:space="preserve">How a service provider can reduce the risk that they will be held </w:t>
      </w:r>
      <w:r w:rsidR="002B46A5">
        <w:rPr>
          <w:noProof/>
          <w:lang w:eastAsia="en-GB"/>
        </w:rPr>
        <w:br/>
      </w:r>
      <w:r>
        <w:rPr>
          <w:noProof/>
          <w:lang w:eastAsia="en-GB"/>
        </w:rPr>
        <w:t>legally responsible</w:t>
      </w:r>
      <w:r>
        <w:rPr>
          <w:noProof/>
        </w:rPr>
        <w:tab/>
      </w:r>
      <w:r>
        <w:rPr>
          <w:noProof/>
        </w:rPr>
        <w:fldChar w:fldCharType="begin"/>
      </w:r>
      <w:r>
        <w:rPr>
          <w:noProof/>
        </w:rPr>
        <w:instrText xml:space="preserve"> PAGEREF _Toc297300510 \h </w:instrText>
      </w:r>
      <w:r>
        <w:rPr>
          <w:noProof/>
        </w:rPr>
      </w:r>
      <w:r>
        <w:rPr>
          <w:noProof/>
        </w:rPr>
        <w:fldChar w:fldCharType="separate"/>
      </w:r>
      <w:r w:rsidR="00925735">
        <w:rPr>
          <w:noProof/>
        </w:rPr>
        <w:t>37</w:t>
      </w:r>
      <w:r>
        <w:rPr>
          <w:noProof/>
        </w:rPr>
        <w:fldChar w:fldCharType="end"/>
      </w:r>
    </w:p>
    <w:p w14:paraId="330DAA2C"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When a service provider’s workers or agents may be personally liable</w:t>
      </w:r>
      <w:r>
        <w:rPr>
          <w:noProof/>
        </w:rPr>
        <w:tab/>
      </w:r>
      <w:r>
        <w:rPr>
          <w:noProof/>
        </w:rPr>
        <w:fldChar w:fldCharType="begin"/>
      </w:r>
      <w:r>
        <w:rPr>
          <w:noProof/>
        </w:rPr>
        <w:instrText xml:space="preserve"> PAGEREF _Toc297300511 \h </w:instrText>
      </w:r>
      <w:r>
        <w:rPr>
          <w:noProof/>
        </w:rPr>
      </w:r>
      <w:r>
        <w:rPr>
          <w:noProof/>
        </w:rPr>
        <w:fldChar w:fldCharType="separate"/>
      </w:r>
      <w:r w:rsidR="00925735">
        <w:rPr>
          <w:noProof/>
        </w:rPr>
        <w:t>38</w:t>
      </w:r>
      <w:r>
        <w:rPr>
          <w:noProof/>
        </w:rPr>
        <w:fldChar w:fldCharType="end"/>
      </w:r>
    </w:p>
    <w:p w14:paraId="2E461AB9"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What happens if the discrimination is done by a person who is not the service provider’s worker or agent</w:t>
      </w:r>
      <w:r>
        <w:rPr>
          <w:noProof/>
        </w:rPr>
        <w:tab/>
      </w:r>
      <w:r>
        <w:rPr>
          <w:noProof/>
        </w:rPr>
        <w:fldChar w:fldCharType="begin"/>
      </w:r>
      <w:r>
        <w:rPr>
          <w:noProof/>
        </w:rPr>
        <w:instrText xml:space="preserve"> PAGEREF _Toc297300512 \h </w:instrText>
      </w:r>
      <w:r>
        <w:rPr>
          <w:noProof/>
        </w:rPr>
      </w:r>
      <w:r>
        <w:rPr>
          <w:noProof/>
        </w:rPr>
        <w:fldChar w:fldCharType="separate"/>
      </w:r>
      <w:r w:rsidR="00925735">
        <w:rPr>
          <w:noProof/>
        </w:rPr>
        <w:t>39</w:t>
      </w:r>
      <w:r>
        <w:rPr>
          <w:noProof/>
        </w:rPr>
        <w:fldChar w:fldCharType="end"/>
      </w:r>
    </w:p>
    <w:p w14:paraId="527C02A6"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What happens if a person instructs someone else to do something that is against equality law</w:t>
      </w:r>
      <w:r>
        <w:rPr>
          <w:noProof/>
        </w:rPr>
        <w:tab/>
      </w:r>
      <w:r>
        <w:rPr>
          <w:noProof/>
        </w:rPr>
        <w:fldChar w:fldCharType="begin"/>
      </w:r>
      <w:r>
        <w:rPr>
          <w:noProof/>
        </w:rPr>
        <w:instrText xml:space="preserve"> PAGEREF _Toc297300513 \h </w:instrText>
      </w:r>
      <w:r>
        <w:rPr>
          <w:noProof/>
        </w:rPr>
      </w:r>
      <w:r>
        <w:rPr>
          <w:noProof/>
        </w:rPr>
        <w:fldChar w:fldCharType="separate"/>
      </w:r>
      <w:r w:rsidR="00925735">
        <w:rPr>
          <w:noProof/>
        </w:rPr>
        <w:t>39</w:t>
      </w:r>
      <w:r>
        <w:rPr>
          <w:noProof/>
        </w:rPr>
        <w:fldChar w:fldCharType="end"/>
      </w:r>
    </w:p>
    <w:p w14:paraId="7A7E732B"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What happens if a person helps someone else to do something that is against equality law</w:t>
      </w:r>
      <w:r>
        <w:rPr>
          <w:noProof/>
        </w:rPr>
        <w:tab/>
      </w:r>
      <w:r>
        <w:rPr>
          <w:noProof/>
        </w:rPr>
        <w:fldChar w:fldCharType="begin"/>
      </w:r>
      <w:r>
        <w:rPr>
          <w:noProof/>
        </w:rPr>
        <w:instrText xml:space="preserve"> PAGEREF _Toc297300514 \h </w:instrText>
      </w:r>
      <w:r>
        <w:rPr>
          <w:noProof/>
        </w:rPr>
      </w:r>
      <w:r>
        <w:rPr>
          <w:noProof/>
        </w:rPr>
        <w:fldChar w:fldCharType="separate"/>
      </w:r>
      <w:r w:rsidR="00925735">
        <w:rPr>
          <w:noProof/>
        </w:rPr>
        <w:t>40</w:t>
      </w:r>
      <w:r>
        <w:rPr>
          <w:noProof/>
        </w:rPr>
        <w:fldChar w:fldCharType="end"/>
      </w:r>
    </w:p>
    <w:p w14:paraId="601522CB"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What happens if a service provider tries to stop equality law applying to a situation</w:t>
      </w:r>
      <w:r>
        <w:rPr>
          <w:noProof/>
        </w:rPr>
        <w:tab/>
      </w:r>
      <w:r>
        <w:rPr>
          <w:noProof/>
        </w:rPr>
        <w:fldChar w:fldCharType="begin"/>
      </w:r>
      <w:r>
        <w:rPr>
          <w:noProof/>
        </w:rPr>
        <w:instrText xml:space="preserve"> PAGEREF _Toc297300515 \h </w:instrText>
      </w:r>
      <w:r>
        <w:rPr>
          <w:noProof/>
        </w:rPr>
      </w:r>
      <w:r>
        <w:rPr>
          <w:noProof/>
        </w:rPr>
        <w:fldChar w:fldCharType="separate"/>
      </w:r>
      <w:r w:rsidR="00925735">
        <w:rPr>
          <w:noProof/>
        </w:rPr>
        <w:t>40</w:t>
      </w:r>
      <w:r>
        <w:rPr>
          <w:noProof/>
        </w:rPr>
        <w:fldChar w:fldCharType="end"/>
      </w:r>
    </w:p>
    <w:p w14:paraId="25E4AE6C" w14:textId="04BFC042" w:rsidR="00F028F1" w:rsidRDefault="00F028F1">
      <w:pPr>
        <w:pStyle w:val="TOC1"/>
        <w:tabs>
          <w:tab w:val="left" w:pos="503"/>
        </w:tabs>
        <w:rPr>
          <w:rFonts w:asciiTheme="minorHAnsi" w:eastAsiaTheme="minorEastAsia" w:hAnsiTheme="minorHAnsi" w:cstheme="minorBidi"/>
          <w:noProof/>
          <w:lang w:eastAsia="ja-JP"/>
        </w:rPr>
      </w:pPr>
      <w:r w:rsidRPr="006A0F51">
        <w:rPr>
          <w:noProof/>
          <w:color w:val="E2007A"/>
        </w:rPr>
        <w:t>4 |</w:t>
      </w:r>
      <w:r>
        <w:rPr>
          <w:rFonts w:asciiTheme="minorHAnsi" w:eastAsiaTheme="minorEastAsia" w:hAnsiTheme="minorHAnsi" w:cstheme="minorBidi"/>
          <w:noProof/>
          <w:lang w:eastAsia="ja-JP"/>
        </w:rPr>
        <w:tab/>
      </w:r>
      <w:r>
        <w:rPr>
          <w:noProof/>
        </w:rPr>
        <w:t xml:space="preserve">The duty to make reasonable adjustments to remove barriers for </w:t>
      </w:r>
      <w:r w:rsidR="002B46A5">
        <w:rPr>
          <w:noProof/>
        </w:rPr>
        <w:br/>
      </w:r>
      <w:r>
        <w:rPr>
          <w:noProof/>
        </w:rPr>
        <w:t>disabled people</w:t>
      </w:r>
      <w:r>
        <w:rPr>
          <w:noProof/>
        </w:rPr>
        <w:tab/>
      </w:r>
      <w:r>
        <w:rPr>
          <w:noProof/>
        </w:rPr>
        <w:fldChar w:fldCharType="begin"/>
      </w:r>
      <w:r>
        <w:rPr>
          <w:noProof/>
        </w:rPr>
        <w:instrText xml:space="preserve"> PAGEREF _Toc297300516 \h </w:instrText>
      </w:r>
      <w:r>
        <w:rPr>
          <w:noProof/>
        </w:rPr>
      </w:r>
      <w:r>
        <w:rPr>
          <w:noProof/>
        </w:rPr>
        <w:fldChar w:fldCharType="separate"/>
      </w:r>
      <w:r w:rsidR="00925735">
        <w:rPr>
          <w:noProof/>
        </w:rPr>
        <w:t>41</w:t>
      </w:r>
      <w:r>
        <w:rPr>
          <w:noProof/>
        </w:rPr>
        <w:fldChar w:fldCharType="end"/>
      </w:r>
    </w:p>
    <w:p w14:paraId="5104358F"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The three requirements of the duty</w:t>
      </w:r>
      <w:r>
        <w:rPr>
          <w:noProof/>
        </w:rPr>
        <w:tab/>
      </w:r>
      <w:r>
        <w:rPr>
          <w:noProof/>
        </w:rPr>
        <w:fldChar w:fldCharType="begin"/>
      </w:r>
      <w:r>
        <w:rPr>
          <w:noProof/>
        </w:rPr>
        <w:instrText xml:space="preserve"> PAGEREF _Toc297300517 \h </w:instrText>
      </w:r>
      <w:r>
        <w:rPr>
          <w:noProof/>
        </w:rPr>
      </w:r>
      <w:r>
        <w:rPr>
          <w:noProof/>
        </w:rPr>
        <w:fldChar w:fldCharType="separate"/>
      </w:r>
      <w:r w:rsidR="00925735">
        <w:rPr>
          <w:noProof/>
        </w:rPr>
        <w:t>42</w:t>
      </w:r>
      <w:r>
        <w:rPr>
          <w:noProof/>
        </w:rPr>
        <w:fldChar w:fldCharType="end"/>
      </w:r>
    </w:p>
    <w:p w14:paraId="29877E00"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Are disabled people at a substantial disadvantage?</w:t>
      </w:r>
      <w:r>
        <w:rPr>
          <w:noProof/>
        </w:rPr>
        <w:tab/>
      </w:r>
      <w:r>
        <w:rPr>
          <w:noProof/>
        </w:rPr>
        <w:fldChar w:fldCharType="begin"/>
      </w:r>
      <w:r>
        <w:rPr>
          <w:noProof/>
        </w:rPr>
        <w:instrText xml:space="preserve"> PAGEREF _Toc297300518 \h </w:instrText>
      </w:r>
      <w:r>
        <w:rPr>
          <w:noProof/>
        </w:rPr>
      </w:r>
      <w:r>
        <w:rPr>
          <w:noProof/>
        </w:rPr>
        <w:fldChar w:fldCharType="separate"/>
      </w:r>
      <w:r w:rsidR="00925735">
        <w:rPr>
          <w:noProof/>
        </w:rPr>
        <w:t>45</w:t>
      </w:r>
      <w:r>
        <w:rPr>
          <w:noProof/>
        </w:rPr>
        <w:fldChar w:fldCharType="end"/>
      </w:r>
    </w:p>
    <w:p w14:paraId="4DF991AD"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What is meant by ‘reasonable’</w:t>
      </w:r>
      <w:r>
        <w:rPr>
          <w:noProof/>
        </w:rPr>
        <w:tab/>
      </w:r>
      <w:r>
        <w:rPr>
          <w:noProof/>
        </w:rPr>
        <w:fldChar w:fldCharType="begin"/>
      </w:r>
      <w:r>
        <w:rPr>
          <w:noProof/>
        </w:rPr>
        <w:instrText xml:space="preserve"> PAGEREF _Toc297300519 \h </w:instrText>
      </w:r>
      <w:r>
        <w:rPr>
          <w:noProof/>
        </w:rPr>
      </w:r>
      <w:r>
        <w:rPr>
          <w:noProof/>
        </w:rPr>
        <w:fldChar w:fldCharType="separate"/>
      </w:r>
      <w:r w:rsidR="00925735">
        <w:rPr>
          <w:noProof/>
        </w:rPr>
        <w:t>46</w:t>
      </w:r>
      <w:r>
        <w:rPr>
          <w:noProof/>
        </w:rPr>
        <w:fldChar w:fldCharType="end"/>
      </w:r>
    </w:p>
    <w:p w14:paraId="7A568537"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The continuing duty on organisations</w:t>
      </w:r>
      <w:r>
        <w:rPr>
          <w:noProof/>
        </w:rPr>
        <w:tab/>
      </w:r>
      <w:r>
        <w:rPr>
          <w:noProof/>
        </w:rPr>
        <w:fldChar w:fldCharType="begin"/>
      </w:r>
      <w:r>
        <w:rPr>
          <w:noProof/>
        </w:rPr>
        <w:instrText xml:space="preserve"> PAGEREF _Toc297300520 \h </w:instrText>
      </w:r>
      <w:r>
        <w:rPr>
          <w:noProof/>
        </w:rPr>
      </w:r>
      <w:r>
        <w:rPr>
          <w:noProof/>
        </w:rPr>
        <w:fldChar w:fldCharType="separate"/>
      </w:r>
      <w:r w:rsidR="00925735">
        <w:rPr>
          <w:noProof/>
        </w:rPr>
        <w:t>47</w:t>
      </w:r>
      <w:r>
        <w:rPr>
          <w:noProof/>
        </w:rPr>
        <w:fldChar w:fldCharType="end"/>
      </w:r>
    </w:p>
    <w:p w14:paraId="64419A58"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Who pays for an adjustment?</w:t>
      </w:r>
      <w:r>
        <w:rPr>
          <w:noProof/>
        </w:rPr>
        <w:tab/>
      </w:r>
      <w:r>
        <w:rPr>
          <w:noProof/>
        </w:rPr>
        <w:fldChar w:fldCharType="begin"/>
      </w:r>
      <w:r>
        <w:rPr>
          <w:noProof/>
        </w:rPr>
        <w:instrText xml:space="preserve"> PAGEREF _Toc297300521 \h </w:instrText>
      </w:r>
      <w:r>
        <w:rPr>
          <w:noProof/>
        </w:rPr>
      </w:r>
      <w:r>
        <w:rPr>
          <w:noProof/>
        </w:rPr>
        <w:fldChar w:fldCharType="separate"/>
      </w:r>
      <w:r w:rsidR="00925735">
        <w:rPr>
          <w:noProof/>
        </w:rPr>
        <w:t>48</w:t>
      </w:r>
      <w:r>
        <w:rPr>
          <w:noProof/>
        </w:rPr>
        <w:fldChar w:fldCharType="end"/>
      </w:r>
    </w:p>
    <w:p w14:paraId="43CB1C7A" w14:textId="3140245D"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 xml:space="preserve">What you can do if you think an organisation has not made </w:t>
      </w:r>
      <w:r w:rsidR="002B46A5">
        <w:rPr>
          <w:noProof/>
          <w:lang w:eastAsia="en-GB"/>
        </w:rPr>
        <w:br/>
      </w:r>
      <w:r>
        <w:rPr>
          <w:noProof/>
          <w:lang w:eastAsia="en-GB"/>
        </w:rPr>
        <w:t>reasonable adjustments</w:t>
      </w:r>
      <w:r>
        <w:rPr>
          <w:noProof/>
        </w:rPr>
        <w:tab/>
      </w:r>
      <w:r>
        <w:rPr>
          <w:noProof/>
        </w:rPr>
        <w:fldChar w:fldCharType="begin"/>
      </w:r>
      <w:r>
        <w:rPr>
          <w:noProof/>
        </w:rPr>
        <w:instrText xml:space="preserve"> PAGEREF _Toc297300522 \h </w:instrText>
      </w:r>
      <w:r>
        <w:rPr>
          <w:noProof/>
        </w:rPr>
      </w:r>
      <w:r>
        <w:rPr>
          <w:noProof/>
        </w:rPr>
        <w:fldChar w:fldCharType="separate"/>
      </w:r>
      <w:r w:rsidR="00925735">
        <w:rPr>
          <w:noProof/>
        </w:rPr>
        <w:t>49</w:t>
      </w:r>
      <w:r>
        <w:rPr>
          <w:noProof/>
        </w:rPr>
        <w:fldChar w:fldCharType="end"/>
      </w:r>
    </w:p>
    <w:p w14:paraId="62104D7C"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When the duty is different</w:t>
      </w:r>
      <w:r>
        <w:rPr>
          <w:noProof/>
        </w:rPr>
        <w:tab/>
      </w:r>
      <w:r>
        <w:rPr>
          <w:noProof/>
        </w:rPr>
        <w:fldChar w:fldCharType="begin"/>
      </w:r>
      <w:r>
        <w:rPr>
          <w:noProof/>
        </w:rPr>
        <w:instrText xml:space="preserve"> PAGEREF _Toc297300523 \h </w:instrText>
      </w:r>
      <w:r>
        <w:rPr>
          <w:noProof/>
        </w:rPr>
      </w:r>
      <w:r>
        <w:rPr>
          <w:noProof/>
        </w:rPr>
        <w:fldChar w:fldCharType="separate"/>
      </w:r>
      <w:r w:rsidR="00925735">
        <w:rPr>
          <w:noProof/>
        </w:rPr>
        <w:t>50</w:t>
      </w:r>
      <w:r>
        <w:rPr>
          <w:noProof/>
        </w:rPr>
        <w:fldChar w:fldCharType="end"/>
      </w:r>
    </w:p>
    <w:p w14:paraId="26796DBB"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Associations</w:t>
      </w:r>
      <w:r>
        <w:rPr>
          <w:noProof/>
        </w:rPr>
        <w:tab/>
      </w:r>
      <w:r>
        <w:rPr>
          <w:noProof/>
        </w:rPr>
        <w:fldChar w:fldCharType="begin"/>
      </w:r>
      <w:r>
        <w:rPr>
          <w:noProof/>
        </w:rPr>
        <w:instrText xml:space="preserve"> PAGEREF _Toc297300524 \h </w:instrText>
      </w:r>
      <w:r>
        <w:rPr>
          <w:noProof/>
        </w:rPr>
      </w:r>
      <w:r>
        <w:rPr>
          <w:noProof/>
        </w:rPr>
        <w:fldChar w:fldCharType="separate"/>
      </w:r>
      <w:r w:rsidR="00925735">
        <w:rPr>
          <w:noProof/>
        </w:rPr>
        <w:t>50</w:t>
      </w:r>
      <w:r>
        <w:rPr>
          <w:noProof/>
        </w:rPr>
        <w:fldChar w:fldCharType="end"/>
      </w:r>
    </w:p>
    <w:p w14:paraId="1B73770D"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Rented premises or premises available to rent</w:t>
      </w:r>
      <w:r>
        <w:rPr>
          <w:noProof/>
        </w:rPr>
        <w:tab/>
      </w:r>
      <w:r>
        <w:rPr>
          <w:noProof/>
        </w:rPr>
        <w:fldChar w:fldCharType="begin"/>
      </w:r>
      <w:r>
        <w:rPr>
          <w:noProof/>
        </w:rPr>
        <w:instrText xml:space="preserve"> PAGEREF _Toc297300525 \h </w:instrText>
      </w:r>
      <w:r>
        <w:rPr>
          <w:noProof/>
        </w:rPr>
      </w:r>
      <w:r>
        <w:rPr>
          <w:noProof/>
        </w:rPr>
        <w:fldChar w:fldCharType="separate"/>
      </w:r>
      <w:r w:rsidR="00925735">
        <w:rPr>
          <w:noProof/>
        </w:rPr>
        <w:t>51</w:t>
      </w:r>
      <w:r>
        <w:rPr>
          <w:noProof/>
        </w:rPr>
        <w:fldChar w:fldCharType="end"/>
      </w:r>
    </w:p>
    <w:p w14:paraId="37AAF894"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Transport</w:t>
      </w:r>
      <w:r>
        <w:rPr>
          <w:noProof/>
        </w:rPr>
        <w:tab/>
      </w:r>
      <w:r>
        <w:rPr>
          <w:noProof/>
        </w:rPr>
        <w:fldChar w:fldCharType="begin"/>
      </w:r>
      <w:r>
        <w:rPr>
          <w:noProof/>
        </w:rPr>
        <w:instrText xml:space="preserve"> PAGEREF _Toc297300526 \h </w:instrText>
      </w:r>
      <w:r>
        <w:rPr>
          <w:noProof/>
        </w:rPr>
      </w:r>
      <w:r>
        <w:rPr>
          <w:noProof/>
        </w:rPr>
        <w:fldChar w:fldCharType="separate"/>
      </w:r>
      <w:r w:rsidR="00925735">
        <w:rPr>
          <w:noProof/>
        </w:rPr>
        <w:t>53</w:t>
      </w:r>
      <w:r>
        <w:rPr>
          <w:noProof/>
        </w:rPr>
        <w:fldChar w:fldCharType="end"/>
      </w:r>
    </w:p>
    <w:p w14:paraId="350F0ADA" w14:textId="77777777" w:rsidR="00F028F1" w:rsidRDefault="00F028F1">
      <w:pPr>
        <w:pStyle w:val="TOC1"/>
        <w:tabs>
          <w:tab w:val="left" w:pos="503"/>
        </w:tabs>
        <w:rPr>
          <w:rFonts w:asciiTheme="minorHAnsi" w:eastAsiaTheme="minorEastAsia" w:hAnsiTheme="minorHAnsi" w:cstheme="minorBidi"/>
          <w:noProof/>
          <w:lang w:eastAsia="ja-JP"/>
        </w:rPr>
      </w:pPr>
      <w:r w:rsidRPr="006A0F51">
        <w:rPr>
          <w:noProof/>
          <w:color w:val="E2007A"/>
        </w:rPr>
        <w:t>5 |</w:t>
      </w:r>
      <w:r>
        <w:rPr>
          <w:rFonts w:asciiTheme="minorHAnsi" w:eastAsiaTheme="minorEastAsia" w:hAnsiTheme="minorHAnsi" w:cstheme="minorBidi"/>
          <w:noProof/>
          <w:lang w:eastAsia="ja-JP"/>
        </w:rPr>
        <w:tab/>
      </w:r>
      <w:r>
        <w:rPr>
          <w:noProof/>
        </w:rPr>
        <w:t>What to do if you believe you’ve been discriminated against</w:t>
      </w:r>
      <w:r>
        <w:rPr>
          <w:noProof/>
        </w:rPr>
        <w:tab/>
      </w:r>
      <w:r>
        <w:rPr>
          <w:noProof/>
        </w:rPr>
        <w:fldChar w:fldCharType="begin"/>
      </w:r>
      <w:r>
        <w:rPr>
          <w:noProof/>
        </w:rPr>
        <w:instrText xml:space="preserve"> PAGEREF _Toc297300527 \h </w:instrText>
      </w:r>
      <w:r>
        <w:rPr>
          <w:noProof/>
        </w:rPr>
      </w:r>
      <w:r>
        <w:rPr>
          <w:noProof/>
        </w:rPr>
        <w:fldChar w:fldCharType="separate"/>
      </w:r>
      <w:r w:rsidR="00925735">
        <w:rPr>
          <w:noProof/>
        </w:rPr>
        <w:t>54</w:t>
      </w:r>
      <w:r>
        <w:rPr>
          <w:noProof/>
        </w:rPr>
        <w:fldChar w:fldCharType="end"/>
      </w:r>
    </w:p>
    <w:p w14:paraId="1D2012CE"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Your choices</w:t>
      </w:r>
      <w:r>
        <w:rPr>
          <w:noProof/>
        </w:rPr>
        <w:tab/>
      </w:r>
      <w:r>
        <w:rPr>
          <w:noProof/>
        </w:rPr>
        <w:fldChar w:fldCharType="begin"/>
      </w:r>
      <w:r>
        <w:rPr>
          <w:noProof/>
        </w:rPr>
        <w:instrText xml:space="preserve"> PAGEREF _Toc297300528 \h </w:instrText>
      </w:r>
      <w:r>
        <w:rPr>
          <w:noProof/>
        </w:rPr>
      </w:r>
      <w:r>
        <w:rPr>
          <w:noProof/>
        </w:rPr>
        <w:fldChar w:fldCharType="separate"/>
      </w:r>
      <w:r w:rsidR="00925735">
        <w:rPr>
          <w:noProof/>
        </w:rPr>
        <w:t>55</w:t>
      </w:r>
      <w:r>
        <w:rPr>
          <w:noProof/>
        </w:rPr>
        <w:fldChar w:fldCharType="end"/>
      </w:r>
    </w:p>
    <w:p w14:paraId="727E38DB"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Was what happened against equality law?</w:t>
      </w:r>
      <w:r>
        <w:rPr>
          <w:noProof/>
        </w:rPr>
        <w:tab/>
      </w:r>
      <w:r>
        <w:rPr>
          <w:noProof/>
        </w:rPr>
        <w:fldChar w:fldCharType="begin"/>
      </w:r>
      <w:r>
        <w:rPr>
          <w:noProof/>
        </w:rPr>
        <w:instrText xml:space="preserve"> PAGEREF _Toc297300529 \h </w:instrText>
      </w:r>
      <w:r>
        <w:rPr>
          <w:noProof/>
        </w:rPr>
      </w:r>
      <w:r>
        <w:rPr>
          <w:noProof/>
        </w:rPr>
        <w:fldChar w:fldCharType="separate"/>
      </w:r>
      <w:r w:rsidR="00925735">
        <w:rPr>
          <w:noProof/>
        </w:rPr>
        <w:t>55</w:t>
      </w:r>
      <w:r>
        <w:rPr>
          <w:noProof/>
        </w:rPr>
        <w:fldChar w:fldCharType="end"/>
      </w:r>
    </w:p>
    <w:p w14:paraId="6F582975"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Complaining directly to the person or organisation</w:t>
      </w:r>
      <w:r>
        <w:rPr>
          <w:noProof/>
        </w:rPr>
        <w:tab/>
      </w:r>
      <w:r>
        <w:rPr>
          <w:noProof/>
        </w:rPr>
        <w:fldChar w:fldCharType="begin"/>
      </w:r>
      <w:r>
        <w:rPr>
          <w:noProof/>
        </w:rPr>
        <w:instrText xml:space="preserve"> PAGEREF _Toc297300530 \h </w:instrText>
      </w:r>
      <w:r>
        <w:rPr>
          <w:noProof/>
        </w:rPr>
      </w:r>
      <w:r>
        <w:rPr>
          <w:noProof/>
        </w:rPr>
        <w:fldChar w:fldCharType="separate"/>
      </w:r>
      <w:r w:rsidR="00925735">
        <w:rPr>
          <w:noProof/>
        </w:rPr>
        <w:t>56</w:t>
      </w:r>
      <w:r>
        <w:rPr>
          <w:noProof/>
        </w:rPr>
        <w:fldChar w:fldCharType="end"/>
      </w:r>
    </w:p>
    <w:p w14:paraId="243B701B"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Alternative dispute resolution</w:t>
      </w:r>
      <w:r>
        <w:rPr>
          <w:noProof/>
        </w:rPr>
        <w:tab/>
      </w:r>
      <w:r>
        <w:rPr>
          <w:noProof/>
        </w:rPr>
        <w:fldChar w:fldCharType="begin"/>
      </w:r>
      <w:r>
        <w:rPr>
          <w:noProof/>
        </w:rPr>
        <w:instrText xml:space="preserve"> PAGEREF _Toc297300531 \h </w:instrText>
      </w:r>
      <w:r>
        <w:rPr>
          <w:noProof/>
        </w:rPr>
      </w:r>
      <w:r>
        <w:rPr>
          <w:noProof/>
        </w:rPr>
        <w:fldChar w:fldCharType="separate"/>
      </w:r>
      <w:r w:rsidR="00925735">
        <w:rPr>
          <w:noProof/>
        </w:rPr>
        <w:t>58</w:t>
      </w:r>
      <w:r>
        <w:rPr>
          <w:noProof/>
        </w:rPr>
        <w:fldChar w:fldCharType="end"/>
      </w:r>
    </w:p>
    <w:p w14:paraId="1748865D"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lastRenderedPageBreak/>
        <w:t>The questions procedure</w:t>
      </w:r>
      <w:r>
        <w:rPr>
          <w:noProof/>
        </w:rPr>
        <w:tab/>
      </w:r>
      <w:r>
        <w:rPr>
          <w:noProof/>
        </w:rPr>
        <w:fldChar w:fldCharType="begin"/>
      </w:r>
      <w:r>
        <w:rPr>
          <w:noProof/>
        </w:rPr>
        <w:instrText xml:space="preserve"> PAGEREF _Toc297300532 \h </w:instrText>
      </w:r>
      <w:r>
        <w:rPr>
          <w:noProof/>
        </w:rPr>
      </w:r>
      <w:r>
        <w:rPr>
          <w:noProof/>
        </w:rPr>
        <w:fldChar w:fldCharType="separate"/>
      </w:r>
      <w:r w:rsidR="00925735">
        <w:rPr>
          <w:noProof/>
        </w:rPr>
        <w:t>58</w:t>
      </w:r>
      <w:r>
        <w:rPr>
          <w:noProof/>
        </w:rPr>
        <w:fldChar w:fldCharType="end"/>
      </w:r>
    </w:p>
    <w:p w14:paraId="54576D5C"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Key points about discrimination cases outside the workplace</w:t>
      </w:r>
      <w:r>
        <w:rPr>
          <w:noProof/>
        </w:rPr>
        <w:tab/>
      </w:r>
      <w:r>
        <w:rPr>
          <w:noProof/>
        </w:rPr>
        <w:fldChar w:fldCharType="begin"/>
      </w:r>
      <w:r>
        <w:rPr>
          <w:noProof/>
        </w:rPr>
        <w:instrText xml:space="preserve"> PAGEREF _Toc297300533 \h </w:instrText>
      </w:r>
      <w:r>
        <w:rPr>
          <w:noProof/>
        </w:rPr>
      </w:r>
      <w:r>
        <w:rPr>
          <w:noProof/>
        </w:rPr>
        <w:fldChar w:fldCharType="separate"/>
      </w:r>
      <w:r w:rsidR="00925735">
        <w:rPr>
          <w:noProof/>
        </w:rPr>
        <w:t>60</w:t>
      </w:r>
      <w:r>
        <w:rPr>
          <w:noProof/>
        </w:rPr>
        <w:fldChar w:fldCharType="end"/>
      </w:r>
    </w:p>
    <w:p w14:paraId="390B3884"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More information about making a claim in court</w:t>
      </w:r>
      <w:r>
        <w:rPr>
          <w:noProof/>
        </w:rPr>
        <w:tab/>
      </w:r>
      <w:r>
        <w:rPr>
          <w:noProof/>
        </w:rPr>
        <w:fldChar w:fldCharType="begin"/>
      </w:r>
      <w:r>
        <w:rPr>
          <w:noProof/>
        </w:rPr>
        <w:instrText xml:space="preserve"> PAGEREF _Toc297300534 \h </w:instrText>
      </w:r>
      <w:r>
        <w:rPr>
          <w:noProof/>
        </w:rPr>
      </w:r>
      <w:r>
        <w:rPr>
          <w:noProof/>
        </w:rPr>
        <w:fldChar w:fldCharType="separate"/>
      </w:r>
      <w:r w:rsidR="00925735">
        <w:rPr>
          <w:noProof/>
        </w:rPr>
        <w:t>62</w:t>
      </w:r>
      <w:r>
        <w:rPr>
          <w:noProof/>
        </w:rPr>
        <w:fldChar w:fldCharType="end"/>
      </w:r>
    </w:p>
    <w:p w14:paraId="7E83EE79" w14:textId="77777777" w:rsidR="00F028F1" w:rsidRDefault="00F028F1">
      <w:pPr>
        <w:pStyle w:val="TOC1"/>
        <w:tabs>
          <w:tab w:val="left" w:pos="503"/>
        </w:tabs>
        <w:rPr>
          <w:rFonts w:asciiTheme="minorHAnsi" w:eastAsiaTheme="minorEastAsia" w:hAnsiTheme="minorHAnsi" w:cstheme="minorBidi"/>
          <w:noProof/>
          <w:lang w:eastAsia="ja-JP"/>
        </w:rPr>
      </w:pPr>
      <w:r w:rsidRPr="006A0F51">
        <w:rPr>
          <w:noProof/>
          <w:color w:val="E2007A"/>
        </w:rPr>
        <w:t>6 |</w:t>
      </w:r>
      <w:r>
        <w:rPr>
          <w:rFonts w:asciiTheme="minorHAnsi" w:eastAsiaTheme="minorEastAsia" w:hAnsiTheme="minorHAnsi" w:cstheme="minorBidi"/>
          <w:noProof/>
          <w:lang w:eastAsia="ja-JP"/>
        </w:rPr>
        <w:tab/>
      </w:r>
      <w:r>
        <w:rPr>
          <w:noProof/>
        </w:rPr>
        <w:t>Further sources of information and advice</w:t>
      </w:r>
      <w:r>
        <w:rPr>
          <w:noProof/>
        </w:rPr>
        <w:tab/>
      </w:r>
      <w:r>
        <w:rPr>
          <w:noProof/>
        </w:rPr>
        <w:fldChar w:fldCharType="begin"/>
      </w:r>
      <w:r>
        <w:rPr>
          <w:noProof/>
        </w:rPr>
        <w:instrText xml:space="preserve"> PAGEREF _Toc297300535 \h </w:instrText>
      </w:r>
      <w:r>
        <w:rPr>
          <w:noProof/>
        </w:rPr>
      </w:r>
      <w:r>
        <w:rPr>
          <w:noProof/>
        </w:rPr>
        <w:fldChar w:fldCharType="separate"/>
      </w:r>
      <w:r w:rsidR="00925735">
        <w:rPr>
          <w:noProof/>
        </w:rPr>
        <w:t>63</w:t>
      </w:r>
      <w:r>
        <w:rPr>
          <w:noProof/>
        </w:rPr>
        <w:fldChar w:fldCharType="end"/>
      </w:r>
    </w:p>
    <w:p w14:paraId="2660A5F3"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General advice and information</w:t>
      </w:r>
      <w:r>
        <w:rPr>
          <w:noProof/>
        </w:rPr>
        <w:tab/>
      </w:r>
      <w:r>
        <w:rPr>
          <w:noProof/>
        </w:rPr>
        <w:fldChar w:fldCharType="begin"/>
      </w:r>
      <w:r>
        <w:rPr>
          <w:noProof/>
        </w:rPr>
        <w:instrText xml:space="preserve"> PAGEREF _Toc297300536 \h </w:instrText>
      </w:r>
      <w:r>
        <w:rPr>
          <w:noProof/>
        </w:rPr>
      </w:r>
      <w:r>
        <w:rPr>
          <w:noProof/>
        </w:rPr>
        <w:fldChar w:fldCharType="separate"/>
      </w:r>
      <w:r w:rsidR="00925735">
        <w:rPr>
          <w:noProof/>
        </w:rPr>
        <w:t>63</w:t>
      </w:r>
      <w:r>
        <w:rPr>
          <w:noProof/>
        </w:rPr>
        <w:fldChar w:fldCharType="end"/>
      </w:r>
    </w:p>
    <w:p w14:paraId="64CB16D8" w14:textId="77777777" w:rsidR="00F028F1" w:rsidRDefault="00F028F1">
      <w:pPr>
        <w:pStyle w:val="TOC2"/>
        <w:tabs>
          <w:tab w:val="right" w:leader="dot" w:pos="9060"/>
        </w:tabs>
        <w:rPr>
          <w:rFonts w:asciiTheme="minorHAnsi" w:eastAsiaTheme="minorEastAsia" w:hAnsiTheme="minorHAnsi" w:cstheme="minorBidi"/>
          <w:noProof/>
          <w:lang w:eastAsia="ja-JP"/>
        </w:rPr>
      </w:pPr>
      <w:r>
        <w:rPr>
          <w:noProof/>
          <w:lang w:eastAsia="en-GB"/>
        </w:rPr>
        <w:t>Advice on specific issues</w:t>
      </w:r>
      <w:r>
        <w:rPr>
          <w:noProof/>
        </w:rPr>
        <w:tab/>
      </w:r>
      <w:r>
        <w:rPr>
          <w:noProof/>
        </w:rPr>
        <w:fldChar w:fldCharType="begin"/>
      </w:r>
      <w:r>
        <w:rPr>
          <w:noProof/>
        </w:rPr>
        <w:instrText xml:space="preserve"> PAGEREF _Toc297300537 \h </w:instrText>
      </w:r>
      <w:r>
        <w:rPr>
          <w:noProof/>
        </w:rPr>
      </w:r>
      <w:r>
        <w:rPr>
          <w:noProof/>
        </w:rPr>
        <w:fldChar w:fldCharType="separate"/>
      </w:r>
      <w:r w:rsidR="00925735">
        <w:rPr>
          <w:noProof/>
        </w:rPr>
        <w:t>65</w:t>
      </w:r>
      <w:r>
        <w:rPr>
          <w:noProof/>
        </w:rPr>
        <w:fldChar w:fldCharType="end"/>
      </w:r>
    </w:p>
    <w:p w14:paraId="5E3845D1"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Age</w:t>
      </w:r>
      <w:r>
        <w:rPr>
          <w:noProof/>
        </w:rPr>
        <w:tab/>
      </w:r>
      <w:r>
        <w:rPr>
          <w:noProof/>
        </w:rPr>
        <w:fldChar w:fldCharType="begin"/>
      </w:r>
      <w:r>
        <w:rPr>
          <w:noProof/>
        </w:rPr>
        <w:instrText xml:space="preserve"> PAGEREF _Toc297300538 \h </w:instrText>
      </w:r>
      <w:r>
        <w:rPr>
          <w:noProof/>
        </w:rPr>
      </w:r>
      <w:r>
        <w:rPr>
          <w:noProof/>
        </w:rPr>
        <w:fldChar w:fldCharType="separate"/>
      </w:r>
      <w:r w:rsidR="00925735">
        <w:rPr>
          <w:noProof/>
        </w:rPr>
        <w:t>65</w:t>
      </w:r>
      <w:r>
        <w:rPr>
          <w:noProof/>
        </w:rPr>
        <w:fldChar w:fldCharType="end"/>
      </w:r>
    </w:p>
    <w:p w14:paraId="2FDB4B9A"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Carers</w:t>
      </w:r>
      <w:r>
        <w:rPr>
          <w:noProof/>
        </w:rPr>
        <w:tab/>
      </w:r>
      <w:r>
        <w:rPr>
          <w:noProof/>
        </w:rPr>
        <w:fldChar w:fldCharType="begin"/>
      </w:r>
      <w:r>
        <w:rPr>
          <w:noProof/>
        </w:rPr>
        <w:instrText xml:space="preserve"> PAGEREF _Toc297300539 \h </w:instrText>
      </w:r>
      <w:r>
        <w:rPr>
          <w:noProof/>
        </w:rPr>
      </w:r>
      <w:r>
        <w:rPr>
          <w:noProof/>
        </w:rPr>
        <w:fldChar w:fldCharType="separate"/>
      </w:r>
      <w:r w:rsidR="00925735">
        <w:rPr>
          <w:noProof/>
        </w:rPr>
        <w:t>66</w:t>
      </w:r>
      <w:r>
        <w:rPr>
          <w:noProof/>
        </w:rPr>
        <w:fldChar w:fldCharType="end"/>
      </w:r>
    </w:p>
    <w:p w14:paraId="0AF02346"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Disability</w:t>
      </w:r>
      <w:r>
        <w:rPr>
          <w:noProof/>
        </w:rPr>
        <w:tab/>
      </w:r>
      <w:r>
        <w:rPr>
          <w:noProof/>
        </w:rPr>
        <w:fldChar w:fldCharType="begin"/>
      </w:r>
      <w:r>
        <w:rPr>
          <w:noProof/>
        </w:rPr>
        <w:instrText xml:space="preserve"> PAGEREF _Toc297300540 \h </w:instrText>
      </w:r>
      <w:r>
        <w:rPr>
          <w:noProof/>
        </w:rPr>
      </w:r>
      <w:r>
        <w:rPr>
          <w:noProof/>
        </w:rPr>
        <w:fldChar w:fldCharType="separate"/>
      </w:r>
      <w:r w:rsidR="00925735">
        <w:rPr>
          <w:noProof/>
        </w:rPr>
        <w:t>67</w:t>
      </w:r>
      <w:r>
        <w:rPr>
          <w:noProof/>
        </w:rPr>
        <w:fldChar w:fldCharType="end"/>
      </w:r>
    </w:p>
    <w:p w14:paraId="3985DD1E"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Gender</w:t>
      </w:r>
      <w:r>
        <w:rPr>
          <w:noProof/>
        </w:rPr>
        <w:tab/>
      </w:r>
      <w:r>
        <w:rPr>
          <w:noProof/>
        </w:rPr>
        <w:fldChar w:fldCharType="begin"/>
      </w:r>
      <w:r>
        <w:rPr>
          <w:noProof/>
        </w:rPr>
        <w:instrText xml:space="preserve"> PAGEREF _Toc297300541 \h </w:instrText>
      </w:r>
      <w:r>
        <w:rPr>
          <w:noProof/>
        </w:rPr>
      </w:r>
      <w:r>
        <w:rPr>
          <w:noProof/>
        </w:rPr>
        <w:fldChar w:fldCharType="separate"/>
      </w:r>
      <w:r w:rsidR="00925735">
        <w:rPr>
          <w:noProof/>
        </w:rPr>
        <w:t>69</w:t>
      </w:r>
      <w:r>
        <w:rPr>
          <w:noProof/>
        </w:rPr>
        <w:fldChar w:fldCharType="end"/>
      </w:r>
    </w:p>
    <w:p w14:paraId="5F809393"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Gender reassignment</w:t>
      </w:r>
      <w:r>
        <w:rPr>
          <w:noProof/>
        </w:rPr>
        <w:tab/>
      </w:r>
      <w:r>
        <w:rPr>
          <w:noProof/>
        </w:rPr>
        <w:fldChar w:fldCharType="begin"/>
      </w:r>
      <w:r>
        <w:rPr>
          <w:noProof/>
        </w:rPr>
        <w:instrText xml:space="preserve"> PAGEREF _Toc297300542 \h </w:instrText>
      </w:r>
      <w:r>
        <w:rPr>
          <w:noProof/>
        </w:rPr>
      </w:r>
      <w:r>
        <w:rPr>
          <w:noProof/>
        </w:rPr>
        <w:fldChar w:fldCharType="separate"/>
      </w:r>
      <w:r w:rsidR="00925735">
        <w:rPr>
          <w:noProof/>
        </w:rPr>
        <w:t>70</w:t>
      </w:r>
      <w:r>
        <w:rPr>
          <w:noProof/>
        </w:rPr>
        <w:fldChar w:fldCharType="end"/>
      </w:r>
    </w:p>
    <w:p w14:paraId="62AA59C6"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Religion or belief</w:t>
      </w:r>
      <w:r>
        <w:rPr>
          <w:noProof/>
        </w:rPr>
        <w:tab/>
      </w:r>
      <w:r>
        <w:rPr>
          <w:noProof/>
        </w:rPr>
        <w:fldChar w:fldCharType="begin"/>
      </w:r>
      <w:r>
        <w:rPr>
          <w:noProof/>
        </w:rPr>
        <w:instrText xml:space="preserve"> PAGEREF _Toc297300543 \h </w:instrText>
      </w:r>
      <w:r>
        <w:rPr>
          <w:noProof/>
        </w:rPr>
      </w:r>
      <w:r>
        <w:rPr>
          <w:noProof/>
        </w:rPr>
        <w:fldChar w:fldCharType="separate"/>
      </w:r>
      <w:r w:rsidR="00925735">
        <w:rPr>
          <w:noProof/>
        </w:rPr>
        <w:t>71</w:t>
      </w:r>
      <w:r>
        <w:rPr>
          <w:noProof/>
        </w:rPr>
        <w:fldChar w:fldCharType="end"/>
      </w:r>
    </w:p>
    <w:p w14:paraId="3C42E5EF" w14:textId="77777777" w:rsidR="00F028F1" w:rsidRDefault="00F028F1">
      <w:pPr>
        <w:pStyle w:val="TOC3"/>
        <w:tabs>
          <w:tab w:val="right" w:leader="dot" w:pos="9060"/>
        </w:tabs>
        <w:rPr>
          <w:rFonts w:asciiTheme="minorHAnsi" w:eastAsiaTheme="minorEastAsia" w:hAnsiTheme="minorHAnsi" w:cstheme="minorBidi"/>
          <w:noProof/>
          <w:lang w:eastAsia="ja-JP"/>
        </w:rPr>
      </w:pPr>
      <w:r>
        <w:rPr>
          <w:noProof/>
        </w:rPr>
        <w:t>Sexual orientation</w:t>
      </w:r>
      <w:r>
        <w:rPr>
          <w:noProof/>
        </w:rPr>
        <w:tab/>
      </w:r>
      <w:r>
        <w:rPr>
          <w:noProof/>
        </w:rPr>
        <w:fldChar w:fldCharType="begin"/>
      </w:r>
      <w:r>
        <w:rPr>
          <w:noProof/>
        </w:rPr>
        <w:instrText xml:space="preserve"> PAGEREF _Toc297300544 \h </w:instrText>
      </w:r>
      <w:r>
        <w:rPr>
          <w:noProof/>
        </w:rPr>
      </w:r>
      <w:r>
        <w:rPr>
          <w:noProof/>
        </w:rPr>
        <w:fldChar w:fldCharType="separate"/>
      </w:r>
      <w:r w:rsidR="00925735">
        <w:rPr>
          <w:noProof/>
        </w:rPr>
        <w:t>71</w:t>
      </w:r>
      <w:r>
        <w:rPr>
          <w:noProof/>
        </w:rPr>
        <w:fldChar w:fldCharType="end"/>
      </w:r>
    </w:p>
    <w:p w14:paraId="6D7BD5F7" w14:textId="77777777" w:rsidR="00F028F1" w:rsidRDefault="00F028F1">
      <w:pPr>
        <w:pStyle w:val="TOC1"/>
        <w:tabs>
          <w:tab w:val="left" w:pos="503"/>
        </w:tabs>
        <w:rPr>
          <w:rFonts w:asciiTheme="minorHAnsi" w:eastAsiaTheme="minorEastAsia" w:hAnsiTheme="minorHAnsi" w:cstheme="minorBidi"/>
          <w:noProof/>
          <w:lang w:eastAsia="ja-JP"/>
        </w:rPr>
      </w:pPr>
      <w:r w:rsidRPr="006A0F51">
        <w:rPr>
          <w:noProof/>
          <w:color w:val="E2007A"/>
        </w:rPr>
        <w:t>7 |</w:t>
      </w:r>
      <w:r>
        <w:rPr>
          <w:rFonts w:asciiTheme="minorHAnsi" w:eastAsiaTheme="minorEastAsia" w:hAnsiTheme="minorHAnsi" w:cstheme="minorBidi"/>
          <w:noProof/>
          <w:lang w:eastAsia="ja-JP"/>
        </w:rPr>
        <w:tab/>
      </w:r>
      <w:r>
        <w:rPr>
          <w:noProof/>
        </w:rPr>
        <w:t>Glossary</w:t>
      </w:r>
      <w:r>
        <w:rPr>
          <w:noProof/>
        </w:rPr>
        <w:tab/>
      </w:r>
      <w:r>
        <w:rPr>
          <w:noProof/>
        </w:rPr>
        <w:fldChar w:fldCharType="begin"/>
      </w:r>
      <w:r>
        <w:rPr>
          <w:noProof/>
        </w:rPr>
        <w:instrText xml:space="preserve"> PAGEREF _Toc297300545 \h </w:instrText>
      </w:r>
      <w:r>
        <w:rPr>
          <w:noProof/>
        </w:rPr>
      </w:r>
      <w:r>
        <w:rPr>
          <w:noProof/>
        </w:rPr>
        <w:fldChar w:fldCharType="separate"/>
      </w:r>
      <w:r w:rsidR="00925735">
        <w:rPr>
          <w:noProof/>
        </w:rPr>
        <w:t>73</w:t>
      </w:r>
      <w:r>
        <w:rPr>
          <w:noProof/>
        </w:rPr>
        <w:fldChar w:fldCharType="end"/>
      </w:r>
    </w:p>
    <w:p w14:paraId="42CC6442" w14:textId="77777777" w:rsidR="00F028F1" w:rsidRDefault="00F028F1">
      <w:pPr>
        <w:pStyle w:val="TOC1"/>
        <w:rPr>
          <w:rFonts w:asciiTheme="minorHAnsi" w:eastAsiaTheme="minorEastAsia" w:hAnsiTheme="minorHAnsi" w:cstheme="minorBidi"/>
          <w:noProof/>
          <w:lang w:eastAsia="ja-JP"/>
        </w:rPr>
      </w:pPr>
      <w:r>
        <w:rPr>
          <w:noProof/>
        </w:rPr>
        <w:t>Contacts</w:t>
      </w:r>
      <w:r>
        <w:rPr>
          <w:noProof/>
        </w:rPr>
        <w:tab/>
      </w:r>
      <w:r>
        <w:rPr>
          <w:noProof/>
        </w:rPr>
        <w:fldChar w:fldCharType="begin"/>
      </w:r>
      <w:r>
        <w:rPr>
          <w:noProof/>
        </w:rPr>
        <w:instrText xml:space="preserve"> PAGEREF _Toc297300546 \h </w:instrText>
      </w:r>
      <w:r>
        <w:rPr>
          <w:noProof/>
        </w:rPr>
      </w:r>
      <w:r>
        <w:rPr>
          <w:noProof/>
        </w:rPr>
        <w:fldChar w:fldCharType="separate"/>
      </w:r>
      <w:r w:rsidR="00925735">
        <w:rPr>
          <w:noProof/>
        </w:rPr>
        <w:t>89</w:t>
      </w:r>
      <w:r>
        <w:rPr>
          <w:noProof/>
        </w:rPr>
        <w:fldChar w:fldCharType="end"/>
      </w:r>
    </w:p>
    <w:p w14:paraId="278959CF" w14:textId="1737304F" w:rsidR="0025118A" w:rsidRPr="0066729B" w:rsidRDefault="004F1CE7" w:rsidP="0025118A">
      <w:pPr>
        <w:rPr>
          <w:lang w:eastAsia="en-GB"/>
        </w:rPr>
      </w:pPr>
      <w:r>
        <w:rPr>
          <w:lang w:eastAsia="en-GB"/>
        </w:rPr>
        <w:fldChar w:fldCharType="end"/>
      </w:r>
    </w:p>
    <w:p w14:paraId="5B472D25" w14:textId="77777777" w:rsidR="0025118A" w:rsidRPr="00336562" w:rsidRDefault="0025118A" w:rsidP="0025118A">
      <w:pPr>
        <w:rPr>
          <w:lang w:eastAsia="en-GB"/>
        </w:rPr>
      </w:pPr>
    </w:p>
    <w:p w14:paraId="549BC134" w14:textId="77777777" w:rsidR="0025118A" w:rsidRDefault="0025118A" w:rsidP="00921E87">
      <w:pPr>
        <w:pStyle w:val="L1Headers"/>
        <w:sectPr w:rsidR="0025118A" w:rsidSect="00D21EFB">
          <w:headerReference w:type="even" r:id="rId11"/>
          <w:headerReference w:type="default" r:id="rId12"/>
          <w:footerReference w:type="default" r:id="rId13"/>
          <w:pgSz w:w="11906" w:h="16838" w:code="9"/>
          <w:pgMar w:top="1418" w:right="1418" w:bottom="1418" w:left="1418" w:header="624" w:footer="624" w:gutter="0"/>
          <w:cols w:space="720"/>
          <w:noEndnote/>
        </w:sectPr>
      </w:pPr>
    </w:p>
    <w:p w14:paraId="764FBCC8" w14:textId="77777777" w:rsidR="0025118A" w:rsidRPr="00E30194" w:rsidRDefault="0025118A" w:rsidP="00921E87">
      <w:pPr>
        <w:pStyle w:val="L1Headers"/>
        <w:numPr>
          <w:ilvl w:val="0"/>
          <w:numId w:val="0"/>
        </w:numPr>
      </w:pPr>
      <w:bookmarkStart w:id="10" w:name="_Toc268238106"/>
      <w:bookmarkStart w:id="11" w:name="_Toc297300482"/>
      <w:r w:rsidRPr="00E30194">
        <w:lastRenderedPageBreak/>
        <w:t>Introduction</w:t>
      </w:r>
      <w:bookmarkEnd w:id="10"/>
      <w:bookmarkEnd w:id="11"/>
    </w:p>
    <w:p w14:paraId="6C0A3D23" w14:textId="77777777" w:rsidR="0025118A" w:rsidRPr="00D11DDC" w:rsidRDefault="0025118A" w:rsidP="00D11DDC">
      <w:r w:rsidRPr="00D11DDC">
        <w:t xml:space="preserve">This guide is one of a series written by the Equality and Human Rights Commission to explain your rights to equality. These guides support the </w:t>
      </w:r>
      <w:r w:rsidR="001659CE" w:rsidRPr="00D11DDC">
        <w:t xml:space="preserve">implementation </w:t>
      </w:r>
      <w:r w:rsidRPr="00D11DDC">
        <w:t>of the Equality Act 2010. This Act brings together lots of different equality laws, many of which we have had for a long time. By doing this, the Act makes equality law simpler and easier to understand.</w:t>
      </w:r>
    </w:p>
    <w:p w14:paraId="5FD86AEA" w14:textId="77777777" w:rsidR="0025118A" w:rsidRPr="00D11DDC" w:rsidRDefault="0025118A" w:rsidP="00D11DDC">
      <w:r w:rsidRPr="00D11DDC">
        <w:t>The full list of guides is:</w:t>
      </w:r>
    </w:p>
    <w:p w14:paraId="0C8A6EF3" w14:textId="77777777" w:rsidR="0025118A" w:rsidRPr="006335B5" w:rsidRDefault="0025118A" w:rsidP="0025118A">
      <w:pPr>
        <w:pStyle w:val="Numberedlist"/>
        <w:rPr>
          <w:lang w:eastAsia="en-GB"/>
        </w:rPr>
      </w:pPr>
      <w:r w:rsidRPr="006335B5">
        <w:rPr>
          <w:lang w:eastAsia="en-GB"/>
        </w:rPr>
        <w:t>Associations, clubs and societies</w:t>
      </w:r>
    </w:p>
    <w:p w14:paraId="35CF0EE2" w14:textId="77777777" w:rsidR="0025118A" w:rsidRPr="006335B5" w:rsidRDefault="0025118A" w:rsidP="0025118A">
      <w:pPr>
        <w:pStyle w:val="Numberedlist"/>
        <w:rPr>
          <w:lang w:eastAsia="en-GB"/>
        </w:rPr>
      </w:pPr>
      <w:r w:rsidRPr="006335B5">
        <w:rPr>
          <w:lang w:eastAsia="en-GB"/>
        </w:rPr>
        <w:t>Businesses</w:t>
      </w:r>
    </w:p>
    <w:p w14:paraId="637ACD31" w14:textId="77777777" w:rsidR="0025118A" w:rsidRPr="006335B5" w:rsidRDefault="0025118A" w:rsidP="0025118A">
      <w:pPr>
        <w:pStyle w:val="Numberedlist"/>
        <w:rPr>
          <w:lang w:eastAsia="en-GB"/>
        </w:rPr>
      </w:pPr>
      <w:r w:rsidRPr="006335B5">
        <w:rPr>
          <w:lang w:eastAsia="en-GB"/>
        </w:rPr>
        <w:t>Criminal and civil justice</w:t>
      </w:r>
    </w:p>
    <w:p w14:paraId="791EA983" w14:textId="77777777" w:rsidR="0025118A" w:rsidRPr="006335B5" w:rsidRDefault="0025118A" w:rsidP="0025118A">
      <w:pPr>
        <w:pStyle w:val="Numberedlist"/>
        <w:rPr>
          <w:lang w:eastAsia="en-GB"/>
        </w:rPr>
      </w:pPr>
      <w:r w:rsidRPr="006335B5">
        <w:rPr>
          <w:lang w:eastAsia="en-GB"/>
        </w:rPr>
        <w:t>Health and social care</w:t>
      </w:r>
    </w:p>
    <w:p w14:paraId="285A0931" w14:textId="77777777" w:rsidR="0025118A" w:rsidRPr="006335B5" w:rsidRDefault="0025118A" w:rsidP="0025118A">
      <w:pPr>
        <w:pStyle w:val="Numberedlist"/>
        <w:rPr>
          <w:lang w:eastAsia="en-GB"/>
        </w:rPr>
      </w:pPr>
      <w:r w:rsidRPr="006335B5">
        <w:rPr>
          <w:lang w:eastAsia="en-GB"/>
        </w:rPr>
        <w:t xml:space="preserve">Local council and central government </w:t>
      </w:r>
      <w:r>
        <w:rPr>
          <w:lang w:eastAsia="en-GB"/>
        </w:rPr>
        <w:t>and immigration</w:t>
      </w:r>
    </w:p>
    <w:p w14:paraId="211F675B" w14:textId="77777777" w:rsidR="0025118A" w:rsidRPr="006335B5" w:rsidRDefault="0025118A" w:rsidP="0025118A">
      <w:pPr>
        <w:pStyle w:val="Numberedlist"/>
        <w:rPr>
          <w:lang w:eastAsia="en-GB"/>
        </w:rPr>
      </w:pPr>
      <w:r w:rsidRPr="006335B5">
        <w:rPr>
          <w:lang w:eastAsia="en-GB"/>
        </w:rPr>
        <w:t>Parliaments, politicians and political parties</w:t>
      </w:r>
    </w:p>
    <w:p w14:paraId="4CCCDDA2" w14:textId="77777777" w:rsidR="0025118A" w:rsidRPr="006335B5" w:rsidRDefault="0025118A" w:rsidP="0025118A">
      <w:pPr>
        <w:pStyle w:val="Numberedlist"/>
        <w:rPr>
          <w:lang w:eastAsia="en-GB"/>
        </w:rPr>
      </w:pPr>
      <w:r w:rsidRPr="006335B5">
        <w:rPr>
          <w:lang w:eastAsia="en-GB"/>
        </w:rPr>
        <w:t>Voluntary and community sector organisations, including charities</w:t>
      </w:r>
    </w:p>
    <w:p w14:paraId="6A5F65F1" w14:textId="77777777" w:rsidR="00D11DDC" w:rsidRPr="00E900CE" w:rsidRDefault="00D11DDC" w:rsidP="00D11DDC">
      <w:pPr>
        <w:pStyle w:val="L2Headers"/>
        <w:rPr>
          <w:rFonts w:eastAsia="Arial"/>
        </w:rPr>
      </w:pPr>
      <w:bookmarkStart w:id="12" w:name="_Toc293846916"/>
      <w:bookmarkStart w:id="13" w:name="_Toc296061090"/>
      <w:bookmarkStart w:id="14" w:name="_Toc296339171"/>
      <w:bookmarkStart w:id="15" w:name="_Toc296439669"/>
      <w:bookmarkStart w:id="16" w:name="_Toc296925420"/>
      <w:bookmarkStart w:id="17" w:name="_Toc297102136"/>
      <w:bookmarkStart w:id="18" w:name="_Toc297103217"/>
      <w:bookmarkStart w:id="19" w:name="_Toc297112621"/>
      <w:bookmarkStart w:id="20" w:name="_Toc297124704"/>
      <w:bookmarkStart w:id="21" w:name="_Toc297300483"/>
      <w:r w:rsidRPr="00E900CE">
        <w:t>Other guides and alternative formats</w:t>
      </w:r>
      <w:bookmarkEnd w:id="12"/>
      <w:bookmarkEnd w:id="13"/>
      <w:bookmarkEnd w:id="14"/>
      <w:bookmarkEnd w:id="15"/>
      <w:bookmarkEnd w:id="16"/>
      <w:bookmarkEnd w:id="17"/>
      <w:bookmarkEnd w:id="18"/>
      <w:bookmarkEnd w:id="19"/>
      <w:bookmarkEnd w:id="20"/>
      <w:bookmarkEnd w:id="21"/>
    </w:p>
    <w:p w14:paraId="68D6C370" w14:textId="77777777" w:rsidR="0025118A" w:rsidRPr="00D11DDC" w:rsidRDefault="0025118A" w:rsidP="00D11DDC">
      <w:r w:rsidRPr="00D11DDC">
        <w:t>We have also produced:</w:t>
      </w:r>
    </w:p>
    <w:p w14:paraId="12148751" w14:textId="77777777" w:rsidR="0025118A" w:rsidRPr="006335B5" w:rsidRDefault="0025118A" w:rsidP="00715B3F">
      <w:pPr>
        <w:pStyle w:val="ListBullet"/>
      </w:pPr>
      <w:r w:rsidRPr="006335B5">
        <w:t>A separate series of guides which explain your rights to equality at work.</w:t>
      </w:r>
    </w:p>
    <w:p w14:paraId="3897E9EB" w14:textId="77777777" w:rsidR="0025118A" w:rsidRPr="006335B5" w:rsidRDefault="0025118A" w:rsidP="00715B3F">
      <w:pPr>
        <w:pStyle w:val="ListBullet"/>
      </w:pPr>
      <w:r w:rsidRPr="006335B5">
        <w:t>Different guides for people and organisations who are employing people, or who are delivering services.</w:t>
      </w:r>
    </w:p>
    <w:p w14:paraId="36F5BEC1" w14:textId="77777777" w:rsidR="00127ADE" w:rsidRPr="000B6EE5" w:rsidRDefault="00127ADE" w:rsidP="00D11DDC">
      <w:pPr>
        <w:rPr>
          <w:lang w:eastAsia="en-GB"/>
        </w:rPr>
      </w:pPr>
      <w:r w:rsidRPr="000B6EE5">
        <w:rPr>
          <w:lang w:eastAsia="en-GB"/>
        </w:rPr>
        <w:t xml:space="preserve">If you require this guide in an alternative format and/or language please contact us to discuss your </w:t>
      </w:r>
      <w:r w:rsidRPr="00B251B2">
        <w:t>needs</w:t>
      </w:r>
      <w:r w:rsidRPr="000B6EE5">
        <w:rPr>
          <w:lang w:eastAsia="en-GB"/>
        </w:rPr>
        <w:t xml:space="preserve">. </w:t>
      </w:r>
      <w:r w:rsidRPr="000B6EE5">
        <w:t>Contact details are available at the end of the publication.</w:t>
      </w:r>
    </w:p>
    <w:p w14:paraId="0CA3B88D" w14:textId="77777777" w:rsidR="0025118A" w:rsidRPr="006335B5" w:rsidRDefault="0025118A" w:rsidP="00D11DDC">
      <w:pPr>
        <w:rPr>
          <w:lang w:eastAsia="en-GB"/>
        </w:rPr>
      </w:pPr>
    </w:p>
    <w:p w14:paraId="7FEBA2CE" w14:textId="77777777" w:rsidR="0025118A" w:rsidRPr="006335B5" w:rsidRDefault="0025118A" w:rsidP="00921E87">
      <w:pPr>
        <w:pStyle w:val="L2Headers"/>
        <w:rPr>
          <w:lang w:eastAsia="en-GB"/>
        </w:rPr>
      </w:pPr>
      <w:r w:rsidRPr="00715B3F">
        <w:br w:type="page"/>
      </w:r>
      <w:bookmarkStart w:id="22" w:name="_Toc297124705"/>
      <w:bookmarkStart w:id="23" w:name="_Toc297300484"/>
      <w:r w:rsidRPr="006335B5">
        <w:rPr>
          <w:lang w:eastAsia="en-GB"/>
        </w:rPr>
        <w:lastRenderedPageBreak/>
        <w:t>The legal status of this guidance</w:t>
      </w:r>
      <w:bookmarkEnd w:id="22"/>
      <w:bookmarkEnd w:id="23"/>
    </w:p>
    <w:p w14:paraId="0DD1B1C6" w14:textId="77777777" w:rsidR="0025118A" w:rsidRPr="00715B3F" w:rsidRDefault="0025118A" w:rsidP="00715B3F">
      <w:r w:rsidRPr="00715B3F">
        <w:t>This guidance applies to England, Scotland and Wales. It has been aligned with the Code of Practice on Services, Public Functions and Associations. Following this guidance should have the same effect as following the Code. In other words, if a person or an organisation who has duties under the Equality Act 2010’s provisions on services, public functions and associations does what this guidance says they must do, it may help them to avoid an adverse decision by a court in proceedings brought under the Equality Act 2010.</w:t>
      </w:r>
    </w:p>
    <w:p w14:paraId="409DB300" w14:textId="77777777" w:rsidR="0025118A" w:rsidRPr="00715B3F" w:rsidRDefault="0025118A" w:rsidP="00715B3F">
      <w:r w:rsidRPr="00715B3F">
        <w:t xml:space="preserve">This guide is based on equality law as it is at </w:t>
      </w:r>
      <w:r w:rsidR="00127ADE" w:rsidRPr="00715B3F">
        <w:t>April</w:t>
      </w:r>
      <w:r w:rsidR="001659CE" w:rsidRPr="00715B3F">
        <w:t xml:space="preserve"> 2014</w:t>
      </w:r>
      <w:r w:rsidRPr="00715B3F">
        <w:t>. Any future changes in the law will be reflected in further editions.</w:t>
      </w:r>
    </w:p>
    <w:p w14:paraId="7CE8D812" w14:textId="77777777" w:rsidR="0025118A" w:rsidRPr="001D7351" w:rsidRDefault="0025118A" w:rsidP="001D7351"/>
    <w:p w14:paraId="21DDDF67" w14:textId="77777777" w:rsidR="001D7351" w:rsidRPr="001D7351" w:rsidRDefault="001D7351" w:rsidP="001D7351">
      <w:pPr>
        <w:sectPr w:rsidR="001D7351" w:rsidRPr="001D7351" w:rsidSect="00D21EFB">
          <w:pgSz w:w="11906" w:h="16838" w:code="9"/>
          <w:pgMar w:top="1418" w:right="1418" w:bottom="1418" w:left="1418" w:header="624" w:footer="624" w:gutter="0"/>
          <w:cols w:space="720"/>
          <w:noEndnote/>
        </w:sectPr>
      </w:pPr>
    </w:p>
    <w:p w14:paraId="0BB618E9" w14:textId="1ADCC0D1" w:rsidR="0025118A" w:rsidRPr="00E30194" w:rsidRDefault="0025118A" w:rsidP="00921E87">
      <w:pPr>
        <w:pStyle w:val="L1Headers"/>
      </w:pPr>
      <w:bookmarkStart w:id="24" w:name="_Toc297300485"/>
      <w:r w:rsidRPr="00E30194">
        <w:t>Your rights to equality from healthcare and social care services</w:t>
      </w:r>
      <w:bookmarkEnd w:id="24"/>
    </w:p>
    <w:p w14:paraId="63E66B8C" w14:textId="77777777" w:rsidR="0025118A" w:rsidRPr="00101198" w:rsidRDefault="0025118A" w:rsidP="00921E87">
      <w:pPr>
        <w:pStyle w:val="L2Headers"/>
        <w:rPr>
          <w:lang w:eastAsia="en-GB"/>
        </w:rPr>
      </w:pPr>
      <w:bookmarkStart w:id="25" w:name="_Toc297124706"/>
      <w:bookmarkStart w:id="26" w:name="_Toc297300486"/>
      <w:r w:rsidRPr="00101198">
        <w:rPr>
          <w:lang w:eastAsia="en-GB"/>
        </w:rPr>
        <w:t>Who is this guide for?</w:t>
      </w:r>
      <w:bookmarkEnd w:id="25"/>
      <w:bookmarkEnd w:id="26"/>
    </w:p>
    <w:p w14:paraId="19B8CFF3" w14:textId="77777777" w:rsidR="0025118A" w:rsidRDefault="0025118A" w:rsidP="00921E87">
      <w:r w:rsidRPr="00921E87">
        <w:t>This guide is for you if you are using healthcare or social care services as a member of the public. It does not apply to situations where a family member, friend or neighbour is helping you with your care.</w:t>
      </w:r>
    </w:p>
    <w:p w14:paraId="620E5AF1" w14:textId="77777777" w:rsidR="0025118A" w:rsidRDefault="0025118A" w:rsidP="00921E87">
      <w:pPr>
        <w:pStyle w:val="L3Heading"/>
      </w:pPr>
      <w:bookmarkStart w:id="27" w:name="_Toc297124707"/>
      <w:bookmarkStart w:id="28" w:name="_Toc297300487"/>
      <w:r w:rsidRPr="00101198">
        <w:t>Healthcare and social care services</w:t>
      </w:r>
      <w:bookmarkEnd w:id="27"/>
      <w:bookmarkEnd w:id="28"/>
    </w:p>
    <w:p w14:paraId="5BC3BC32" w14:textId="77777777" w:rsidR="0025118A" w:rsidRPr="00921E87" w:rsidRDefault="0025118A" w:rsidP="00921E87">
      <w:r w:rsidRPr="00921E87">
        <w:t>Healthcare and social care is not just what you get from your GP (general practitioner or family doctor) or a hospital. These days, you probably get your healthcare and social care services in many different places, including in your own home. For example:</w:t>
      </w:r>
    </w:p>
    <w:p w14:paraId="7F17B289" w14:textId="77777777" w:rsidR="0025118A" w:rsidRPr="00101198" w:rsidRDefault="0025118A" w:rsidP="0025118A">
      <w:pPr>
        <w:pStyle w:val="ListBullet"/>
        <w:rPr>
          <w:lang w:eastAsia="en-GB"/>
        </w:rPr>
      </w:pPr>
      <w:r w:rsidRPr="00101198">
        <w:rPr>
          <w:lang w:eastAsia="en-GB"/>
        </w:rPr>
        <w:t>at home from people such as:</w:t>
      </w:r>
    </w:p>
    <w:p w14:paraId="4B2932F2" w14:textId="77777777" w:rsidR="0025118A" w:rsidRPr="00101198" w:rsidRDefault="0025118A" w:rsidP="00921E87">
      <w:pPr>
        <w:pStyle w:val="ListBullet2"/>
      </w:pPr>
      <w:r w:rsidRPr="00101198">
        <w:t xml:space="preserve">health visitors, district nurses </w:t>
      </w:r>
      <w:r w:rsidRPr="00921E87">
        <w:t>and</w:t>
      </w:r>
      <w:r w:rsidRPr="00101198">
        <w:t xml:space="preserve"> midwives</w:t>
      </w:r>
    </w:p>
    <w:p w14:paraId="06944D74" w14:textId="77777777" w:rsidR="0025118A" w:rsidRPr="00101198" w:rsidRDefault="0025118A" w:rsidP="00921E87">
      <w:pPr>
        <w:pStyle w:val="ListBullet2"/>
      </w:pPr>
      <w:r w:rsidRPr="00101198">
        <w:t>social workers and other social services staff</w:t>
      </w:r>
    </w:p>
    <w:p w14:paraId="026BFEF6" w14:textId="77777777" w:rsidR="0025118A" w:rsidRPr="00101198" w:rsidRDefault="0025118A" w:rsidP="00921E87">
      <w:pPr>
        <w:pStyle w:val="ListBullet2"/>
      </w:pPr>
      <w:r w:rsidRPr="00101198">
        <w:t>personal assistants or others providing support with day-to-day tasks</w:t>
      </w:r>
    </w:p>
    <w:p w14:paraId="0420D01A" w14:textId="77777777" w:rsidR="0025118A" w:rsidRPr="00101198" w:rsidRDefault="0025118A" w:rsidP="0025118A">
      <w:pPr>
        <w:pStyle w:val="ListBullet"/>
        <w:rPr>
          <w:lang w:eastAsia="en-GB"/>
        </w:rPr>
      </w:pPr>
      <w:r w:rsidRPr="00101198">
        <w:rPr>
          <w:lang w:eastAsia="en-GB"/>
        </w:rPr>
        <w:t>doctors’ surgeries</w:t>
      </w:r>
    </w:p>
    <w:p w14:paraId="79DC39C7" w14:textId="77777777" w:rsidR="0025118A" w:rsidRPr="00101198" w:rsidRDefault="0025118A" w:rsidP="0025118A">
      <w:pPr>
        <w:pStyle w:val="ListBullet"/>
        <w:rPr>
          <w:lang w:eastAsia="en-GB"/>
        </w:rPr>
      </w:pPr>
      <w:r w:rsidRPr="00101198">
        <w:rPr>
          <w:lang w:eastAsia="en-GB"/>
        </w:rPr>
        <w:t>dental surgeries</w:t>
      </w:r>
    </w:p>
    <w:p w14:paraId="10A1914E" w14:textId="77777777" w:rsidR="0025118A" w:rsidRPr="00101198" w:rsidRDefault="0025118A" w:rsidP="0025118A">
      <w:pPr>
        <w:pStyle w:val="ListBullet"/>
        <w:rPr>
          <w:lang w:eastAsia="en-GB"/>
        </w:rPr>
      </w:pPr>
      <w:r w:rsidRPr="00101198">
        <w:rPr>
          <w:lang w:eastAsia="en-GB"/>
        </w:rPr>
        <w:t>hospitals</w:t>
      </w:r>
    </w:p>
    <w:p w14:paraId="21501802" w14:textId="77777777" w:rsidR="0025118A" w:rsidRPr="00101198" w:rsidRDefault="0025118A" w:rsidP="0025118A">
      <w:pPr>
        <w:pStyle w:val="ListBullet"/>
        <w:rPr>
          <w:lang w:eastAsia="en-GB"/>
        </w:rPr>
      </w:pPr>
      <w:r w:rsidRPr="00101198">
        <w:rPr>
          <w:lang w:eastAsia="en-GB"/>
        </w:rPr>
        <w:t>hospices</w:t>
      </w:r>
    </w:p>
    <w:p w14:paraId="18B5C0D2" w14:textId="77777777" w:rsidR="0025118A" w:rsidRPr="00101198" w:rsidRDefault="0025118A" w:rsidP="0025118A">
      <w:pPr>
        <w:pStyle w:val="ListBullet"/>
        <w:rPr>
          <w:lang w:eastAsia="en-GB"/>
        </w:rPr>
      </w:pPr>
      <w:r w:rsidRPr="00101198">
        <w:rPr>
          <w:lang w:eastAsia="en-GB"/>
        </w:rPr>
        <w:t>walk-in centres and minor injury units</w:t>
      </w:r>
    </w:p>
    <w:p w14:paraId="0FB305B1" w14:textId="77777777" w:rsidR="0025118A" w:rsidRPr="00101198" w:rsidRDefault="0025118A" w:rsidP="0025118A">
      <w:pPr>
        <w:pStyle w:val="ListBullet"/>
        <w:rPr>
          <w:lang w:eastAsia="en-GB"/>
        </w:rPr>
      </w:pPr>
      <w:r w:rsidRPr="00101198">
        <w:rPr>
          <w:lang w:eastAsia="en-GB"/>
        </w:rPr>
        <w:t>workplaces</w:t>
      </w:r>
    </w:p>
    <w:p w14:paraId="61EE2320" w14:textId="77777777" w:rsidR="0025118A" w:rsidRPr="00101198" w:rsidRDefault="0025118A" w:rsidP="0025118A">
      <w:pPr>
        <w:pStyle w:val="ListBullet"/>
        <w:rPr>
          <w:lang w:eastAsia="en-GB"/>
        </w:rPr>
      </w:pPr>
      <w:r w:rsidRPr="00101198">
        <w:rPr>
          <w:lang w:eastAsia="en-GB"/>
        </w:rPr>
        <w:t>schools</w:t>
      </w:r>
    </w:p>
    <w:p w14:paraId="07C67BF0" w14:textId="77777777" w:rsidR="0025118A" w:rsidRPr="00101198" w:rsidRDefault="0025118A" w:rsidP="0025118A">
      <w:pPr>
        <w:pStyle w:val="ListBullet"/>
        <w:rPr>
          <w:lang w:eastAsia="en-GB"/>
        </w:rPr>
      </w:pPr>
      <w:r w:rsidRPr="00101198">
        <w:rPr>
          <w:lang w:eastAsia="en-GB"/>
        </w:rPr>
        <w:t>mobile clinics</w:t>
      </w:r>
    </w:p>
    <w:p w14:paraId="648D5C95" w14:textId="77777777" w:rsidR="0025118A" w:rsidRPr="00101198" w:rsidRDefault="0025118A" w:rsidP="0025118A">
      <w:pPr>
        <w:pStyle w:val="ListBullet"/>
        <w:rPr>
          <w:lang w:eastAsia="en-GB"/>
        </w:rPr>
      </w:pPr>
      <w:r w:rsidRPr="00101198">
        <w:rPr>
          <w:lang w:eastAsia="en-GB"/>
        </w:rPr>
        <w:t>private clinics and consulting rooms</w:t>
      </w:r>
    </w:p>
    <w:p w14:paraId="1E25BB63" w14:textId="3F688792" w:rsidR="0025118A" w:rsidRPr="00101198" w:rsidRDefault="0025118A" w:rsidP="0025118A">
      <w:pPr>
        <w:pStyle w:val="ListBullet"/>
        <w:rPr>
          <w:lang w:eastAsia="en-GB"/>
        </w:rPr>
      </w:pPr>
      <w:r w:rsidRPr="00101198">
        <w:rPr>
          <w:lang w:eastAsia="en-GB"/>
        </w:rPr>
        <w:t>ambulances</w:t>
      </w:r>
    </w:p>
    <w:p w14:paraId="28929717" w14:textId="77777777" w:rsidR="0025118A" w:rsidRPr="00101198" w:rsidRDefault="0025118A" w:rsidP="0025118A">
      <w:pPr>
        <w:pStyle w:val="ListBullet"/>
        <w:rPr>
          <w:lang w:eastAsia="en-GB"/>
        </w:rPr>
      </w:pPr>
      <w:r w:rsidRPr="00101198">
        <w:rPr>
          <w:lang w:eastAsia="en-GB"/>
        </w:rPr>
        <w:t>in an emergency situation, for example, in the street</w:t>
      </w:r>
    </w:p>
    <w:p w14:paraId="1ABB03D5" w14:textId="77777777" w:rsidR="0025118A" w:rsidRPr="00101198" w:rsidRDefault="0025118A" w:rsidP="0025118A">
      <w:pPr>
        <w:pStyle w:val="ListBullet"/>
        <w:rPr>
          <w:lang w:eastAsia="en-GB"/>
        </w:rPr>
      </w:pPr>
      <w:r w:rsidRPr="00101198">
        <w:rPr>
          <w:lang w:eastAsia="en-GB"/>
        </w:rPr>
        <w:t>residential care homes</w:t>
      </w:r>
    </w:p>
    <w:p w14:paraId="138EB7E1" w14:textId="77777777" w:rsidR="0025118A" w:rsidRPr="00101198" w:rsidRDefault="0025118A" w:rsidP="0025118A">
      <w:pPr>
        <w:pStyle w:val="ListBullet"/>
        <w:rPr>
          <w:lang w:eastAsia="en-GB"/>
        </w:rPr>
      </w:pPr>
      <w:r w:rsidRPr="00101198">
        <w:rPr>
          <w:lang w:eastAsia="en-GB"/>
        </w:rPr>
        <w:t>nursing homes</w:t>
      </w:r>
    </w:p>
    <w:p w14:paraId="653100BD" w14:textId="77777777" w:rsidR="0025118A" w:rsidRPr="00101198" w:rsidRDefault="0025118A" w:rsidP="0025118A">
      <w:pPr>
        <w:pStyle w:val="ListBullet"/>
        <w:rPr>
          <w:lang w:eastAsia="en-GB"/>
        </w:rPr>
      </w:pPr>
      <w:r w:rsidRPr="00101198">
        <w:rPr>
          <w:lang w:eastAsia="en-GB"/>
        </w:rPr>
        <w:t>day centres</w:t>
      </w:r>
    </w:p>
    <w:p w14:paraId="23F62FDF" w14:textId="77777777" w:rsidR="0025118A" w:rsidRPr="00101198" w:rsidRDefault="0025118A" w:rsidP="00921E87">
      <w:pPr>
        <w:pStyle w:val="L3Heading"/>
      </w:pPr>
      <w:bookmarkStart w:id="29" w:name="_Toc297124708"/>
      <w:bookmarkStart w:id="30" w:name="_Toc297300488"/>
      <w:r w:rsidRPr="00101198">
        <w:t>Does equality law apply?</w:t>
      </w:r>
      <w:bookmarkEnd w:id="29"/>
      <w:bookmarkEnd w:id="30"/>
    </w:p>
    <w:p w14:paraId="3697565A" w14:textId="2284A979" w:rsidR="0025118A" w:rsidRPr="00101198" w:rsidRDefault="0025118A" w:rsidP="0025118A">
      <w:pPr>
        <w:rPr>
          <w:lang w:eastAsia="en-GB"/>
        </w:rPr>
      </w:pPr>
      <w:r w:rsidRPr="00101198">
        <w:rPr>
          <w:lang w:eastAsia="en-GB"/>
        </w:rPr>
        <w:t>If a healthcare or social care organisation provides any goods, facilities or services to the public or a section of the public, it must make sure it does what equality law says it must do.</w:t>
      </w:r>
    </w:p>
    <w:p w14:paraId="66D89A74" w14:textId="77777777" w:rsidR="0025118A" w:rsidRPr="00101198" w:rsidRDefault="0025118A" w:rsidP="0025118A">
      <w:pPr>
        <w:rPr>
          <w:lang w:eastAsia="en-GB"/>
        </w:rPr>
      </w:pPr>
      <w:r w:rsidRPr="00101198">
        <w:rPr>
          <w:lang w:eastAsia="en-GB"/>
        </w:rPr>
        <w:t>It doesn’t matter if:</w:t>
      </w:r>
    </w:p>
    <w:p w14:paraId="1EAA333A" w14:textId="77777777" w:rsidR="0025118A" w:rsidRPr="00101198" w:rsidRDefault="0025118A" w:rsidP="0025118A">
      <w:pPr>
        <w:pStyle w:val="ListBullet"/>
        <w:rPr>
          <w:lang w:eastAsia="en-GB"/>
        </w:rPr>
      </w:pPr>
      <w:r w:rsidRPr="00101198">
        <w:rPr>
          <w:lang w:eastAsia="en-GB"/>
        </w:rPr>
        <w:t>you get the service for free either because it is provided for free or because someone else pays for it, or</w:t>
      </w:r>
    </w:p>
    <w:p w14:paraId="027BFECF" w14:textId="77777777" w:rsidR="0025118A" w:rsidRPr="00101198" w:rsidRDefault="0025118A" w:rsidP="0025118A">
      <w:pPr>
        <w:pStyle w:val="ListBullet"/>
        <w:rPr>
          <w:lang w:eastAsia="en-GB"/>
        </w:rPr>
      </w:pPr>
      <w:r w:rsidRPr="00101198">
        <w:rPr>
          <w:lang w:eastAsia="en-GB"/>
        </w:rPr>
        <w:t>you have to pay towards it in full or in part.</w:t>
      </w:r>
    </w:p>
    <w:p w14:paraId="69EAEA4B" w14:textId="77777777" w:rsidR="0025118A" w:rsidRPr="00101198" w:rsidRDefault="0025118A" w:rsidP="0025118A">
      <w:pPr>
        <w:rPr>
          <w:lang w:eastAsia="en-GB"/>
        </w:rPr>
      </w:pPr>
      <w:r w:rsidRPr="00101198">
        <w:rPr>
          <w:lang w:eastAsia="en-GB"/>
        </w:rPr>
        <w:t>It doesn’t matter if several organisations are working together, or if some of them are businesses, some are voluntary or community sector organisations or charities, and others are public bodies.</w:t>
      </w:r>
    </w:p>
    <w:p w14:paraId="742B27B2" w14:textId="77777777" w:rsidR="0025118A" w:rsidRPr="00101198" w:rsidRDefault="0025118A" w:rsidP="0025118A">
      <w:pPr>
        <w:rPr>
          <w:lang w:eastAsia="en-GB"/>
        </w:rPr>
      </w:pPr>
      <w:r w:rsidRPr="00101198">
        <w:rPr>
          <w:lang w:eastAsia="en-GB"/>
        </w:rPr>
        <w:t>The size of the organisation does not matter either. Equality law still applies, although sometimes the rules are slightly different, for example, for charities.</w:t>
      </w:r>
    </w:p>
    <w:p w14:paraId="369ED073" w14:textId="77777777" w:rsidR="0025118A" w:rsidRPr="00101198" w:rsidRDefault="0025118A" w:rsidP="0025118A">
      <w:pPr>
        <w:rPr>
          <w:lang w:eastAsia="en-GB"/>
        </w:rPr>
      </w:pPr>
      <w:r w:rsidRPr="00101198">
        <w:rPr>
          <w:lang w:eastAsia="en-GB"/>
        </w:rPr>
        <w:t>Equality law affects everyone responsible for running an organisation or who might do something on its behalf, including staff or volunteers if the organisation has them.</w:t>
      </w:r>
    </w:p>
    <w:p w14:paraId="05AF9E21" w14:textId="77777777" w:rsidR="0025118A" w:rsidRPr="00101198" w:rsidRDefault="0025118A" w:rsidP="00921E87">
      <w:pPr>
        <w:pStyle w:val="L2Headers"/>
        <w:rPr>
          <w:lang w:eastAsia="en-GB"/>
        </w:rPr>
      </w:pPr>
      <w:bookmarkStart w:id="31" w:name="_Toc297124709"/>
      <w:bookmarkStart w:id="32" w:name="_Toc297300489"/>
      <w:r w:rsidRPr="00101198">
        <w:rPr>
          <w:lang w:eastAsia="en-GB"/>
        </w:rPr>
        <w:t>What’s in this guide?</w:t>
      </w:r>
      <w:bookmarkEnd w:id="31"/>
      <w:bookmarkEnd w:id="32"/>
    </w:p>
    <w:p w14:paraId="3D51FD01" w14:textId="77777777" w:rsidR="0025118A" w:rsidRPr="00101198" w:rsidRDefault="0025118A" w:rsidP="0025118A">
      <w:pPr>
        <w:rPr>
          <w:lang w:eastAsia="en-GB"/>
        </w:rPr>
      </w:pPr>
      <w:r w:rsidRPr="00101198">
        <w:rPr>
          <w:lang w:eastAsia="en-GB"/>
        </w:rPr>
        <w:t>This guide tells you about how you can expect a healthcare or social care provider to behave towards you to avoid unlawful discrimination.</w:t>
      </w:r>
    </w:p>
    <w:p w14:paraId="0D63DEDE" w14:textId="77777777" w:rsidR="0025118A" w:rsidRPr="00101198" w:rsidRDefault="0025118A" w:rsidP="0025118A">
      <w:pPr>
        <w:rPr>
          <w:lang w:eastAsia="en-GB"/>
        </w:rPr>
      </w:pPr>
      <w:r w:rsidRPr="00101198">
        <w:rPr>
          <w:lang w:eastAsia="en-GB"/>
        </w:rPr>
        <w:t>It explains how equality law applies to healthcare and social care in general and to two specific situations:</w:t>
      </w:r>
    </w:p>
    <w:p w14:paraId="4B699369" w14:textId="77777777" w:rsidR="0025118A" w:rsidRPr="00101198" w:rsidRDefault="0025118A" w:rsidP="0025118A">
      <w:pPr>
        <w:pStyle w:val="ListBullet"/>
        <w:rPr>
          <w:lang w:eastAsia="en-GB"/>
        </w:rPr>
      </w:pPr>
      <w:r w:rsidRPr="00101198">
        <w:rPr>
          <w:lang w:eastAsia="en-GB"/>
        </w:rPr>
        <w:t>Giving blood.</w:t>
      </w:r>
    </w:p>
    <w:p w14:paraId="2C48F5CB" w14:textId="77777777" w:rsidR="0025118A" w:rsidRPr="00101198" w:rsidRDefault="0025118A" w:rsidP="0025118A">
      <w:pPr>
        <w:pStyle w:val="ListBullet"/>
        <w:rPr>
          <w:lang w:eastAsia="en-GB"/>
        </w:rPr>
      </w:pPr>
      <w:r w:rsidRPr="00101198">
        <w:rPr>
          <w:lang w:eastAsia="en-GB"/>
        </w:rPr>
        <w:t>Access to fertility treatment.</w:t>
      </w:r>
    </w:p>
    <w:p w14:paraId="060A2DA3" w14:textId="57D04536" w:rsidR="0025118A" w:rsidRPr="00101198" w:rsidRDefault="0025118A" w:rsidP="00921E87">
      <w:pPr>
        <w:pStyle w:val="L2Headers"/>
        <w:rPr>
          <w:lang w:eastAsia="en-GB"/>
        </w:rPr>
      </w:pPr>
      <w:bookmarkStart w:id="33" w:name="_Toc297124710"/>
      <w:bookmarkStart w:id="34" w:name="_Toc297300490"/>
      <w:r w:rsidRPr="00101198">
        <w:rPr>
          <w:lang w:eastAsia="en-GB"/>
        </w:rPr>
        <w:t>What else is in this guide?</w:t>
      </w:r>
      <w:bookmarkEnd w:id="33"/>
      <w:bookmarkEnd w:id="34"/>
    </w:p>
    <w:p w14:paraId="4F85853B" w14:textId="77777777" w:rsidR="0025118A" w:rsidRPr="00101198" w:rsidRDefault="0025118A" w:rsidP="0025118A">
      <w:pPr>
        <w:rPr>
          <w:lang w:eastAsia="en-GB"/>
        </w:rPr>
      </w:pPr>
      <w:r w:rsidRPr="00101198">
        <w:rPr>
          <w:lang w:eastAsia="en-GB"/>
        </w:rPr>
        <w:t>This guide also contains the following sections, which are similar in each guide in the series, and contain information you will probably need to understand what we tell you about your rights to equality in relation to healthcare and social care:</w:t>
      </w:r>
    </w:p>
    <w:p w14:paraId="5054F90E" w14:textId="77777777" w:rsidR="0025118A" w:rsidRPr="00101198" w:rsidRDefault="0025118A" w:rsidP="0025118A">
      <w:pPr>
        <w:pStyle w:val="ListBullet"/>
        <w:rPr>
          <w:lang w:eastAsia="en-GB"/>
        </w:rPr>
      </w:pPr>
      <w:r w:rsidRPr="00101198">
        <w:rPr>
          <w:lang w:eastAsia="en-GB"/>
        </w:rPr>
        <w:t>Information on how people and organisations must avoid discrimination in the way they – and their staff – behave and how they run their association and provide their services, whether that is face to face, at a particular place, using written materials, by the internet or over the telephone.</w:t>
      </w:r>
    </w:p>
    <w:p w14:paraId="66E37902" w14:textId="77777777" w:rsidR="0025118A" w:rsidRPr="00101198" w:rsidRDefault="0025118A" w:rsidP="0025118A">
      <w:pPr>
        <w:pStyle w:val="ListBullet"/>
        <w:rPr>
          <w:lang w:eastAsia="en-GB"/>
        </w:rPr>
      </w:pPr>
      <w:r w:rsidRPr="00101198">
        <w:rPr>
          <w:lang w:eastAsia="en-GB"/>
        </w:rPr>
        <w:t xml:space="preserve">Information about when a person or organisation is responsible for what other people do, such as </w:t>
      </w:r>
      <w:r w:rsidR="0042035E">
        <w:rPr>
          <w:lang w:eastAsia="en-GB"/>
        </w:rPr>
        <w:t>any workers employed by</w:t>
      </w:r>
      <w:r w:rsidRPr="00101198">
        <w:rPr>
          <w:lang w:eastAsia="en-GB"/>
        </w:rPr>
        <w:t xml:space="preserve"> them.</w:t>
      </w:r>
    </w:p>
    <w:p w14:paraId="3FA62349" w14:textId="77777777" w:rsidR="0025118A" w:rsidRPr="00101198" w:rsidRDefault="0025118A" w:rsidP="0025118A">
      <w:pPr>
        <w:pStyle w:val="ListBullet"/>
        <w:rPr>
          <w:lang w:eastAsia="en-GB"/>
        </w:rPr>
      </w:pPr>
      <w:r w:rsidRPr="00101198">
        <w:rPr>
          <w:lang w:eastAsia="en-GB"/>
        </w:rPr>
        <w:t>Information about reasonable adjustments to remove barriers for disabled people.</w:t>
      </w:r>
    </w:p>
    <w:p w14:paraId="63A46E06" w14:textId="77777777" w:rsidR="0025118A" w:rsidRPr="00101198" w:rsidRDefault="0025118A" w:rsidP="0025118A">
      <w:pPr>
        <w:pStyle w:val="ListBullet"/>
        <w:rPr>
          <w:lang w:eastAsia="en-GB"/>
        </w:rPr>
      </w:pPr>
      <w:r w:rsidRPr="00101198">
        <w:rPr>
          <w:lang w:eastAsia="en-GB"/>
        </w:rPr>
        <w:t>Advice on what to do if you believe you’ve been discriminated against.</w:t>
      </w:r>
    </w:p>
    <w:p w14:paraId="361DD976" w14:textId="77777777" w:rsidR="0042035E" w:rsidRDefault="0025118A" w:rsidP="0025118A">
      <w:pPr>
        <w:pStyle w:val="ListBullet"/>
        <w:rPr>
          <w:lang w:eastAsia="en-GB"/>
        </w:rPr>
      </w:pPr>
      <w:r w:rsidRPr="00101198">
        <w:rPr>
          <w:lang w:eastAsia="en-GB"/>
        </w:rPr>
        <w:t xml:space="preserve">A </w:t>
      </w:r>
      <w:r w:rsidR="0042035E">
        <w:rPr>
          <w:lang w:eastAsia="en-GB"/>
        </w:rPr>
        <w:t xml:space="preserve">Glossary containing a </w:t>
      </w:r>
      <w:r w:rsidRPr="00101198">
        <w:rPr>
          <w:lang w:eastAsia="en-GB"/>
        </w:rPr>
        <w:t xml:space="preserve">list of words and key ideas you need to understand this guide – all words highlighted in </w:t>
      </w:r>
      <w:r w:rsidRPr="00921E87">
        <w:rPr>
          <w:rStyle w:val="Strong"/>
        </w:rPr>
        <w:t>bold</w:t>
      </w:r>
      <w:r w:rsidRPr="00101198">
        <w:rPr>
          <w:lang w:eastAsia="en-GB"/>
        </w:rPr>
        <w:t xml:space="preserve"> are in this list. They are highlighted the first time they are used in each section</w:t>
      </w:r>
      <w:r w:rsidR="0042035E" w:rsidRPr="0042035E">
        <w:rPr>
          <w:lang w:eastAsia="en-GB"/>
        </w:rPr>
        <w:t xml:space="preserve"> </w:t>
      </w:r>
      <w:r w:rsidR="0042035E">
        <w:rPr>
          <w:lang w:eastAsia="en-GB"/>
        </w:rPr>
        <w:t>and sometimes on subsequent occasions.</w:t>
      </w:r>
    </w:p>
    <w:p w14:paraId="322C5251" w14:textId="77777777" w:rsidR="0025118A" w:rsidRPr="00101198" w:rsidRDefault="0025118A" w:rsidP="0025118A">
      <w:pPr>
        <w:pStyle w:val="ListBullet"/>
        <w:rPr>
          <w:lang w:eastAsia="en-GB"/>
        </w:rPr>
      </w:pPr>
      <w:r w:rsidRPr="00101198">
        <w:rPr>
          <w:lang w:eastAsia="en-GB"/>
        </w:rPr>
        <w:t>Information on where to find more advice and support.</w:t>
      </w:r>
    </w:p>
    <w:p w14:paraId="695ECE15" w14:textId="77777777" w:rsidR="0025118A" w:rsidRPr="00101198" w:rsidRDefault="0025118A" w:rsidP="0045328C">
      <w:pPr>
        <w:pStyle w:val="L3Heading"/>
      </w:pPr>
      <w:bookmarkStart w:id="35" w:name="_Toc297124711"/>
      <w:bookmarkStart w:id="36" w:name="_Toc297300491"/>
      <w:r w:rsidRPr="00101198">
        <w:t>Services and public functions</w:t>
      </w:r>
      <w:bookmarkEnd w:id="35"/>
      <w:bookmarkEnd w:id="36"/>
    </w:p>
    <w:p w14:paraId="66C52A3E" w14:textId="1F8B9EA6" w:rsidR="00921E87" w:rsidRPr="00101198" w:rsidRDefault="0025118A" w:rsidP="0025118A">
      <w:pPr>
        <w:rPr>
          <w:lang w:eastAsia="en-GB"/>
        </w:rPr>
      </w:pPr>
      <w:r w:rsidRPr="00101198">
        <w:rPr>
          <w:lang w:eastAsia="en-GB"/>
        </w:rPr>
        <w:t xml:space="preserve">Some activities of healthcare and social care providers are what the law calls </w:t>
      </w:r>
      <w:r w:rsidRPr="00921E87">
        <w:rPr>
          <w:rStyle w:val="Strong"/>
        </w:rPr>
        <w:t>services</w:t>
      </w:r>
      <w:r w:rsidRPr="00101198">
        <w:rPr>
          <w:lang w:eastAsia="en-GB"/>
        </w:rPr>
        <w:t xml:space="preserve">. Some, usually if an organisation is a public body or under contract to a </w:t>
      </w:r>
      <w:r w:rsidRPr="00921E87">
        <w:rPr>
          <w:rStyle w:val="Strong"/>
        </w:rPr>
        <w:t>public body</w:t>
      </w:r>
      <w:r w:rsidRPr="00101198">
        <w:rPr>
          <w:lang w:eastAsia="en-GB"/>
        </w:rPr>
        <w:t xml:space="preserve">, are what the law calls public functions. </w:t>
      </w:r>
    </w:p>
    <w:tbl>
      <w:tblPr>
        <w:tblStyle w:val="TableGrid"/>
        <w:tblW w:w="5000" w:type="pct"/>
        <w:tblLook w:val="04A0" w:firstRow="1" w:lastRow="0" w:firstColumn="1" w:lastColumn="0" w:noHBand="0" w:noVBand="1"/>
      </w:tblPr>
      <w:tblGrid>
        <w:gridCol w:w="9286"/>
      </w:tblGrid>
      <w:tr w:rsidR="00921E87" w:rsidRPr="00921E87" w14:paraId="4C6E7438" w14:textId="77777777" w:rsidTr="00921E87">
        <w:tc>
          <w:tcPr>
            <w:tcW w:w="5000" w:type="pct"/>
            <w:tcBorders>
              <w:top w:val="nil"/>
              <w:left w:val="nil"/>
              <w:bottom w:val="nil"/>
              <w:right w:val="nil"/>
            </w:tcBorders>
            <w:shd w:val="clear" w:color="auto" w:fill="DBE5F1" w:themeFill="accent1" w:themeFillTint="33"/>
          </w:tcPr>
          <w:p w14:paraId="77980F30" w14:textId="77777777" w:rsidR="00921E87" w:rsidRPr="00921E87" w:rsidRDefault="00921E87" w:rsidP="00921E87">
            <w:pPr>
              <w:rPr>
                <w:rStyle w:val="Strong"/>
              </w:rPr>
            </w:pPr>
            <w:r w:rsidRPr="00921E87">
              <w:rPr>
                <w:rStyle w:val="Strong"/>
              </w:rPr>
              <w:t>For example:</w:t>
            </w:r>
          </w:p>
          <w:p w14:paraId="5ED38CA9" w14:textId="77777777" w:rsidR="00921E87" w:rsidRPr="00921E87" w:rsidRDefault="00921E87" w:rsidP="00921E87">
            <w:pPr>
              <w:pStyle w:val="ListBullet"/>
            </w:pPr>
            <w:r w:rsidRPr="00921E87">
              <w:t>Most face-to-face care you get from a doctor, nurse, dentist, physiotherapist, care assistant, personal assistant and so on, will count as a service.</w:t>
            </w:r>
          </w:p>
          <w:p w14:paraId="25957AD5" w14:textId="77777777" w:rsidR="00921E87" w:rsidRPr="00921E87" w:rsidRDefault="00921E87" w:rsidP="00921E87">
            <w:pPr>
              <w:pStyle w:val="ListBullet"/>
            </w:pPr>
            <w:r w:rsidRPr="00921E87">
              <w:t>Services also include what other people do, such as receptionists, security staff and people who work behind the scenes making decisions about how treatment or care should be provided.</w:t>
            </w:r>
          </w:p>
          <w:p w14:paraId="567B1F59" w14:textId="182050B1" w:rsidR="00921E87" w:rsidRPr="00921E87" w:rsidRDefault="00921E87" w:rsidP="00921E87">
            <w:pPr>
              <w:pStyle w:val="ListBullet"/>
            </w:pPr>
            <w:r w:rsidRPr="00921E87">
              <w:t>Public functions include decisions about priorities for services, such as whether someone will be given a particular drug because of the costs involved.</w:t>
            </w:r>
          </w:p>
        </w:tc>
      </w:tr>
    </w:tbl>
    <w:p w14:paraId="6EB00BF0" w14:textId="0532D5E8" w:rsidR="0025118A" w:rsidRPr="00101198" w:rsidRDefault="0025118A" w:rsidP="0025118A">
      <w:pPr>
        <w:rPr>
          <w:lang w:eastAsia="en-GB"/>
        </w:rPr>
      </w:pPr>
      <w:r w:rsidRPr="00101198">
        <w:rPr>
          <w:lang w:eastAsia="en-GB"/>
        </w:rPr>
        <w:t>It does not usually matter whether what is being done is a service or a public function. This is because, in general, equality law applies in a very similar way to services and to public functions.</w:t>
      </w:r>
    </w:p>
    <w:p w14:paraId="72C6F9FC" w14:textId="77777777" w:rsidR="0025118A" w:rsidRPr="00101198" w:rsidRDefault="0025118A" w:rsidP="0025118A">
      <w:pPr>
        <w:rPr>
          <w:lang w:eastAsia="en-GB"/>
        </w:rPr>
      </w:pPr>
      <w:r w:rsidRPr="00101198">
        <w:rPr>
          <w:lang w:eastAsia="en-GB"/>
        </w:rPr>
        <w:t>In this guide:</w:t>
      </w:r>
    </w:p>
    <w:p w14:paraId="567125DE" w14:textId="77777777" w:rsidR="0025118A" w:rsidRPr="00101198" w:rsidRDefault="0025118A" w:rsidP="0025118A">
      <w:pPr>
        <w:pStyle w:val="ListBullet"/>
        <w:rPr>
          <w:lang w:eastAsia="en-GB"/>
        </w:rPr>
      </w:pPr>
      <w:r w:rsidRPr="00101198">
        <w:rPr>
          <w:lang w:eastAsia="en-GB"/>
        </w:rPr>
        <w:t>‘Service provider’ and ‘healthcare or social care provider’ are used to mean any person or organisation that is providing healthcare or social care to members of the public, whether what they are doing counts as a service or as a public function.</w:t>
      </w:r>
    </w:p>
    <w:p w14:paraId="4DC69016" w14:textId="77777777" w:rsidR="0025118A" w:rsidRPr="00101198" w:rsidRDefault="0025118A" w:rsidP="0025118A">
      <w:pPr>
        <w:pStyle w:val="ListBullet"/>
        <w:rPr>
          <w:lang w:eastAsia="en-GB"/>
        </w:rPr>
      </w:pPr>
      <w:r w:rsidRPr="00101198">
        <w:rPr>
          <w:lang w:eastAsia="en-GB"/>
        </w:rPr>
        <w:t xml:space="preserve">‘Service user’, ‘patient’ and ‘client’ are used to mean you, or anyone else who is using the services of a healthcare or social care organisation or who is on the receiving end of a public function. It includes someone who wants to use services (for example, someone who is stopped or put off using a service by </w:t>
      </w:r>
      <w:r w:rsidRPr="0042035E">
        <w:rPr>
          <w:lang w:eastAsia="en-GB"/>
        </w:rPr>
        <w:t>unlawful discrimination</w:t>
      </w:r>
      <w:r w:rsidRPr="00101198">
        <w:rPr>
          <w:lang w:eastAsia="en-GB"/>
        </w:rPr>
        <w:t>).</w:t>
      </w:r>
    </w:p>
    <w:p w14:paraId="55927F0C" w14:textId="77777777" w:rsidR="0025118A" w:rsidRPr="00101198" w:rsidRDefault="0025118A" w:rsidP="0025118A">
      <w:pPr>
        <w:pStyle w:val="ListBullet"/>
        <w:rPr>
          <w:lang w:eastAsia="en-GB"/>
        </w:rPr>
      </w:pPr>
      <w:r w:rsidRPr="00101198">
        <w:rPr>
          <w:lang w:eastAsia="en-GB"/>
        </w:rPr>
        <w:t>‘Service’ includes goods and facilities as well as services, and public functions.</w:t>
      </w:r>
    </w:p>
    <w:p w14:paraId="7020CE24" w14:textId="77777777" w:rsidR="0025118A" w:rsidRPr="001721DC" w:rsidRDefault="0025118A" w:rsidP="00921E87">
      <w:pPr>
        <w:pStyle w:val="L4Headers"/>
        <w:rPr>
          <w:lang w:eastAsia="en-GB"/>
        </w:rPr>
      </w:pPr>
      <w:r w:rsidRPr="001721DC">
        <w:rPr>
          <w:lang w:eastAsia="en-GB"/>
        </w:rPr>
        <w:t>The public sector equality duties and the Human Rights Act</w:t>
      </w:r>
    </w:p>
    <w:p w14:paraId="359132AA" w14:textId="77777777" w:rsidR="00632724" w:rsidRDefault="004426E0" w:rsidP="004426E0">
      <w:pPr>
        <w:rPr>
          <w:rFonts w:cs="Arial"/>
        </w:rPr>
      </w:pPr>
      <w:r>
        <w:rPr>
          <w:rFonts w:cs="Arial"/>
          <w:szCs w:val="36"/>
        </w:rPr>
        <w:t>P</w:t>
      </w:r>
      <w:r w:rsidRPr="00640E1D">
        <w:rPr>
          <w:rFonts w:cs="Arial"/>
          <w:szCs w:val="36"/>
        </w:rPr>
        <w:t>ublic sector organ</w:t>
      </w:r>
      <w:r w:rsidRPr="00DB5BEA">
        <w:rPr>
          <w:rFonts w:cs="Arial"/>
          <w:szCs w:val="36"/>
        </w:rPr>
        <w:t xml:space="preserve">isations and </w:t>
      </w:r>
      <w:r>
        <w:rPr>
          <w:rFonts w:cs="Arial"/>
          <w:szCs w:val="36"/>
        </w:rPr>
        <w:t xml:space="preserve">other organisations </w:t>
      </w:r>
      <w:r w:rsidRPr="00DB5BEA">
        <w:rPr>
          <w:rFonts w:cs="Arial"/>
          <w:szCs w:val="36"/>
        </w:rPr>
        <w:t>wh</w:t>
      </w:r>
      <w:r>
        <w:rPr>
          <w:rFonts w:cs="Arial"/>
          <w:szCs w:val="36"/>
        </w:rPr>
        <w:t xml:space="preserve">ich </w:t>
      </w:r>
      <w:r w:rsidRPr="00DB5BEA">
        <w:rPr>
          <w:rFonts w:cs="Arial"/>
          <w:szCs w:val="36"/>
        </w:rPr>
        <w:t xml:space="preserve">carry out </w:t>
      </w:r>
      <w:r w:rsidRPr="006C40F8">
        <w:rPr>
          <w:rFonts w:cs="Arial"/>
        </w:rPr>
        <w:t xml:space="preserve">public functions </w:t>
      </w:r>
      <w:r>
        <w:t>on their behalf</w:t>
      </w:r>
      <w:r>
        <w:rPr>
          <w:rFonts w:cs="Arial"/>
        </w:rPr>
        <w:t>,</w:t>
      </w:r>
      <w:r w:rsidRPr="006C40F8">
        <w:rPr>
          <w:rFonts w:cs="Arial"/>
        </w:rPr>
        <w:t xml:space="preserve"> must have what the law calls ‘due regard’ to the need to </w:t>
      </w:r>
      <w:r w:rsidRPr="008F2BBC">
        <w:rPr>
          <w:rFonts w:cs="Arial"/>
        </w:rPr>
        <w:t>eliminate</w:t>
      </w:r>
      <w:r w:rsidRPr="006C40F8">
        <w:rPr>
          <w:rFonts w:cs="Arial"/>
        </w:rPr>
        <w:t xml:space="preserve"> the types of </w:t>
      </w:r>
      <w:r w:rsidRPr="008F2BBC">
        <w:rPr>
          <w:rFonts w:cs="Arial"/>
        </w:rPr>
        <w:t xml:space="preserve">conduct </w:t>
      </w:r>
      <w:r w:rsidRPr="006C40F8">
        <w:rPr>
          <w:rFonts w:cs="Arial"/>
        </w:rPr>
        <w:t xml:space="preserve">which are prohibited </w:t>
      </w:r>
      <w:r w:rsidRPr="008F2BBC">
        <w:rPr>
          <w:rFonts w:cs="Arial"/>
        </w:rPr>
        <w:t>under the Equality Act 2010</w:t>
      </w:r>
      <w:r w:rsidRPr="006C40F8">
        <w:rPr>
          <w:rFonts w:cs="Arial"/>
        </w:rPr>
        <w:t xml:space="preserve"> </w:t>
      </w:r>
      <w:r>
        <w:rPr>
          <w:rFonts w:cs="Arial"/>
        </w:rPr>
        <w:t xml:space="preserve">and </w:t>
      </w:r>
      <w:r w:rsidRPr="006C40F8">
        <w:rPr>
          <w:rFonts w:cs="Arial"/>
        </w:rPr>
        <w:t>discussed in this guide</w:t>
      </w:r>
      <w:r w:rsidRPr="008F2BBC">
        <w:rPr>
          <w:rFonts w:cs="Arial"/>
        </w:rPr>
        <w:t xml:space="preserve">, </w:t>
      </w:r>
      <w:r w:rsidRPr="006C40F8">
        <w:rPr>
          <w:rFonts w:cs="Arial"/>
        </w:rPr>
        <w:t>and to advance equality of opportunity</w:t>
      </w:r>
      <w:r w:rsidRPr="007D52E1">
        <w:rPr>
          <w:rFonts w:cs="Arial"/>
        </w:rPr>
        <w:t xml:space="preserve"> and foster good relations between people who have particular protected characteristics and people who don’t. This is called the ‘public sector equality duty’. </w:t>
      </w:r>
      <w:r w:rsidR="00632724" w:rsidRPr="007D52E1">
        <w:rPr>
          <w:rFonts w:cs="Arial"/>
        </w:rPr>
        <w:t>This applies to all protected characteristics</w:t>
      </w:r>
      <w:r w:rsidR="002A1957">
        <w:rPr>
          <w:rFonts w:cs="Arial"/>
        </w:rPr>
        <w:t>,</w:t>
      </w:r>
      <w:r w:rsidR="00632724" w:rsidRPr="007D52E1">
        <w:rPr>
          <w:rFonts w:cs="Arial"/>
        </w:rPr>
        <w:t xml:space="preserve"> except </w:t>
      </w:r>
      <w:r w:rsidR="00632724">
        <w:rPr>
          <w:rFonts w:cs="Arial"/>
        </w:rPr>
        <w:t xml:space="preserve">that in the case of </w:t>
      </w:r>
      <w:r w:rsidR="00632724" w:rsidRPr="007D52E1">
        <w:rPr>
          <w:rFonts w:cs="Arial"/>
        </w:rPr>
        <w:t>marriage and civil partnership</w:t>
      </w:r>
      <w:r w:rsidR="00632724">
        <w:rPr>
          <w:rFonts w:cs="Arial"/>
        </w:rPr>
        <w:t xml:space="preserve">, </w:t>
      </w:r>
      <w:r w:rsidR="00632724">
        <w:t>a body subject to the duty only needs to comply with the first aim of the duty (</w:t>
      </w:r>
      <w:r w:rsidR="00632724" w:rsidRPr="008F2BBC">
        <w:rPr>
          <w:rFonts w:cs="Arial"/>
        </w:rPr>
        <w:t>eliminat</w:t>
      </w:r>
      <w:r w:rsidR="00632724">
        <w:rPr>
          <w:rFonts w:cs="Arial"/>
        </w:rPr>
        <w:t>ion of</w:t>
      </w:r>
      <w:r w:rsidR="00632724" w:rsidRPr="006C40F8">
        <w:rPr>
          <w:rFonts w:cs="Arial"/>
        </w:rPr>
        <w:t xml:space="preserve"> the types of </w:t>
      </w:r>
      <w:r w:rsidR="00632724" w:rsidRPr="008F2BBC">
        <w:rPr>
          <w:rFonts w:cs="Arial"/>
        </w:rPr>
        <w:t xml:space="preserve">conduct </w:t>
      </w:r>
      <w:r w:rsidR="00632724" w:rsidRPr="006C40F8">
        <w:rPr>
          <w:rFonts w:cs="Arial"/>
        </w:rPr>
        <w:t xml:space="preserve">which are prohibited </w:t>
      </w:r>
      <w:r w:rsidR="00632724" w:rsidRPr="008F2BBC">
        <w:rPr>
          <w:rFonts w:cs="Arial"/>
        </w:rPr>
        <w:t>under the Equality Act 2010</w:t>
      </w:r>
      <w:r w:rsidR="00632724">
        <w:rPr>
          <w:rFonts w:cs="Arial"/>
        </w:rPr>
        <w:t>)</w:t>
      </w:r>
      <w:r w:rsidR="00632724" w:rsidRPr="007D52E1">
        <w:rPr>
          <w:rFonts w:cs="Arial"/>
        </w:rPr>
        <w:t xml:space="preserve">. </w:t>
      </w:r>
    </w:p>
    <w:p w14:paraId="36B6AEFB" w14:textId="367C9D35" w:rsidR="004426E0" w:rsidRPr="00921E87" w:rsidRDefault="004426E0" w:rsidP="00921E87">
      <w:pPr>
        <w:autoSpaceDE w:val="0"/>
        <w:autoSpaceDN w:val="0"/>
        <w:adjustRightInd w:val="0"/>
        <w:spacing w:after="240"/>
        <w:rPr>
          <w:rFonts w:cs="Arial"/>
          <w:szCs w:val="36"/>
        </w:rPr>
      </w:pPr>
      <w:r>
        <w:rPr>
          <w:rFonts w:cs="Arial"/>
        </w:rPr>
        <w:t xml:space="preserve">In the case of organisations that are not public sector organisations, they are only subject to the </w:t>
      </w:r>
      <w:r w:rsidRPr="008F2BBC">
        <w:rPr>
          <w:rFonts w:cs="Arial"/>
        </w:rPr>
        <w:t>public sector equality duty</w:t>
      </w:r>
      <w:r>
        <w:rPr>
          <w:rFonts w:cs="Arial"/>
        </w:rPr>
        <w:t xml:space="preserve"> in respect of the public functions they carry out.</w:t>
      </w:r>
      <w:r w:rsidR="005C4C64" w:rsidRPr="005C4C64">
        <w:rPr>
          <w:rFonts w:cs="Arial"/>
        </w:rPr>
        <w:t xml:space="preserve"> </w:t>
      </w:r>
      <w:r w:rsidR="005C4C64">
        <w:rPr>
          <w:rFonts w:cs="Arial"/>
        </w:rPr>
        <w:t>The</w:t>
      </w:r>
      <w:r w:rsidR="005C4C64" w:rsidRPr="003E1B0C">
        <w:rPr>
          <w:rFonts w:cs="Arial"/>
        </w:rPr>
        <w:t xml:space="preserve"> specific duties are different in England, Scotland and Wales.</w:t>
      </w:r>
    </w:p>
    <w:p w14:paraId="19639CB1" w14:textId="77777777" w:rsidR="004426E0" w:rsidRDefault="004426E0" w:rsidP="004426E0">
      <w:pPr>
        <w:widowControl w:val="0"/>
        <w:autoSpaceDE w:val="0"/>
        <w:autoSpaceDN w:val="0"/>
        <w:adjustRightInd w:val="0"/>
        <w:spacing w:after="240"/>
        <w:rPr>
          <w:rFonts w:cs="Arial"/>
          <w:szCs w:val="36"/>
        </w:rPr>
      </w:pPr>
      <w:r w:rsidRPr="007D52E1">
        <w:rPr>
          <w:rFonts w:cs="Arial"/>
        </w:rPr>
        <w:t xml:space="preserve">Some public </w:t>
      </w:r>
      <w:r>
        <w:rPr>
          <w:rFonts w:cs="Arial"/>
        </w:rPr>
        <w:t xml:space="preserve">sector organisations </w:t>
      </w:r>
      <w:r w:rsidR="00345770">
        <w:rPr>
          <w:rFonts w:cs="Arial"/>
        </w:rPr>
        <w:t xml:space="preserve">must also comply with what are </w:t>
      </w:r>
      <w:r w:rsidRPr="007D52E1">
        <w:rPr>
          <w:rFonts w:cs="Arial"/>
        </w:rPr>
        <w:t xml:space="preserve">known as specific equality duties. These require those public </w:t>
      </w:r>
      <w:r>
        <w:rPr>
          <w:rFonts w:cs="Arial"/>
        </w:rPr>
        <w:t xml:space="preserve">sector organisations </w:t>
      </w:r>
      <w:r w:rsidRPr="007D52E1">
        <w:rPr>
          <w:rFonts w:cs="Arial"/>
        </w:rPr>
        <w:t>to which they apply to take</w:t>
      </w:r>
      <w:r>
        <w:rPr>
          <w:rFonts w:cs="Arial"/>
          <w:szCs w:val="36"/>
        </w:rPr>
        <w:t xml:space="preserve"> specific steps that are designed to enable them to better perform the public sector equality duty. </w:t>
      </w:r>
    </w:p>
    <w:p w14:paraId="1D7EED0C" w14:textId="77777777" w:rsidR="004426E0" w:rsidRPr="00295B67" w:rsidRDefault="004426E0" w:rsidP="004426E0">
      <w:r w:rsidRPr="00295B67">
        <w:t xml:space="preserve">When you are receiving services from (or are on the receiving end of public functions carried out by) a public sector organisation or others who deliver services for them or carry out public functions on their behalf, you may also have rights under the </w:t>
      </w:r>
      <w:r>
        <w:br/>
      </w:r>
      <w:r w:rsidRPr="00295B67">
        <w:t>Human Rights Act 1998.</w:t>
      </w:r>
    </w:p>
    <w:p w14:paraId="2958A86C" w14:textId="77777777" w:rsidR="004426E0" w:rsidRPr="00295B67" w:rsidRDefault="004426E0" w:rsidP="004426E0">
      <w:r w:rsidRPr="00295B67">
        <w:t>You can contact the Equality and Human Rights Commission to find out more about the public sector equality duties and the Human Rights Act.</w:t>
      </w:r>
    </w:p>
    <w:p w14:paraId="49420084" w14:textId="0A44E9C5" w:rsidR="0025118A" w:rsidRPr="00101198" w:rsidRDefault="0025118A" w:rsidP="00CA46E4">
      <w:pPr>
        <w:pStyle w:val="L3Heading"/>
      </w:pPr>
      <w:bookmarkStart w:id="37" w:name="_Toc297124712"/>
      <w:bookmarkStart w:id="38" w:name="_Toc297300492"/>
      <w:r w:rsidRPr="00101198">
        <w:t>What equality law says service providers must do</w:t>
      </w:r>
      <w:bookmarkEnd w:id="37"/>
      <w:bookmarkEnd w:id="38"/>
    </w:p>
    <w:p w14:paraId="041A9429" w14:textId="56665C00" w:rsidR="0025118A" w:rsidRPr="00101198" w:rsidRDefault="0025118A" w:rsidP="0025118A">
      <w:pPr>
        <w:rPr>
          <w:lang w:eastAsia="en-GB"/>
        </w:rPr>
      </w:pPr>
      <w:r w:rsidRPr="00101198">
        <w:rPr>
          <w:lang w:eastAsia="en-GB"/>
        </w:rPr>
        <w:t>Use this list to tell you how you can expect a healthcare or social care provider to treat you.</w:t>
      </w:r>
    </w:p>
    <w:p w14:paraId="0AB291F5" w14:textId="77777777" w:rsidR="0025118A" w:rsidRPr="00101198" w:rsidRDefault="0025118A" w:rsidP="001D7351">
      <w:pPr>
        <w:pStyle w:val="L3Heading"/>
      </w:pPr>
      <w:bookmarkStart w:id="39" w:name="_Toc297124713"/>
      <w:bookmarkStart w:id="40" w:name="_Toc297300493"/>
      <w:r w:rsidRPr="00101198">
        <w:t>Protected characteristics</w:t>
      </w:r>
      <w:bookmarkEnd w:id="39"/>
      <w:bookmarkEnd w:id="40"/>
    </w:p>
    <w:p w14:paraId="7F962C28" w14:textId="77777777" w:rsidR="0025118A" w:rsidRPr="00101198" w:rsidRDefault="0025118A" w:rsidP="0025118A">
      <w:pPr>
        <w:rPr>
          <w:lang w:eastAsia="en-GB"/>
        </w:rPr>
      </w:pPr>
      <w:r w:rsidRPr="00101198">
        <w:rPr>
          <w:lang w:eastAsia="en-GB"/>
        </w:rPr>
        <w:t>Make sure you know what is meant by:</w:t>
      </w:r>
    </w:p>
    <w:p w14:paraId="3F28F7A9" w14:textId="77777777" w:rsidR="00977B9B" w:rsidRPr="00D20022" w:rsidRDefault="00977B9B" w:rsidP="0025118A">
      <w:pPr>
        <w:pStyle w:val="ListBullet"/>
        <w:rPr>
          <w:rStyle w:val="Strong"/>
        </w:rPr>
      </w:pPr>
      <w:r w:rsidRPr="00D20022">
        <w:rPr>
          <w:rStyle w:val="Strong"/>
        </w:rPr>
        <w:t>age</w:t>
      </w:r>
    </w:p>
    <w:p w14:paraId="21B1F56C" w14:textId="77777777" w:rsidR="0025118A" w:rsidRPr="00D20022" w:rsidRDefault="0025118A" w:rsidP="0025118A">
      <w:pPr>
        <w:pStyle w:val="ListBullet"/>
        <w:rPr>
          <w:rStyle w:val="Strong"/>
        </w:rPr>
      </w:pPr>
      <w:r w:rsidRPr="00D20022">
        <w:rPr>
          <w:rStyle w:val="Strong"/>
        </w:rPr>
        <w:t>disability</w:t>
      </w:r>
    </w:p>
    <w:p w14:paraId="432100B5" w14:textId="77777777" w:rsidR="0025118A" w:rsidRPr="00D20022" w:rsidRDefault="0025118A" w:rsidP="0025118A">
      <w:pPr>
        <w:pStyle w:val="ListBullet"/>
        <w:rPr>
          <w:rStyle w:val="Strong"/>
        </w:rPr>
      </w:pPr>
      <w:r w:rsidRPr="00D20022">
        <w:rPr>
          <w:rStyle w:val="Strong"/>
        </w:rPr>
        <w:t>gender reassignment</w:t>
      </w:r>
    </w:p>
    <w:p w14:paraId="6424FCBD" w14:textId="77777777" w:rsidR="0025118A" w:rsidRPr="00D20022" w:rsidRDefault="0025118A" w:rsidP="0025118A">
      <w:pPr>
        <w:pStyle w:val="ListBullet"/>
        <w:rPr>
          <w:rStyle w:val="Strong"/>
        </w:rPr>
      </w:pPr>
      <w:r w:rsidRPr="00D20022">
        <w:rPr>
          <w:rStyle w:val="Strong"/>
        </w:rPr>
        <w:t>pregnancy and maternity (which includes breastfeeding)</w:t>
      </w:r>
    </w:p>
    <w:p w14:paraId="7A00C875" w14:textId="77777777" w:rsidR="0025118A" w:rsidRPr="00D20022" w:rsidRDefault="0025118A" w:rsidP="0025118A">
      <w:pPr>
        <w:pStyle w:val="ListBullet"/>
        <w:rPr>
          <w:rStyle w:val="Strong"/>
        </w:rPr>
      </w:pPr>
      <w:r w:rsidRPr="00D20022">
        <w:rPr>
          <w:rStyle w:val="Strong"/>
        </w:rPr>
        <w:t>race</w:t>
      </w:r>
    </w:p>
    <w:p w14:paraId="0B171CA1" w14:textId="77777777" w:rsidR="0025118A" w:rsidRPr="00D20022" w:rsidRDefault="0025118A" w:rsidP="0025118A">
      <w:pPr>
        <w:pStyle w:val="ListBullet"/>
        <w:rPr>
          <w:rStyle w:val="Strong"/>
        </w:rPr>
      </w:pPr>
      <w:r w:rsidRPr="00D20022">
        <w:rPr>
          <w:rStyle w:val="Strong"/>
        </w:rPr>
        <w:t>religion or belief</w:t>
      </w:r>
    </w:p>
    <w:p w14:paraId="10B2042A" w14:textId="77777777" w:rsidR="0025118A" w:rsidRPr="00D20022" w:rsidRDefault="0025118A" w:rsidP="0025118A">
      <w:pPr>
        <w:pStyle w:val="ListBullet"/>
        <w:rPr>
          <w:rStyle w:val="Strong"/>
        </w:rPr>
      </w:pPr>
      <w:r w:rsidRPr="00D20022">
        <w:rPr>
          <w:rStyle w:val="Strong"/>
        </w:rPr>
        <w:t>sex</w:t>
      </w:r>
    </w:p>
    <w:p w14:paraId="1856712A" w14:textId="77777777" w:rsidR="0025118A" w:rsidRPr="00D20022" w:rsidRDefault="0025118A" w:rsidP="0025118A">
      <w:pPr>
        <w:pStyle w:val="ListBullet"/>
        <w:rPr>
          <w:rStyle w:val="Strong"/>
        </w:rPr>
      </w:pPr>
      <w:r w:rsidRPr="00D20022">
        <w:rPr>
          <w:rStyle w:val="Strong"/>
        </w:rPr>
        <w:t xml:space="preserve">sexual orientation. </w:t>
      </w:r>
    </w:p>
    <w:p w14:paraId="47400AAF" w14:textId="77777777" w:rsidR="0025118A" w:rsidRPr="00101198" w:rsidRDefault="0025118A" w:rsidP="0025118A">
      <w:pPr>
        <w:rPr>
          <w:lang w:eastAsia="en-GB"/>
        </w:rPr>
      </w:pPr>
      <w:r w:rsidRPr="00101198">
        <w:rPr>
          <w:lang w:eastAsia="en-GB"/>
        </w:rPr>
        <w:t xml:space="preserve">Then you will know how you fit into each of these </w:t>
      </w:r>
      <w:r w:rsidRPr="00D20022">
        <w:rPr>
          <w:rStyle w:val="Strong"/>
        </w:rPr>
        <w:t>protected characteristics</w:t>
      </w:r>
      <w:r w:rsidRPr="00101198">
        <w:rPr>
          <w:lang w:eastAsia="en-GB"/>
        </w:rPr>
        <w:t>.</w:t>
      </w:r>
    </w:p>
    <w:p w14:paraId="7EE6BEC7" w14:textId="77777777" w:rsidR="0025118A" w:rsidRPr="00101198" w:rsidRDefault="0025118A" w:rsidP="00590F8B">
      <w:pPr>
        <w:pStyle w:val="L3Heading"/>
      </w:pPr>
      <w:bookmarkStart w:id="41" w:name="_Toc297300494"/>
      <w:r w:rsidRPr="00101198">
        <w:t>Unlawful discrimination</w:t>
      </w:r>
      <w:bookmarkEnd w:id="41"/>
    </w:p>
    <w:p w14:paraId="7531C503" w14:textId="77777777" w:rsidR="0025118A" w:rsidRPr="00101198" w:rsidRDefault="0025118A" w:rsidP="0025118A">
      <w:pPr>
        <w:rPr>
          <w:lang w:eastAsia="en-GB"/>
        </w:rPr>
      </w:pPr>
      <w:r w:rsidRPr="00101198">
        <w:rPr>
          <w:lang w:eastAsia="en-GB"/>
        </w:rPr>
        <w:t xml:space="preserve">Unlawful discrimination, in other words, treating some people </w:t>
      </w:r>
      <w:r w:rsidRPr="00D20022">
        <w:rPr>
          <w:rStyle w:val="Strong"/>
        </w:rPr>
        <w:t>worse</w:t>
      </w:r>
      <w:r w:rsidRPr="00101198">
        <w:rPr>
          <w:lang w:eastAsia="en-GB"/>
        </w:rPr>
        <w:t xml:space="preserve"> than others because of a protected characteristic, can take a number of different forms:</w:t>
      </w:r>
    </w:p>
    <w:p w14:paraId="0517DC61" w14:textId="45A0EEC1" w:rsidR="001D7351" w:rsidRPr="00101198" w:rsidRDefault="0025118A" w:rsidP="0025118A">
      <w:pPr>
        <w:pStyle w:val="ListBullet"/>
        <w:rPr>
          <w:lang w:eastAsia="en-GB"/>
        </w:rPr>
      </w:pPr>
      <w:r w:rsidRPr="00101198">
        <w:rPr>
          <w:lang w:eastAsia="en-GB"/>
        </w:rPr>
        <w:t xml:space="preserve">A service provider must not treat you worse than someone else because of one or more of your protected characteristics (this is called </w:t>
      </w:r>
      <w:r w:rsidRPr="00D20022">
        <w:rPr>
          <w:rStyle w:val="Strong"/>
        </w:rPr>
        <w:t>direct discrimination</w:t>
      </w:r>
      <w:r w:rsidRPr="00101198">
        <w:rPr>
          <w:lang w:eastAsia="en-GB"/>
        </w:rPr>
        <w:t xml:space="preserve">). </w:t>
      </w:r>
    </w:p>
    <w:tbl>
      <w:tblPr>
        <w:tblStyle w:val="TableGrid"/>
        <w:tblW w:w="5000" w:type="pct"/>
        <w:tblInd w:w="425" w:type="dxa"/>
        <w:tblLook w:val="04A0" w:firstRow="1" w:lastRow="0" w:firstColumn="1" w:lastColumn="0" w:noHBand="0" w:noVBand="1"/>
      </w:tblPr>
      <w:tblGrid>
        <w:gridCol w:w="9286"/>
      </w:tblGrid>
      <w:tr w:rsidR="001D7351" w14:paraId="36D06C85" w14:textId="77777777" w:rsidTr="001D7351">
        <w:tc>
          <w:tcPr>
            <w:tcW w:w="5000" w:type="pct"/>
            <w:tcBorders>
              <w:top w:val="nil"/>
              <w:left w:val="nil"/>
              <w:bottom w:val="nil"/>
              <w:right w:val="nil"/>
            </w:tcBorders>
            <w:shd w:val="clear" w:color="auto" w:fill="DBE5F1" w:themeFill="accent1" w:themeFillTint="33"/>
          </w:tcPr>
          <w:p w14:paraId="3F9E4BD8" w14:textId="2D235C96" w:rsidR="001D7351" w:rsidRDefault="001D7351" w:rsidP="001D7351">
            <w:r w:rsidRPr="001D7351">
              <w:rPr>
                <w:rStyle w:val="Strong"/>
              </w:rPr>
              <w:t>For example:</w:t>
            </w:r>
            <w:r w:rsidRPr="00101198">
              <w:t xml:space="preserve"> A social care organisation does not accept someone as a client because they are a disabled person with a particular mental health condition.</w:t>
            </w:r>
          </w:p>
        </w:tc>
      </w:tr>
    </w:tbl>
    <w:p w14:paraId="49B92589" w14:textId="77777777" w:rsidR="00977B9B" w:rsidRDefault="00977B9B" w:rsidP="001721DC">
      <w:pPr>
        <w:pStyle w:val="ListBullet"/>
        <w:numPr>
          <w:ilvl w:val="0"/>
          <w:numId w:val="0"/>
        </w:numPr>
        <w:ind w:left="425"/>
      </w:pPr>
      <w:r>
        <w:rPr>
          <w:lang w:eastAsia="en-GB"/>
        </w:rPr>
        <w:t xml:space="preserve">However, when such treatment is because of the protected characteristic of age, it may be permissible if the service provider can show that what it has done is </w:t>
      </w:r>
      <w:r w:rsidRPr="003B7228">
        <w:rPr>
          <w:rStyle w:val="Strong"/>
        </w:rPr>
        <w:t>objectively justified</w:t>
      </w:r>
      <w:r>
        <w:rPr>
          <w:lang w:eastAsia="en-GB"/>
        </w:rPr>
        <w:t>.</w:t>
      </w:r>
    </w:p>
    <w:p w14:paraId="569B630E" w14:textId="4727463B" w:rsidR="003B7228" w:rsidRPr="00101198" w:rsidRDefault="0025118A" w:rsidP="0025118A">
      <w:pPr>
        <w:pStyle w:val="ListBullet"/>
        <w:rPr>
          <w:lang w:eastAsia="en-GB"/>
        </w:rPr>
      </w:pPr>
      <w:r w:rsidRPr="00101198">
        <w:rPr>
          <w:lang w:eastAsia="en-GB"/>
        </w:rPr>
        <w:t xml:space="preserve">A service provider must not do something to you </w:t>
      </w:r>
      <w:r w:rsidR="00CA4C1B">
        <w:rPr>
          <w:lang w:eastAsia="en-GB"/>
        </w:rPr>
        <w:t>which</w:t>
      </w:r>
      <w:r w:rsidRPr="00101198">
        <w:rPr>
          <w:lang w:eastAsia="en-GB"/>
        </w:rPr>
        <w:t xml:space="preserve"> has </w:t>
      </w:r>
      <w:r w:rsidR="00CA4C1B">
        <w:rPr>
          <w:lang w:eastAsia="en-GB"/>
        </w:rPr>
        <w:t xml:space="preserve">(or would have) </w:t>
      </w:r>
      <w:r w:rsidRPr="00101198">
        <w:rPr>
          <w:lang w:eastAsia="en-GB"/>
        </w:rPr>
        <w:t xml:space="preserve">a worse impact on you and </w:t>
      </w:r>
      <w:r w:rsidR="00CA4C1B">
        <w:rPr>
          <w:lang w:eastAsia="en-GB"/>
        </w:rPr>
        <w:t xml:space="preserve">on </w:t>
      </w:r>
      <w:r w:rsidRPr="00101198">
        <w:rPr>
          <w:lang w:eastAsia="en-GB"/>
        </w:rPr>
        <w:t xml:space="preserve">other people who share a particular protected characteristic than on people who do not share that characteristic. Unless the service provider can show that what they have done is </w:t>
      </w:r>
      <w:r w:rsidRPr="003B7228">
        <w:rPr>
          <w:rStyle w:val="Strong"/>
        </w:rPr>
        <w:t>objectively justified</w:t>
      </w:r>
      <w:r w:rsidRPr="00101198">
        <w:rPr>
          <w:lang w:eastAsia="en-GB"/>
        </w:rPr>
        <w:t xml:space="preserve">, this will be what is called </w:t>
      </w:r>
      <w:r w:rsidRPr="003B7228">
        <w:rPr>
          <w:rStyle w:val="Strong"/>
        </w:rPr>
        <w:t>indirect discrimination</w:t>
      </w:r>
      <w:r w:rsidRPr="00101198">
        <w:rPr>
          <w:lang w:eastAsia="en-GB"/>
        </w:rPr>
        <w:t xml:space="preserve">. ‘Doing something’ can include making a decision, or applying a rule or way of doing things. </w:t>
      </w:r>
    </w:p>
    <w:tbl>
      <w:tblPr>
        <w:tblStyle w:val="TableGrid"/>
        <w:tblW w:w="5000" w:type="pct"/>
        <w:tblInd w:w="425" w:type="dxa"/>
        <w:tblLook w:val="04A0" w:firstRow="1" w:lastRow="0" w:firstColumn="1" w:lastColumn="0" w:noHBand="0" w:noVBand="1"/>
      </w:tblPr>
      <w:tblGrid>
        <w:gridCol w:w="9286"/>
      </w:tblGrid>
      <w:tr w:rsidR="003B7228" w:rsidRPr="003B7228" w14:paraId="4A9E76C5" w14:textId="77777777" w:rsidTr="003B7228">
        <w:tc>
          <w:tcPr>
            <w:tcW w:w="5000" w:type="pct"/>
            <w:tcBorders>
              <w:top w:val="nil"/>
              <w:left w:val="nil"/>
              <w:bottom w:val="nil"/>
              <w:right w:val="nil"/>
            </w:tcBorders>
            <w:shd w:val="clear" w:color="auto" w:fill="DBE5F1" w:themeFill="accent1" w:themeFillTint="33"/>
          </w:tcPr>
          <w:p w14:paraId="3CDB782F" w14:textId="28F31C07" w:rsidR="003B7228" w:rsidRPr="003B7228" w:rsidRDefault="003B7228" w:rsidP="003B7228">
            <w:r w:rsidRPr="003B7228">
              <w:rPr>
                <w:rStyle w:val="Strong"/>
              </w:rPr>
              <w:t>For example:</w:t>
            </w:r>
            <w:r w:rsidRPr="003B7228">
              <w:t xml:space="preserve"> A social care provider which runs a day centre decides to apply a ‘no hats or other headgear’ rule to service users. If this rule is applied in exactly the same way to every service users, Sikhs, Jews, Muslims and Rastafarians, who may cover their heads as part of their religion, will not be allowed to use the drop-in centre. Unless the social care provider can </w:t>
            </w:r>
            <w:r w:rsidRPr="003B7228">
              <w:rPr>
                <w:rStyle w:val="Strong"/>
              </w:rPr>
              <w:t>objectively justify</w:t>
            </w:r>
            <w:r w:rsidRPr="003B7228">
              <w:t xml:space="preserve"> using the rule, this will be indirect discrimination.</w:t>
            </w:r>
          </w:p>
        </w:tc>
      </w:tr>
    </w:tbl>
    <w:p w14:paraId="02C2D198" w14:textId="522591A1" w:rsidR="0045328C" w:rsidRPr="00D438E0" w:rsidRDefault="0025118A" w:rsidP="0025118A">
      <w:pPr>
        <w:pStyle w:val="ListBullet"/>
        <w:rPr>
          <w:i/>
        </w:rPr>
      </w:pPr>
      <w:r w:rsidRPr="00101198">
        <w:rPr>
          <w:lang w:eastAsia="en-GB"/>
        </w:rPr>
        <w:t xml:space="preserve">If you are a </w:t>
      </w:r>
      <w:r w:rsidRPr="003B7228">
        <w:rPr>
          <w:rStyle w:val="Strong"/>
        </w:rPr>
        <w:t>disabled person</w:t>
      </w:r>
      <w:r w:rsidRPr="00101198">
        <w:rPr>
          <w:lang w:eastAsia="en-GB"/>
        </w:rPr>
        <w:t xml:space="preserve">, a service provider must not treat you </w:t>
      </w:r>
      <w:r w:rsidRPr="003B7228">
        <w:rPr>
          <w:rStyle w:val="Strong"/>
        </w:rPr>
        <w:t>unfavourably</w:t>
      </w:r>
      <w:r w:rsidRPr="00101198">
        <w:rPr>
          <w:lang w:eastAsia="en-GB"/>
        </w:rPr>
        <w:t xml:space="preserve"> because of something connected to your disability where they cannot show that what they are doing is </w:t>
      </w:r>
      <w:r w:rsidRPr="003B7228">
        <w:rPr>
          <w:rStyle w:val="Strong"/>
        </w:rPr>
        <w:t>objectively justified</w:t>
      </w:r>
      <w:r w:rsidRPr="00101198">
        <w:rPr>
          <w:lang w:eastAsia="en-GB"/>
        </w:rPr>
        <w:t xml:space="preserve">. This only applies if the organisation knew or could </w:t>
      </w:r>
      <w:r w:rsidRPr="00D60064">
        <w:rPr>
          <w:lang w:eastAsia="en-GB"/>
        </w:rPr>
        <w:t>reasonably</w:t>
      </w:r>
      <w:r w:rsidRPr="00101198">
        <w:rPr>
          <w:lang w:eastAsia="en-GB"/>
        </w:rPr>
        <w:t xml:space="preserve"> have been expected to know that you are a disabled person. This is called </w:t>
      </w:r>
      <w:r w:rsidRPr="0045328C">
        <w:rPr>
          <w:rStyle w:val="Strong"/>
        </w:rPr>
        <w:t>discrimination arising from disability</w:t>
      </w:r>
      <w:r w:rsidRPr="00101198">
        <w:rPr>
          <w:lang w:eastAsia="en-GB"/>
        </w:rPr>
        <w:t xml:space="preserve">. </w:t>
      </w:r>
      <w:r w:rsidR="00A37C11">
        <w:t>A </w:t>
      </w:r>
      <w:r w:rsidR="004B6EBF">
        <w:t xml:space="preserve">service provider does not have to </w:t>
      </w:r>
      <w:r w:rsidR="004B6EBF" w:rsidRPr="0045328C">
        <w:rPr>
          <w:rStyle w:val="Strong"/>
        </w:rPr>
        <w:t>know</w:t>
      </w:r>
      <w:r w:rsidR="004B6EBF" w:rsidRPr="006C0561">
        <w:t xml:space="preserve"> </w:t>
      </w:r>
      <w:r w:rsidR="004B6EBF">
        <w:t xml:space="preserve">that you meet the legal definition of </w:t>
      </w:r>
      <w:r w:rsidR="002A1957">
        <w:t>‘</w:t>
      </w:r>
      <w:r w:rsidR="00A37C11">
        <w:t>a </w:t>
      </w:r>
      <w:r w:rsidR="004B6EBF">
        <w:t xml:space="preserve">disabled </w:t>
      </w:r>
      <w:r w:rsidR="004B6EBF" w:rsidRPr="003B7228">
        <w:t>person</w:t>
      </w:r>
      <w:r w:rsidR="002A1957" w:rsidRPr="003B7228">
        <w:t>’</w:t>
      </w:r>
      <w:r w:rsidR="004B6EBF" w:rsidRPr="003B7228">
        <w:t xml:space="preserve">, </w:t>
      </w:r>
      <w:r w:rsidR="004B6EBF" w:rsidRPr="00DC76C2">
        <w:rPr>
          <w:rStyle w:val="Emphasis"/>
        </w:rPr>
        <w:t>just that he or she has an impairment which is likely to meet the definition</w:t>
      </w:r>
      <w:r w:rsidR="004B6EBF" w:rsidRPr="00D438E0">
        <w:rPr>
          <w:i/>
        </w:rPr>
        <w:t>.</w:t>
      </w:r>
    </w:p>
    <w:tbl>
      <w:tblPr>
        <w:tblStyle w:val="TableGrid"/>
        <w:tblW w:w="5000" w:type="pct"/>
        <w:tblInd w:w="425" w:type="dxa"/>
        <w:tblLook w:val="04A0" w:firstRow="1" w:lastRow="0" w:firstColumn="1" w:lastColumn="0" w:noHBand="0" w:noVBand="1"/>
      </w:tblPr>
      <w:tblGrid>
        <w:gridCol w:w="9286"/>
      </w:tblGrid>
      <w:tr w:rsidR="0045328C" w14:paraId="5F4895BB" w14:textId="77777777" w:rsidTr="0045328C">
        <w:tc>
          <w:tcPr>
            <w:tcW w:w="5000" w:type="pct"/>
            <w:tcBorders>
              <w:top w:val="nil"/>
              <w:left w:val="nil"/>
              <w:bottom w:val="nil"/>
              <w:right w:val="nil"/>
            </w:tcBorders>
            <w:shd w:val="clear" w:color="auto" w:fill="DBE5F1" w:themeFill="accent1" w:themeFillTint="33"/>
          </w:tcPr>
          <w:p w14:paraId="28AF11BF" w14:textId="7652E2B5" w:rsidR="0045328C" w:rsidRDefault="0045328C" w:rsidP="0045328C">
            <w:r w:rsidRPr="0045328C">
              <w:rPr>
                <w:rStyle w:val="Strong"/>
              </w:rPr>
              <w:t>For example:</w:t>
            </w:r>
            <w:r w:rsidRPr="00101198">
              <w:t xml:space="preserve"> A disabled person who is a wheelchair user has a hospital </w:t>
            </w:r>
            <w:r w:rsidRPr="0045328C">
              <w:t>appointment</w:t>
            </w:r>
            <w:r w:rsidRPr="00101198">
              <w:t xml:space="preserve"> but is refused a consultation in a small consultation room as the wheelchair takes up a lot of room. They are interviewed in a curtained cubicle near the public waiting area, but this provides much less privacy than a consultation room. The person is treated unfavourably because of their use of the wheelchair, which is something </w:t>
            </w:r>
            <w:r>
              <w:t>arising from</w:t>
            </w:r>
            <w:r w:rsidRPr="00101198">
              <w:t xml:space="preserve"> their disability. Unless the hospital can show that not allowing the person to have a consultation in a private room can be </w:t>
            </w:r>
            <w:r w:rsidRPr="0045328C">
              <w:rPr>
                <w:rStyle w:val="Strong"/>
              </w:rPr>
              <w:t>objectively justified</w:t>
            </w:r>
            <w:r w:rsidRPr="00101198">
              <w:t xml:space="preserve">, this is likely to be discrimination arising from disability. </w:t>
            </w:r>
          </w:p>
        </w:tc>
      </w:tr>
    </w:tbl>
    <w:p w14:paraId="3B2E926B" w14:textId="5B1C8BBD" w:rsidR="0045328C" w:rsidRPr="00101198" w:rsidRDefault="0025118A" w:rsidP="0025118A">
      <w:pPr>
        <w:pStyle w:val="ListBullet"/>
        <w:rPr>
          <w:lang w:eastAsia="en-GB"/>
        </w:rPr>
      </w:pPr>
      <w:r w:rsidRPr="00101198">
        <w:rPr>
          <w:lang w:eastAsia="en-GB"/>
        </w:rPr>
        <w:t xml:space="preserve">A service provider must not treat you worse than someone else because you are </w:t>
      </w:r>
      <w:r w:rsidRPr="0045328C">
        <w:rPr>
          <w:rStyle w:val="Strong"/>
        </w:rPr>
        <w:t>associated with</w:t>
      </w:r>
      <w:r w:rsidRPr="00101198">
        <w:rPr>
          <w:lang w:eastAsia="en-GB"/>
        </w:rPr>
        <w:t xml:space="preserve"> a person who has a protected characteristic. </w:t>
      </w:r>
    </w:p>
    <w:tbl>
      <w:tblPr>
        <w:tblStyle w:val="TableGrid"/>
        <w:tblW w:w="5000" w:type="pct"/>
        <w:tblInd w:w="425" w:type="dxa"/>
        <w:tblLook w:val="04A0" w:firstRow="1" w:lastRow="0" w:firstColumn="1" w:lastColumn="0" w:noHBand="0" w:noVBand="1"/>
      </w:tblPr>
      <w:tblGrid>
        <w:gridCol w:w="9286"/>
      </w:tblGrid>
      <w:tr w:rsidR="0045328C" w:rsidRPr="0045328C" w14:paraId="0CD6E665" w14:textId="77777777" w:rsidTr="0045328C">
        <w:tc>
          <w:tcPr>
            <w:tcW w:w="5000" w:type="pct"/>
            <w:tcBorders>
              <w:top w:val="nil"/>
              <w:left w:val="nil"/>
              <w:bottom w:val="nil"/>
              <w:right w:val="nil"/>
            </w:tcBorders>
            <w:shd w:val="clear" w:color="auto" w:fill="DBE5F1" w:themeFill="accent1" w:themeFillTint="33"/>
          </w:tcPr>
          <w:p w14:paraId="03D7E773" w14:textId="2A63CD71" w:rsidR="0045328C" w:rsidRPr="0045328C" w:rsidRDefault="0045328C" w:rsidP="0045328C">
            <w:r w:rsidRPr="0045328C">
              <w:rPr>
                <w:rStyle w:val="Strong"/>
              </w:rPr>
              <w:t>For example:</w:t>
            </w:r>
            <w:r w:rsidRPr="0045328C">
              <w:t xml:space="preserve"> A small privately run homecare provider refuses to assist an older client at home because they discover that the older person’s partner is HIV positive. This is almost certainly direct discrimination because of disability based on the client’s association with a disabled person. </w:t>
            </w:r>
          </w:p>
        </w:tc>
      </w:tr>
    </w:tbl>
    <w:p w14:paraId="676263EE" w14:textId="77BEB53B" w:rsidR="00F41B19" w:rsidRPr="00101198" w:rsidRDefault="0025118A" w:rsidP="0025118A">
      <w:pPr>
        <w:pStyle w:val="ListBullet"/>
        <w:rPr>
          <w:lang w:eastAsia="en-GB"/>
        </w:rPr>
      </w:pPr>
      <w:r w:rsidRPr="00101198">
        <w:rPr>
          <w:lang w:eastAsia="en-GB"/>
        </w:rPr>
        <w:t>A service provider must not treat you worse because they incorrectly think you have a protected characteristic (</w:t>
      </w:r>
      <w:r w:rsidRPr="0045328C">
        <w:rPr>
          <w:rStyle w:val="Strong"/>
        </w:rPr>
        <w:t>perception</w:t>
      </w:r>
      <w:r w:rsidRPr="00101198">
        <w:rPr>
          <w:lang w:eastAsia="en-GB"/>
        </w:rPr>
        <w:t xml:space="preserve">). </w:t>
      </w:r>
    </w:p>
    <w:tbl>
      <w:tblPr>
        <w:tblStyle w:val="TableGrid"/>
        <w:tblW w:w="5000" w:type="pct"/>
        <w:tblInd w:w="425" w:type="dxa"/>
        <w:tblLook w:val="04A0" w:firstRow="1" w:lastRow="0" w:firstColumn="1" w:lastColumn="0" w:noHBand="0" w:noVBand="1"/>
      </w:tblPr>
      <w:tblGrid>
        <w:gridCol w:w="9286"/>
      </w:tblGrid>
      <w:tr w:rsidR="00F41B19" w:rsidRPr="00F41B19" w14:paraId="37886D19" w14:textId="77777777" w:rsidTr="00F41B19">
        <w:tc>
          <w:tcPr>
            <w:tcW w:w="5000" w:type="pct"/>
            <w:tcBorders>
              <w:top w:val="nil"/>
              <w:left w:val="nil"/>
              <w:bottom w:val="nil"/>
              <w:right w:val="nil"/>
            </w:tcBorders>
            <w:shd w:val="clear" w:color="auto" w:fill="DBE5F1" w:themeFill="accent1" w:themeFillTint="33"/>
          </w:tcPr>
          <w:p w14:paraId="5FC8DB0D" w14:textId="6C9CC8C0" w:rsidR="00F41B19" w:rsidRPr="00F41B19" w:rsidRDefault="00F41B19" w:rsidP="00F41B19">
            <w:r w:rsidRPr="00F41B19">
              <w:rPr>
                <w:rStyle w:val="Strong"/>
              </w:rPr>
              <w:t>For example:</w:t>
            </w:r>
            <w:r w:rsidRPr="00F41B19">
              <w:t xml:space="preserve"> A member of staff mistakenly thinks a man is gay. Because of this they tell him a service is not open to him. It is likely the man has been unlawfully discriminated against because of sexual orientation, even though he is not gay.</w:t>
            </w:r>
          </w:p>
        </w:tc>
      </w:tr>
    </w:tbl>
    <w:p w14:paraId="453D52D3" w14:textId="3E6FF04C" w:rsidR="0025118A" w:rsidRPr="00101198" w:rsidRDefault="0025118A" w:rsidP="0025118A">
      <w:pPr>
        <w:pStyle w:val="Indenttext"/>
      </w:pPr>
    </w:p>
    <w:p w14:paraId="67498A41" w14:textId="7724F916" w:rsidR="00F41B19" w:rsidRPr="00101198" w:rsidRDefault="0025118A" w:rsidP="0025118A">
      <w:pPr>
        <w:pStyle w:val="ListBullet"/>
        <w:rPr>
          <w:lang w:eastAsia="en-GB"/>
        </w:rPr>
      </w:pPr>
      <w:r w:rsidRPr="00101198">
        <w:rPr>
          <w:lang w:eastAsia="en-GB"/>
        </w:rPr>
        <w:t xml:space="preserve">A service provider must not treat you badly or </w:t>
      </w:r>
      <w:r w:rsidRPr="00F41B19">
        <w:rPr>
          <w:rStyle w:val="Strong"/>
        </w:rPr>
        <w:t>victimise</w:t>
      </w:r>
      <w:r w:rsidRPr="00101198">
        <w:rPr>
          <w:lang w:eastAsia="en-GB"/>
        </w:rPr>
        <w:t xml:space="preserve"> you because you have complained about discrimination or helped someone else complain or done anything to uphold your own or someone else’s equality law rights. </w:t>
      </w:r>
    </w:p>
    <w:tbl>
      <w:tblPr>
        <w:tblStyle w:val="TableGrid"/>
        <w:tblW w:w="5000" w:type="pct"/>
        <w:tblInd w:w="425" w:type="dxa"/>
        <w:tblLook w:val="04A0" w:firstRow="1" w:lastRow="0" w:firstColumn="1" w:lastColumn="0" w:noHBand="0" w:noVBand="1"/>
      </w:tblPr>
      <w:tblGrid>
        <w:gridCol w:w="9286"/>
      </w:tblGrid>
      <w:tr w:rsidR="00F41B19" w:rsidRPr="00F41B19" w14:paraId="6E87DBF4" w14:textId="77777777" w:rsidTr="006C0561">
        <w:tc>
          <w:tcPr>
            <w:tcW w:w="5000" w:type="pct"/>
            <w:tcBorders>
              <w:top w:val="nil"/>
              <w:left w:val="nil"/>
              <w:bottom w:val="nil"/>
              <w:right w:val="nil"/>
            </w:tcBorders>
            <w:shd w:val="clear" w:color="auto" w:fill="DBE5F1" w:themeFill="accent1" w:themeFillTint="33"/>
          </w:tcPr>
          <w:p w14:paraId="2C0247C3" w14:textId="771F4A25" w:rsidR="00F41B19" w:rsidRPr="00F41B19" w:rsidRDefault="00F41B19" w:rsidP="00F41B19">
            <w:r w:rsidRPr="006C0561">
              <w:rPr>
                <w:rStyle w:val="Strong"/>
              </w:rPr>
              <w:t>For example:</w:t>
            </w:r>
            <w:r w:rsidRPr="00F41B19">
              <w:t xml:space="preserve"> A patient supports another person’s complaint that a GP’s surgery has unlawfully discriminated against them. The patient is later told that they will have to find a new GP. If this is because of their part in supporting the complaint, this is likely to be victimisation.</w:t>
            </w:r>
          </w:p>
        </w:tc>
      </w:tr>
    </w:tbl>
    <w:p w14:paraId="77BA68A3" w14:textId="6358A076" w:rsidR="006C0561" w:rsidRPr="00101198" w:rsidRDefault="0025118A" w:rsidP="0025118A">
      <w:pPr>
        <w:pStyle w:val="ListBullet"/>
        <w:rPr>
          <w:lang w:eastAsia="en-GB"/>
        </w:rPr>
      </w:pPr>
      <w:r w:rsidRPr="00101198">
        <w:rPr>
          <w:lang w:eastAsia="en-GB"/>
        </w:rPr>
        <w:t xml:space="preserve">A service provider must not </w:t>
      </w:r>
      <w:r w:rsidRPr="00F41B19">
        <w:rPr>
          <w:rStyle w:val="Strong"/>
        </w:rPr>
        <w:t>harass</w:t>
      </w:r>
      <w:r w:rsidRPr="00101198">
        <w:rPr>
          <w:lang w:eastAsia="en-GB"/>
        </w:rPr>
        <w:t xml:space="preserve"> you. </w:t>
      </w:r>
    </w:p>
    <w:tbl>
      <w:tblPr>
        <w:tblStyle w:val="TableGrid"/>
        <w:tblW w:w="5000" w:type="pct"/>
        <w:tblInd w:w="425" w:type="dxa"/>
        <w:tblLook w:val="04A0" w:firstRow="1" w:lastRow="0" w:firstColumn="1" w:lastColumn="0" w:noHBand="0" w:noVBand="1"/>
      </w:tblPr>
      <w:tblGrid>
        <w:gridCol w:w="9286"/>
      </w:tblGrid>
      <w:tr w:rsidR="006C0561" w:rsidRPr="006C0561" w14:paraId="379205ED" w14:textId="77777777" w:rsidTr="006C0561">
        <w:tc>
          <w:tcPr>
            <w:tcW w:w="5000" w:type="pct"/>
            <w:tcBorders>
              <w:top w:val="nil"/>
              <w:left w:val="nil"/>
              <w:bottom w:val="nil"/>
              <w:right w:val="nil"/>
            </w:tcBorders>
            <w:shd w:val="clear" w:color="auto" w:fill="DBE5F1" w:themeFill="accent1" w:themeFillTint="33"/>
          </w:tcPr>
          <w:p w14:paraId="3E82B622" w14:textId="7855F057" w:rsidR="006C0561" w:rsidRPr="006C0561" w:rsidRDefault="006C0561" w:rsidP="006C0561">
            <w:r w:rsidRPr="006C0561">
              <w:rPr>
                <w:rStyle w:val="Strong"/>
              </w:rPr>
              <w:t>For example:</w:t>
            </w:r>
            <w:r w:rsidRPr="006C0561">
              <w:t xml:space="preserve"> A member of a service provider’s support staff is verbally abusive to a service user in relation to a protected characteristic.</w:t>
            </w:r>
          </w:p>
        </w:tc>
      </w:tr>
    </w:tbl>
    <w:p w14:paraId="1BB9700D" w14:textId="77777777" w:rsidR="0025118A" w:rsidRPr="00101198" w:rsidRDefault="0025118A" w:rsidP="0025118A">
      <w:pPr>
        <w:pStyle w:val="Indenttext"/>
      </w:pPr>
      <w:r w:rsidRPr="006C0561">
        <w:rPr>
          <w:rStyle w:val="Strong"/>
        </w:rPr>
        <w:t>Note:</w:t>
      </w:r>
      <w:r w:rsidRPr="00101198">
        <w:t xml:space="preserve"> Even where the behaviour does not come within the equality law definition of harassment (for example, because it is related to religion or belief or sexual orientation), it is likely still to be unlawful </w:t>
      </w:r>
      <w:r w:rsidR="009A631B" w:rsidRPr="006C0561">
        <w:rPr>
          <w:rStyle w:val="Strong"/>
        </w:rPr>
        <w:t xml:space="preserve">directly </w:t>
      </w:r>
      <w:r w:rsidRPr="006C0561">
        <w:rPr>
          <w:rStyle w:val="Strong"/>
        </w:rPr>
        <w:t>discrimination</w:t>
      </w:r>
      <w:r w:rsidRPr="00101198">
        <w:t xml:space="preserve"> because the service provider is giving the service to you on worse terms than it would give someone who did not have the same protected characteristic. </w:t>
      </w:r>
    </w:p>
    <w:p w14:paraId="340C5184" w14:textId="5A10AB2D" w:rsidR="0025118A" w:rsidRPr="00101198" w:rsidRDefault="0025118A" w:rsidP="0025118A">
      <w:pPr>
        <w:pStyle w:val="ListBullet"/>
        <w:rPr>
          <w:lang w:eastAsia="en-GB"/>
        </w:rPr>
      </w:pPr>
      <w:r w:rsidRPr="00101198">
        <w:rPr>
          <w:lang w:eastAsia="en-GB"/>
        </w:rPr>
        <w:t xml:space="preserve">In addition, to make sure that, if you are a disabled person, you can use the services of a healthcare or social care provider as far as is reasonable to the same standard as a non-disabled person, the service provider must make </w:t>
      </w:r>
      <w:r w:rsidRPr="006C0561">
        <w:rPr>
          <w:rStyle w:val="Strong"/>
        </w:rPr>
        <w:t>reasonable adjustments</w:t>
      </w:r>
      <w:r w:rsidRPr="00101198">
        <w:rPr>
          <w:lang w:eastAsia="en-GB"/>
        </w:rPr>
        <w:t>.</w:t>
      </w:r>
    </w:p>
    <w:p w14:paraId="0650A7DB" w14:textId="5F443248" w:rsidR="00A37C11" w:rsidRPr="00101198" w:rsidRDefault="0025118A" w:rsidP="0025118A">
      <w:pPr>
        <w:pStyle w:val="Indenttext"/>
      </w:pPr>
      <w:r w:rsidRPr="00101198">
        <w:t xml:space="preserve">The service provider is not allowed to wait until you or another disabled person want to use its services, but must think in advance about what people with a range of </w:t>
      </w:r>
      <w:r w:rsidRPr="006C0561">
        <w:rPr>
          <w:rStyle w:val="Strong"/>
        </w:rPr>
        <w:t>impairments</w:t>
      </w:r>
      <w:r w:rsidRPr="00101198">
        <w:t xml:space="preserve"> might reasonably need, such as people who have a visual impairment, a hearing impairment, a mobility impairment or a learning disability. </w:t>
      </w:r>
    </w:p>
    <w:tbl>
      <w:tblPr>
        <w:tblStyle w:val="TableGrid"/>
        <w:tblW w:w="5000" w:type="pct"/>
        <w:tblInd w:w="425" w:type="dxa"/>
        <w:tblLook w:val="04A0" w:firstRow="1" w:lastRow="0" w:firstColumn="1" w:lastColumn="0" w:noHBand="0" w:noVBand="1"/>
      </w:tblPr>
      <w:tblGrid>
        <w:gridCol w:w="9286"/>
      </w:tblGrid>
      <w:tr w:rsidR="006C0561" w14:paraId="6FE4905A" w14:textId="77777777" w:rsidTr="006C0561">
        <w:tc>
          <w:tcPr>
            <w:tcW w:w="5000" w:type="pct"/>
            <w:tcBorders>
              <w:top w:val="nil"/>
              <w:left w:val="nil"/>
              <w:bottom w:val="nil"/>
              <w:right w:val="nil"/>
            </w:tcBorders>
            <w:shd w:val="clear" w:color="auto" w:fill="DBE5F1" w:themeFill="accent1" w:themeFillTint="33"/>
          </w:tcPr>
          <w:p w14:paraId="50A2E53D" w14:textId="1441311A" w:rsidR="006C0561" w:rsidRPr="00101198" w:rsidRDefault="006C0561" w:rsidP="006C0561">
            <w:r w:rsidRPr="006C0561">
              <w:rPr>
                <w:rStyle w:val="Strong"/>
              </w:rPr>
              <w:t>For example:</w:t>
            </w:r>
            <w:r w:rsidRPr="00101198">
              <w:t xml:space="preserve"> A fracture clinic has full access to its premises because it is used to dealing with patients with mobility impairments. However, it needs to consider the needs of disabled people with other impairments, so it ensures that, as reasonable adjustments, it provides information about its services in a range of </w:t>
            </w:r>
            <w:r w:rsidRPr="006C0561">
              <w:rPr>
                <w:rStyle w:val="Strong"/>
              </w:rPr>
              <w:t>alternative formats</w:t>
            </w:r>
            <w:r w:rsidRPr="00101198">
              <w:t>, like large print or Easy Read and it has visual displays in its waiting area for people who have hearing impairments.</w:t>
            </w:r>
          </w:p>
          <w:p w14:paraId="1AC9DF29" w14:textId="77777777" w:rsidR="006C0561" w:rsidRDefault="006C0561" w:rsidP="006C0561">
            <w:r w:rsidRPr="00101198">
              <w:t>However, it has not ensured that its staff are trained to assist people with mental health conditions. Therefore</w:t>
            </w:r>
            <w:r>
              <w:t>,</w:t>
            </w:r>
            <w:r w:rsidRPr="00101198">
              <w:t xml:space="preserve"> it has probably not done enough to anticipate the different needs of disabled people with a range of impairments.</w:t>
            </w:r>
          </w:p>
          <w:p w14:paraId="5649D710" w14:textId="77777777" w:rsidR="00A37C11" w:rsidRPr="00101198" w:rsidRDefault="00A37C11" w:rsidP="006C0561"/>
          <w:p w14:paraId="1FAAA0B9" w14:textId="32B03FF5" w:rsidR="006C0561" w:rsidRDefault="006C0561" w:rsidP="006C0561">
            <w:r w:rsidRPr="00101198">
              <w:t>Setting up a confidential system to record a person’s communication or other disability-related needs and to make sure that the information follows the patient from one healthcare provider to another may be another reasonable adjustment in this situation.</w:t>
            </w:r>
          </w:p>
        </w:tc>
      </w:tr>
    </w:tbl>
    <w:p w14:paraId="68A521AC" w14:textId="65B5A87D" w:rsidR="0025118A" w:rsidRDefault="0025118A" w:rsidP="0025118A">
      <w:pPr>
        <w:rPr>
          <w:lang w:eastAsia="en-GB"/>
        </w:rPr>
      </w:pPr>
      <w:r w:rsidRPr="00101198">
        <w:rPr>
          <w:lang w:eastAsia="en-GB"/>
        </w:rPr>
        <w:t xml:space="preserve">You can read more about making reasonable adjustments to remove barriers for disabled people </w:t>
      </w:r>
      <w:r>
        <w:rPr>
          <w:lang w:eastAsia="en-GB"/>
        </w:rPr>
        <w:t xml:space="preserve">in </w:t>
      </w:r>
      <w:hyperlink w:anchor="chapter4" w:history="1">
        <w:r w:rsidRPr="00AA46A5">
          <w:rPr>
            <w:rStyle w:val="Hyperlink"/>
            <w:rFonts w:cs="Times New Roman"/>
            <w:szCs w:val="24"/>
            <w:lang w:eastAsia="en-GB"/>
          </w:rPr>
          <w:t>Chapter 4</w:t>
        </w:r>
      </w:hyperlink>
      <w:r w:rsidRPr="00101198">
        <w:rPr>
          <w:lang w:eastAsia="en-GB"/>
        </w:rPr>
        <w:t>.</w:t>
      </w:r>
    </w:p>
    <w:p w14:paraId="2209B095" w14:textId="77777777" w:rsidR="00C32D91" w:rsidRDefault="00C32D91" w:rsidP="00C32D91">
      <w:pPr>
        <w:rPr>
          <w:lang w:eastAsia="en-GB"/>
        </w:rPr>
      </w:pPr>
      <w:r>
        <w:rPr>
          <w:lang w:eastAsia="en-GB"/>
        </w:rPr>
        <w:t>Where a service provider used to provide services to you, it will still be unlawful to discriminate against you in the ways described above if what they do arises out of and is closely connected to the relationship that used to exist between you and them.</w:t>
      </w:r>
    </w:p>
    <w:p w14:paraId="68C80996" w14:textId="77777777" w:rsidR="0025118A" w:rsidRPr="00101198" w:rsidRDefault="0025118A" w:rsidP="00921E87">
      <w:pPr>
        <w:pStyle w:val="L4Headers"/>
        <w:rPr>
          <w:lang w:eastAsia="en-GB"/>
        </w:rPr>
      </w:pPr>
      <w:r w:rsidRPr="00101198">
        <w:rPr>
          <w:lang w:eastAsia="en-GB"/>
        </w:rPr>
        <w:t>What does this mean for how services are delivered?</w:t>
      </w:r>
    </w:p>
    <w:p w14:paraId="5D24A7F1" w14:textId="77777777" w:rsidR="0025118A" w:rsidRPr="00101198" w:rsidRDefault="0025118A" w:rsidP="0025118A">
      <w:pPr>
        <w:rPr>
          <w:lang w:eastAsia="en-GB"/>
        </w:rPr>
      </w:pPr>
      <w:r w:rsidRPr="00101198">
        <w:rPr>
          <w:lang w:eastAsia="en-GB"/>
        </w:rPr>
        <w:t>Because of a protected characteristic, a healthcare or social care provider:</w:t>
      </w:r>
    </w:p>
    <w:p w14:paraId="707BEC78" w14:textId="7ACC621D" w:rsidR="006C0561" w:rsidRPr="00101198" w:rsidRDefault="0025118A" w:rsidP="0025118A">
      <w:pPr>
        <w:pStyle w:val="ListBullet"/>
        <w:rPr>
          <w:lang w:eastAsia="en-GB"/>
        </w:rPr>
      </w:pPr>
      <w:r w:rsidRPr="00101198">
        <w:rPr>
          <w:lang w:eastAsia="en-GB"/>
        </w:rPr>
        <w:t xml:space="preserve">Must not refuse to serve you or refuse to take you on as a service user, patient </w:t>
      </w:r>
      <w:r w:rsidR="00A37C11">
        <w:rPr>
          <w:lang w:eastAsia="en-GB"/>
        </w:rPr>
        <w:t>or </w:t>
      </w:r>
      <w:r w:rsidRPr="00101198">
        <w:rPr>
          <w:lang w:eastAsia="en-GB"/>
        </w:rPr>
        <w:t xml:space="preserve">client. </w:t>
      </w:r>
    </w:p>
    <w:tbl>
      <w:tblPr>
        <w:tblStyle w:val="TableGrid"/>
        <w:tblW w:w="5000" w:type="pct"/>
        <w:tblInd w:w="425" w:type="dxa"/>
        <w:tblLook w:val="04A0" w:firstRow="1" w:lastRow="0" w:firstColumn="1" w:lastColumn="0" w:noHBand="0" w:noVBand="1"/>
      </w:tblPr>
      <w:tblGrid>
        <w:gridCol w:w="9286"/>
      </w:tblGrid>
      <w:tr w:rsidR="006C0561" w:rsidRPr="006C0561" w14:paraId="7B3F4A07" w14:textId="77777777" w:rsidTr="006C0561">
        <w:tc>
          <w:tcPr>
            <w:tcW w:w="5000" w:type="pct"/>
            <w:tcBorders>
              <w:top w:val="nil"/>
              <w:left w:val="nil"/>
              <w:bottom w:val="nil"/>
              <w:right w:val="nil"/>
            </w:tcBorders>
            <w:shd w:val="clear" w:color="auto" w:fill="DBE5F1" w:themeFill="accent1" w:themeFillTint="33"/>
          </w:tcPr>
          <w:p w14:paraId="0762C764" w14:textId="77777777" w:rsidR="006C0561" w:rsidRPr="006C0561" w:rsidRDefault="006C0561" w:rsidP="006C0561">
            <w:pPr>
              <w:rPr>
                <w:rStyle w:val="Strong"/>
              </w:rPr>
            </w:pPr>
            <w:r w:rsidRPr="006C0561">
              <w:rPr>
                <w:rStyle w:val="Strong"/>
              </w:rPr>
              <w:t>For example:</w:t>
            </w:r>
          </w:p>
          <w:p w14:paraId="1738A063" w14:textId="0BE92C2D" w:rsidR="006C0561" w:rsidRPr="006C0561" w:rsidRDefault="006C0561" w:rsidP="006C0561">
            <w:pPr>
              <w:pStyle w:val="ListBullet"/>
            </w:pPr>
            <w:r w:rsidRPr="006C0561">
              <w:t>A nurse must not refuse to treat someone because of a protected characteristic.</w:t>
            </w:r>
          </w:p>
          <w:p w14:paraId="6DB60734" w14:textId="218BD14D" w:rsidR="006C0561" w:rsidRPr="006C0561" w:rsidRDefault="006C0561" w:rsidP="006C0561">
            <w:pPr>
              <w:pStyle w:val="ListBullet"/>
            </w:pPr>
            <w:r w:rsidRPr="006C0561">
              <w:t>A social care provider must not say it will not take people with a particular religion or belief as a client (unless it comes within a charity or religion or belief exception which allows this).</w:t>
            </w:r>
          </w:p>
        </w:tc>
      </w:tr>
    </w:tbl>
    <w:p w14:paraId="5D78C17A" w14:textId="08B1E108" w:rsidR="006C0561" w:rsidRPr="00101198" w:rsidRDefault="0025118A" w:rsidP="0025118A">
      <w:pPr>
        <w:pStyle w:val="ListBullet"/>
        <w:rPr>
          <w:lang w:eastAsia="en-GB"/>
        </w:rPr>
      </w:pPr>
      <w:r w:rsidRPr="00101198">
        <w:rPr>
          <w:lang w:eastAsia="en-GB"/>
        </w:rPr>
        <w:t xml:space="preserve">Must not stop serving or working for you if they still serve or work for other service users, patients or clients who do not have the same protected characteristic. </w:t>
      </w:r>
    </w:p>
    <w:tbl>
      <w:tblPr>
        <w:tblStyle w:val="TableGrid"/>
        <w:tblW w:w="5000" w:type="pct"/>
        <w:tblInd w:w="425" w:type="dxa"/>
        <w:tblLook w:val="04A0" w:firstRow="1" w:lastRow="0" w:firstColumn="1" w:lastColumn="0" w:noHBand="0" w:noVBand="1"/>
      </w:tblPr>
      <w:tblGrid>
        <w:gridCol w:w="9286"/>
      </w:tblGrid>
      <w:tr w:rsidR="006C0561" w14:paraId="199EEEDD" w14:textId="77777777" w:rsidTr="006C0561">
        <w:tc>
          <w:tcPr>
            <w:tcW w:w="5000" w:type="pct"/>
            <w:tcBorders>
              <w:top w:val="nil"/>
              <w:left w:val="nil"/>
              <w:bottom w:val="nil"/>
              <w:right w:val="nil"/>
            </w:tcBorders>
            <w:shd w:val="clear" w:color="auto" w:fill="DBE5F1" w:themeFill="accent1" w:themeFillTint="33"/>
          </w:tcPr>
          <w:p w14:paraId="22470531" w14:textId="14B979CE" w:rsidR="006C0561" w:rsidRDefault="006C0561" w:rsidP="006C0561">
            <w:r w:rsidRPr="006C0561">
              <w:rPr>
                <w:rStyle w:val="Strong"/>
              </w:rPr>
              <w:t>For example:</w:t>
            </w:r>
            <w:r w:rsidRPr="00101198">
              <w:t xml:space="preserve"> A social care provider</w:t>
            </w:r>
            <w:r>
              <w:t>,</w:t>
            </w:r>
            <w:r w:rsidRPr="00101198">
              <w:t xml:space="preserve"> which provides care in people’s own homes</w:t>
            </w:r>
            <w:r>
              <w:t>,</w:t>
            </w:r>
            <w:r w:rsidRPr="00101198">
              <w:t xml:space="preserve"> must not withdraw its service from disabled people they find out have a particular mental health condition if they go on offering home visits to other clients who do not have that condition.</w:t>
            </w:r>
          </w:p>
        </w:tc>
      </w:tr>
    </w:tbl>
    <w:p w14:paraId="41C98A48" w14:textId="21BC25ED" w:rsidR="006C0561" w:rsidRPr="00101198" w:rsidRDefault="0025118A" w:rsidP="0025118A">
      <w:pPr>
        <w:pStyle w:val="ListBullet"/>
        <w:rPr>
          <w:lang w:eastAsia="en-GB"/>
        </w:rPr>
      </w:pPr>
      <w:r w:rsidRPr="00101198">
        <w:rPr>
          <w:lang w:eastAsia="en-GB"/>
        </w:rPr>
        <w:t xml:space="preserve">Must not give you a service of a worse quality or in a worse way than they would usually provide. </w:t>
      </w:r>
    </w:p>
    <w:tbl>
      <w:tblPr>
        <w:tblStyle w:val="TableGrid"/>
        <w:tblW w:w="5000" w:type="pct"/>
        <w:tblInd w:w="425" w:type="dxa"/>
        <w:tblLook w:val="04A0" w:firstRow="1" w:lastRow="0" w:firstColumn="1" w:lastColumn="0" w:noHBand="0" w:noVBand="1"/>
      </w:tblPr>
      <w:tblGrid>
        <w:gridCol w:w="9286"/>
      </w:tblGrid>
      <w:tr w:rsidR="006C0561" w14:paraId="6484476E" w14:textId="77777777" w:rsidTr="006C0561">
        <w:tc>
          <w:tcPr>
            <w:tcW w:w="5000" w:type="pct"/>
            <w:tcBorders>
              <w:top w:val="nil"/>
              <w:left w:val="nil"/>
              <w:bottom w:val="nil"/>
              <w:right w:val="nil"/>
            </w:tcBorders>
            <w:shd w:val="clear" w:color="auto" w:fill="DBE5F1" w:themeFill="accent1" w:themeFillTint="33"/>
          </w:tcPr>
          <w:p w14:paraId="5C73E0CF" w14:textId="0BCB30AF" w:rsidR="006C0561" w:rsidRDefault="006C0561" w:rsidP="006C0561">
            <w:r w:rsidRPr="006C0561">
              <w:rPr>
                <w:rStyle w:val="Strong"/>
              </w:rPr>
              <w:t>For example:</w:t>
            </w:r>
            <w:r w:rsidRPr="00101198">
              <w:t xml:space="preserve"> A healthcare provider must not take twice as long to make a decision about whether to treat someone if this is because of a protected characteristic.</w:t>
            </w:r>
          </w:p>
        </w:tc>
      </w:tr>
    </w:tbl>
    <w:p w14:paraId="6D9E8DC1" w14:textId="77777777" w:rsidR="00A37C11" w:rsidRPr="00A37C11" w:rsidRDefault="00A37C11" w:rsidP="00A37C11"/>
    <w:p w14:paraId="0578802C" w14:textId="77777777" w:rsidR="00A37C11" w:rsidRPr="00A37C11" w:rsidRDefault="00A37C11" w:rsidP="00A37C11">
      <w:r w:rsidRPr="00A37C11">
        <w:br w:type="page"/>
      </w:r>
    </w:p>
    <w:p w14:paraId="24C38B17" w14:textId="76B128D6" w:rsidR="006C0561" w:rsidRPr="00101198" w:rsidRDefault="0025118A" w:rsidP="0025118A">
      <w:pPr>
        <w:pStyle w:val="ListBullet"/>
        <w:rPr>
          <w:lang w:eastAsia="en-GB"/>
        </w:rPr>
      </w:pPr>
      <w:r w:rsidRPr="00101198">
        <w:rPr>
          <w:lang w:eastAsia="en-GB"/>
        </w:rPr>
        <w:t xml:space="preserve">Must not give you worse terms of service than they would normally offer. </w:t>
      </w:r>
    </w:p>
    <w:tbl>
      <w:tblPr>
        <w:tblStyle w:val="TableGrid"/>
        <w:tblW w:w="5000" w:type="pct"/>
        <w:tblInd w:w="425" w:type="dxa"/>
        <w:tblLook w:val="04A0" w:firstRow="1" w:lastRow="0" w:firstColumn="1" w:lastColumn="0" w:noHBand="0" w:noVBand="1"/>
      </w:tblPr>
      <w:tblGrid>
        <w:gridCol w:w="9286"/>
      </w:tblGrid>
      <w:tr w:rsidR="006C0561" w:rsidRPr="006C0561" w14:paraId="30171897" w14:textId="77777777" w:rsidTr="006C0561">
        <w:tc>
          <w:tcPr>
            <w:tcW w:w="5000" w:type="pct"/>
            <w:tcBorders>
              <w:top w:val="nil"/>
              <w:left w:val="nil"/>
              <w:bottom w:val="nil"/>
              <w:right w:val="nil"/>
            </w:tcBorders>
            <w:shd w:val="clear" w:color="auto" w:fill="DBE5F1" w:themeFill="accent1" w:themeFillTint="33"/>
          </w:tcPr>
          <w:p w14:paraId="49DCA0F1" w14:textId="303AEA1E" w:rsidR="006C0561" w:rsidRPr="006C0561" w:rsidRDefault="006C0561" w:rsidP="006C0561">
            <w:r w:rsidRPr="006C0561">
              <w:rPr>
                <w:rStyle w:val="Strong"/>
              </w:rPr>
              <w:t>For example:</w:t>
            </w:r>
            <w:r w:rsidRPr="006C0561">
              <w:t xml:space="preserve"> If a service is paid for, a healthcare or social care provider must not charge someone more for the same service if this is because of a particular protected characteristic. </w:t>
            </w:r>
          </w:p>
        </w:tc>
      </w:tr>
    </w:tbl>
    <w:p w14:paraId="765E0C38" w14:textId="6F855F0E" w:rsidR="006C0561" w:rsidRPr="00101198" w:rsidRDefault="0025118A" w:rsidP="0025118A">
      <w:pPr>
        <w:pStyle w:val="ListBullet"/>
        <w:numPr>
          <w:ilvl w:val="0"/>
          <w:numId w:val="25"/>
        </w:numPr>
        <w:rPr>
          <w:lang w:eastAsia="en-GB"/>
        </w:rPr>
      </w:pPr>
      <w:r w:rsidRPr="00101198">
        <w:rPr>
          <w:lang w:eastAsia="en-GB"/>
        </w:rPr>
        <w:t xml:space="preserve">Must not put you at any other disadvantage. </w:t>
      </w:r>
    </w:p>
    <w:tbl>
      <w:tblPr>
        <w:tblStyle w:val="TableGrid"/>
        <w:tblW w:w="5000" w:type="pct"/>
        <w:tblInd w:w="425" w:type="dxa"/>
        <w:tblLook w:val="04A0" w:firstRow="1" w:lastRow="0" w:firstColumn="1" w:lastColumn="0" w:noHBand="0" w:noVBand="1"/>
      </w:tblPr>
      <w:tblGrid>
        <w:gridCol w:w="9286"/>
      </w:tblGrid>
      <w:tr w:rsidR="006C0561" w14:paraId="5AA0FB59" w14:textId="77777777" w:rsidTr="006C0561">
        <w:tc>
          <w:tcPr>
            <w:tcW w:w="5000" w:type="pct"/>
            <w:tcBorders>
              <w:top w:val="nil"/>
              <w:left w:val="nil"/>
              <w:bottom w:val="nil"/>
              <w:right w:val="nil"/>
            </w:tcBorders>
            <w:shd w:val="clear" w:color="auto" w:fill="DBE5F1" w:themeFill="accent1" w:themeFillTint="33"/>
          </w:tcPr>
          <w:p w14:paraId="70251B9B" w14:textId="1464DF02" w:rsidR="006C0561" w:rsidRDefault="006C0561" w:rsidP="006C0561">
            <w:r w:rsidRPr="006C0561">
              <w:rPr>
                <w:rStyle w:val="Strong"/>
              </w:rPr>
              <w:t>For example:</w:t>
            </w:r>
            <w:r w:rsidRPr="00101198">
              <w:t xml:space="preserve"> A health or social care provider must not make it harder for someone</w:t>
            </w:r>
            <w:r>
              <w:t xml:space="preserve"> with a protected characteristic</w:t>
            </w:r>
            <w:r w:rsidRPr="00101198">
              <w:t xml:space="preserve"> to access their services.</w:t>
            </w:r>
          </w:p>
        </w:tc>
      </w:tr>
    </w:tbl>
    <w:p w14:paraId="7E3316B3" w14:textId="77777777" w:rsidR="0025118A" w:rsidRPr="00101198" w:rsidRDefault="0025118A" w:rsidP="00921E87">
      <w:pPr>
        <w:pStyle w:val="L4Headers"/>
        <w:rPr>
          <w:lang w:eastAsia="en-GB"/>
        </w:rPr>
      </w:pPr>
      <w:r w:rsidRPr="00101198">
        <w:rPr>
          <w:lang w:eastAsia="en-GB"/>
        </w:rPr>
        <w:t>Is the way I’ve been treated unlawful discrimination?</w:t>
      </w:r>
    </w:p>
    <w:p w14:paraId="08FAC4DF" w14:textId="77777777" w:rsidR="0025118A" w:rsidRPr="00101198" w:rsidRDefault="0025118A" w:rsidP="0025118A">
      <w:pPr>
        <w:rPr>
          <w:lang w:eastAsia="en-GB"/>
        </w:rPr>
      </w:pPr>
      <w:r w:rsidRPr="00101198">
        <w:rPr>
          <w:lang w:eastAsia="en-GB"/>
        </w:rPr>
        <w:t>Remember, a healthcare or social care provider may refuse you a service because of a judgment about your needs as a patient, client or service user. Or they may provide you with a different service from that which they provide to other people. This may even be related to your protected characteristics; for example, a person’s sex or ethnic origin can make them more likely to have a particular medical condition. There is sometimes, though not always, a close relationship between a disabled person’s impairment and a medical condition for which they require treatment.</w:t>
      </w:r>
    </w:p>
    <w:p w14:paraId="175F4B99" w14:textId="77777777" w:rsidR="0025118A" w:rsidRPr="00101198" w:rsidRDefault="0025118A" w:rsidP="0025118A">
      <w:pPr>
        <w:rPr>
          <w:lang w:eastAsia="en-GB"/>
        </w:rPr>
      </w:pPr>
      <w:r w:rsidRPr="00101198">
        <w:rPr>
          <w:lang w:eastAsia="en-GB"/>
        </w:rPr>
        <w:t>The important question is whether what the healthcare or social care provider has done is different because of an assessment of your needs as a patient, client or service user, or whether it comes within the definition of unlawful discrimination which is explained</w:t>
      </w:r>
      <w:r>
        <w:rPr>
          <w:lang w:eastAsia="en-GB"/>
        </w:rPr>
        <w:t xml:space="preserve"> earlier in this guide</w:t>
      </w:r>
      <w:r w:rsidRPr="00101198">
        <w:rPr>
          <w:lang w:eastAsia="en-GB"/>
        </w:rPr>
        <w:t>.</w:t>
      </w:r>
    </w:p>
    <w:p w14:paraId="3DE3E2FB" w14:textId="77777777" w:rsidR="0025118A" w:rsidRPr="00101198" w:rsidRDefault="0025118A" w:rsidP="0025118A">
      <w:pPr>
        <w:rPr>
          <w:lang w:eastAsia="en-GB"/>
        </w:rPr>
      </w:pPr>
      <w:r w:rsidRPr="00101198">
        <w:rPr>
          <w:lang w:eastAsia="en-GB"/>
        </w:rPr>
        <w:t>The reason for the way the service provider has acted will probably be important:</w:t>
      </w:r>
    </w:p>
    <w:p w14:paraId="6A878C13" w14:textId="77777777" w:rsidR="0025118A" w:rsidRPr="00101198" w:rsidRDefault="0025118A" w:rsidP="0025118A">
      <w:pPr>
        <w:pStyle w:val="ListBullet"/>
        <w:rPr>
          <w:lang w:eastAsia="en-GB"/>
        </w:rPr>
      </w:pPr>
      <w:r w:rsidRPr="00101198">
        <w:rPr>
          <w:lang w:eastAsia="en-GB"/>
        </w:rPr>
        <w:t>Did they do something because of a protected characteristic which:</w:t>
      </w:r>
    </w:p>
    <w:p w14:paraId="6D15AD62" w14:textId="77777777" w:rsidR="0025118A" w:rsidRPr="00101198" w:rsidRDefault="0025118A" w:rsidP="00921E87">
      <w:pPr>
        <w:pStyle w:val="ListBullet2"/>
      </w:pPr>
      <w:r w:rsidRPr="00101198">
        <w:t>is yours or</w:t>
      </w:r>
    </w:p>
    <w:p w14:paraId="73A98BCC" w14:textId="77777777" w:rsidR="0025118A" w:rsidRPr="00101198" w:rsidRDefault="0025118A" w:rsidP="00921E87">
      <w:pPr>
        <w:pStyle w:val="ListBullet2"/>
      </w:pPr>
      <w:r w:rsidRPr="00101198">
        <w:t xml:space="preserve">belongs to someone you are </w:t>
      </w:r>
      <w:r w:rsidRPr="006C0561">
        <w:rPr>
          <w:rStyle w:val="Strong"/>
        </w:rPr>
        <w:t>associated with</w:t>
      </w:r>
      <w:r w:rsidRPr="00101198">
        <w:t>, or</w:t>
      </w:r>
    </w:p>
    <w:p w14:paraId="4A651369" w14:textId="77777777" w:rsidR="0025118A" w:rsidRPr="00101198" w:rsidRDefault="0025118A" w:rsidP="00921E87">
      <w:pPr>
        <w:pStyle w:val="ListBullet2"/>
      </w:pPr>
      <w:r w:rsidRPr="00101198">
        <w:t>is a protected characteristic they wrongly thought you had?</w:t>
      </w:r>
    </w:p>
    <w:p w14:paraId="22A67831" w14:textId="77777777" w:rsidR="0025118A" w:rsidRPr="00101198" w:rsidRDefault="0025118A" w:rsidP="0025118A">
      <w:pPr>
        <w:pStyle w:val="ListBullet"/>
        <w:rPr>
          <w:lang w:eastAsia="en-GB"/>
        </w:rPr>
      </w:pPr>
      <w:r w:rsidRPr="00101198">
        <w:rPr>
          <w:lang w:eastAsia="en-GB"/>
        </w:rPr>
        <w:t xml:space="preserve">Or has what they have done had a worse impact on you and other people with the same protected characteristic? If so, their reason might help you work out if what they have done is </w:t>
      </w:r>
      <w:r w:rsidRPr="006C0561">
        <w:rPr>
          <w:rStyle w:val="Strong"/>
        </w:rPr>
        <w:t>objectively justified</w:t>
      </w:r>
      <w:r w:rsidRPr="00101198">
        <w:rPr>
          <w:lang w:eastAsia="en-GB"/>
        </w:rPr>
        <w:t>.</w:t>
      </w:r>
    </w:p>
    <w:p w14:paraId="675DA97E" w14:textId="77777777" w:rsidR="0025118A" w:rsidRPr="00101198" w:rsidRDefault="0025118A" w:rsidP="0025118A">
      <w:pPr>
        <w:pStyle w:val="ListBullet"/>
        <w:rPr>
          <w:lang w:eastAsia="en-GB"/>
        </w:rPr>
      </w:pPr>
      <w:r w:rsidRPr="00101198">
        <w:rPr>
          <w:lang w:eastAsia="en-GB"/>
        </w:rPr>
        <w:t>Or, if you are a disabled person, have you been treated badly because of something connected to (or as the law puts it, arising from) your disability? Or has the service provider failed to make reasonable adjustments?</w:t>
      </w:r>
    </w:p>
    <w:p w14:paraId="0F3C41BC" w14:textId="77777777" w:rsidR="0025118A" w:rsidRPr="00101198" w:rsidRDefault="0025118A" w:rsidP="0025118A">
      <w:pPr>
        <w:pStyle w:val="ListBullet"/>
        <w:rPr>
          <w:lang w:eastAsia="en-GB"/>
        </w:rPr>
      </w:pPr>
      <w:r w:rsidRPr="00101198">
        <w:rPr>
          <w:lang w:eastAsia="en-GB"/>
        </w:rPr>
        <w:t>Or does what they have done come within any of the exceptions which are explained later in this guide?</w:t>
      </w:r>
    </w:p>
    <w:p w14:paraId="15B27F8C" w14:textId="77777777" w:rsidR="0025118A" w:rsidRPr="00101198" w:rsidRDefault="0025118A" w:rsidP="001721DC">
      <w:pPr>
        <w:pStyle w:val="ListBullet"/>
        <w:rPr>
          <w:lang w:eastAsia="en-GB"/>
        </w:rPr>
      </w:pPr>
      <w:r w:rsidRPr="00101198">
        <w:rPr>
          <w:lang w:eastAsia="en-GB"/>
        </w:rPr>
        <w:t xml:space="preserve">If you believe that what they did was </w:t>
      </w:r>
      <w:r w:rsidRPr="006C0561">
        <w:rPr>
          <w:rStyle w:val="Strong"/>
        </w:rPr>
        <w:t>harassment</w:t>
      </w:r>
      <w:r w:rsidRPr="00101198">
        <w:rPr>
          <w:lang w:eastAsia="en-GB"/>
        </w:rPr>
        <w:t>, does it relate to a protected characteristic?</w:t>
      </w:r>
    </w:p>
    <w:p w14:paraId="7BD3E4D0" w14:textId="77777777" w:rsidR="0025118A" w:rsidRPr="00101198" w:rsidRDefault="0025118A" w:rsidP="0025118A">
      <w:pPr>
        <w:pStyle w:val="ListBullet"/>
        <w:rPr>
          <w:lang w:eastAsia="en-GB"/>
        </w:rPr>
      </w:pPr>
      <w:r w:rsidRPr="00101198">
        <w:rPr>
          <w:lang w:eastAsia="en-GB"/>
        </w:rPr>
        <w:t xml:space="preserve">If you believe you have been </w:t>
      </w:r>
      <w:r w:rsidRPr="006C0561">
        <w:rPr>
          <w:rStyle w:val="Strong"/>
        </w:rPr>
        <w:t>victimised</w:t>
      </w:r>
      <w:r w:rsidRPr="00101198">
        <w:rPr>
          <w:lang w:eastAsia="en-GB"/>
        </w:rPr>
        <w:t xml:space="preserve">, what </w:t>
      </w:r>
      <w:r w:rsidR="00C31337">
        <w:rPr>
          <w:lang w:eastAsia="en-GB"/>
        </w:rPr>
        <w:t>did you do</w:t>
      </w:r>
      <w:r w:rsidRPr="00101198">
        <w:rPr>
          <w:lang w:eastAsia="en-GB"/>
        </w:rPr>
        <w:t xml:space="preserve"> to uphold your own or someone else’s equality law rights that has led to your worse treatment now?</w:t>
      </w:r>
    </w:p>
    <w:p w14:paraId="0AFE004B" w14:textId="20866041" w:rsidR="0025118A" w:rsidRPr="00101198" w:rsidRDefault="0025118A" w:rsidP="0025118A">
      <w:pPr>
        <w:rPr>
          <w:lang w:eastAsia="en-GB"/>
        </w:rPr>
      </w:pPr>
      <w:r w:rsidRPr="00101198">
        <w:rPr>
          <w:lang w:eastAsia="en-GB"/>
        </w:rPr>
        <w:t>If you want help in working out if the service provider is acting within equality law, or to complain about what it has done, you can read more about how</w:t>
      </w:r>
      <w:r>
        <w:rPr>
          <w:lang w:eastAsia="en-GB"/>
        </w:rPr>
        <w:t xml:space="preserve"> to do this in </w:t>
      </w:r>
      <w:hyperlink w:anchor="chapter5" w:history="1">
        <w:r w:rsidRPr="00AA46A5">
          <w:rPr>
            <w:rStyle w:val="Hyperlink"/>
            <w:rFonts w:cs="Times New Roman"/>
            <w:szCs w:val="24"/>
            <w:lang w:eastAsia="en-GB"/>
          </w:rPr>
          <w:t>Chapter 5</w:t>
        </w:r>
      </w:hyperlink>
      <w:r>
        <w:rPr>
          <w:lang w:eastAsia="en-GB"/>
        </w:rPr>
        <w:t xml:space="preserve">: </w:t>
      </w:r>
      <w:r w:rsidR="002A1957" w:rsidRPr="00AA46A5">
        <w:rPr>
          <w:rStyle w:val="Emphasis"/>
        </w:rPr>
        <w:t>‘</w:t>
      </w:r>
      <w:r w:rsidRPr="006824BA">
        <w:rPr>
          <w:rStyle w:val="Emphasis"/>
          <w:i w:val="0"/>
        </w:rPr>
        <w:t>What to do if you think you’ve been discriminated against</w:t>
      </w:r>
      <w:r w:rsidR="002A1957" w:rsidRPr="006824BA">
        <w:rPr>
          <w:rStyle w:val="Emphasis"/>
          <w:i w:val="0"/>
        </w:rPr>
        <w:t>’</w:t>
      </w:r>
      <w:r w:rsidRPr="00101198">
        <w:rPr>
          <w:lang w:eastAsia="en-GB"/>
        </w:rPr>
        <w:t>.</w:t>
      </w:r>
    </w:p>
    <w:p w14:paraId="4D5DF31E" w14:textId="5F343C9D" w:rsidR="0025118A" w:rsidRPr="00101198" w:rsidRDefault="0025118A" w:rsidP="00590F8B">
      <w:pPr>
        <w:pStyle w:val="L3Heading"/>
      </w:pPr>
      <w:bookmarkStart w:id="42" w:name="_Toc297300495"/>
      <w:r w:rsidRPr="00101198">
        <w:t>Standards of behaviour</w:t>
      </w:r>
      <w:bookmarkEnd w:id="42"/>
    </w:p>
    <w:p w14:paraId="2844B6BE" w14:textId="77777777" w:rsidR="0025118A" w:rsidRPr="00101198" w:rsidRDefault="0025118A" w:rsidP="0025118A">
      <w:pPr>
        <w:rPr>
          <w:lang w:eastAsia="en-GB"/>
        </w:rPr>
      </w:pPr>
      <w:r w:rsidRPr="00101198">
        <w:rPr>
          <w:lang w:eastAsia="en-GB"/>
        </w:rPr>
        <w:t>A healthcare or social care provider can still tell you what standards of behaviour they want from you as a service user, patient or client. For example, behaving with respect towards their staff and to other service users.</w:t>
      </w:r>
    </w:p>
    <w:p w14:paraId="6F235FA0" w14:textId="77777777" w:rsidR="0025118A" w:rsidRPr="00101198" w:rsidRDefault="0025118A" w:rsidP="0025118A">
      <w:pPr>
        <w:rPr>
          <w:lang w:eastAsia="en-GB"/>
        </w:rPr>
      </w:pPr>
      <w:r w:rsidRPr="00101198">
        <w:rPr>
          <w:lang w:eastAsia="en-GB"/>
        </w:rPr>
        <w:t xml:space="preserve">Sometimes, how someone behaves may be linked to a protected characteristic. </w:t>
      </w:r>
    </w:p>
    <w:p w14:paraId="3B187DB4" w14:textId="77777777" w:rsidR="0025118A" w:rsidRPr="00101198" w:rsidRDefault="0025118A" w:rsidP="0025118A">
      <w:pPr>
        <w:rPr>
          <w:lang w:eastAsia="en-GB"/>
        </w:rPr>
      </w:pPr>
      <w:r w:rsidRPr="00101198">
        <w:rPr>
          <w:lang w:eastAsia="en-GB"/>
        </w:rPr>
        <w:t xml:space="preserve">If a healthcare or social care provider sets standards of behaviour for their service users, patients or clients which have a worse impact on people with a particular protected characteristic than on people who do not have that characteristic, they need to make sure that they can </w:t>
      </w:r>
      <w:r w:rsidRPr="006C0561">
        <w:rPr>
          <w:rStyle w:val="Strong"/>
        </w:rPr>
        <w:t>objectively justify</w:t>
      </w:r>
      <w:r w:rsidRPr="00101198">
        <w:rPr>
          <w:lang w:eastAsia="en-GB"/>
        </w:rPr>
        <w:t xml:space="preserve"> what they have done. Otherwise, it will be indirect discrimination.</w:t>
      </w:r>
    </w:p>
    <w:p w14:paraId="3916D9E6" w14:textId="68406827" w:rsidR="006C0561" w:rsidRPr="00101198" w:rsidRDefault="0025118A" w:rsidP="0025118A">
      <w:pPr>
        <w:rPr>
          <w:lang w:eastAsia="en-GB"/>
        </w:rPr>
      </w:pPr>
      <w:r w:rsidRPr="00101198">
        <w:rPr>
          <w:lang w:eastAsia="en-GB"/>
        </w:rPr>
        <w:t xml:space="preserve">If they do set standards of behaviour, they must make reasonable adjustments to the standards for disabled people and avoid discrimination arising from disability. You can read more about reasonable adjustments </w:t>
      </w:r>
      <w:r>
        <w:rPr>
          <w:lang w:eastAsia="en-GB"/>
        </w:rPr>
        <w:t xml:space="preserve">in </w:t>
      </w:r>
      <w:hyperlink w:anchor="chapter4" w:history="1">
        <w:r w:rsidRPr="00AA46A5">
          <w:rPr>
            <w:rStyle w:val="Hyperlink"/>
            <w:rFonts w:cs="Times New Roman"/>
            <w:szCs w:val="24"/>
            <w:lang w:eastAsia="en-GB"/>
          </w:rPr>
          <w:t>Chapter 4</w:t>
        </w:r>
      </w:hyperlink>
      <w:r w:rsidRPr="00101198">
        <w:rPr>
          <w:lang w:eastAsia="en-GB"/>
        </w:rPr>
        <w:t>.</w:t>
      </w:r>
    </w:p>
    <w:tbl>
      <w:tblPr>
        <w:tblStyle w:val="TableGrid"/>
        <w:tblW w:w="5000" w:type="pct"/>
        <w:tblLook w:val="04A0" w:firstRow="1" w:lastRow="0" w:firstColumn="1" w:lastColumn="0" w:noHBand="0" w:noVBand="1"/>
      </w:tblPr>
      <w:tblGrid>
        <w:gridCol w:w="9286"/>
      </w:tblGrid>
      <w:tr w:rsidR="006C0561" w14:paraId="222A08F7" w14:textId="77777777" w:rsidTr="006C0561">
        <w:tc>
          <w:tcPr>
            <w:tcW w:w="5000" w:type="pct"/>
            <w:tcBorders>
              <w:top w:val="nil"/>
              <w:left w:val="nil"/>
              <w:bottom w:val="nil"/>
              <w:right w:val="nil"/>
            </w:tcBorders>
            <w:shd w:val="clear" w:color="auto" w:fill="DBE5F1" w:themeFill="accent1" w:themeFillTint="33"/>
          </w:tcPr>
          <w:p w14:paraId="4AAADAB3" w14:textId="458A2F93" w:rsidR="006C0561" w:rsidRPr="00101198" w:rsidRDefault="006C0561" w:rsidP="006C0561">
            <w:pPr>
              <w:rPr>
                <w:lang w:eastAsia="en-GB"/>
              </w:rPr>
            </w:pPr>
            <w:r w:rsidRPr="006C0561">
              <w:rPr>
                <w:rStyle w:val="Strong"/>
              </w:rPr>
              <w:t>For example:</w:t>
            </w:r>
            <w:r w:rsidRPr="00101198">
              <w:rPr>
                <w:lang w:eastAsia="en-GB"/>
              </w:rPr>
              <w:t xml:space="preserve"> A district nurse visits a disabled person at home to dress an injury. The patient has dementia. The nurse knows that this means they are sometimes uncooperative and difficult to treat. The nurse does not report this as a refusal of treatment as they might with a non-disabled patient. In behaving like this, the nurse has made a reasonable adjustment to the standards of behaviour they apply.</w:t>
            </w:r>
          </w:p>
          <w:p w14:paraId="1AED718E" w14:textId="614FE64E" w:rsidR="006C0561" w:rsidRDefault="006C0561" w:rsidP="0025118A">
            <w:pPr>
              <w:rPr>
                <w:lang w:eastAsia="en-GB"/>
              </w:rPr>
            </w:pPr>
            <w:r w:rsidRPr="00101198">
              <w:rPr>
                <w:lang w:eastAsia="en-GB"/>
              </w:rPr>
              <w:t xml:space="preserve">If the nurse does decide that the patient’s behaviour was causing more significant difficulties for them and they are certain that they have made all the adjustments it is reasonable for them to make they can only stop the home visits and, for example, insist that the patient attends the local surgery to have their injury dressed if they can objectively justify this. If they cannot </w:t>
            </w:r>
            <w:r w:rsidRPr="00300823">
              <w:rPr>
                <w:b/>
                <w:lang w:eastAsia="en-GB"/>
              </w:rPr>
              <w:t>objectively justify</w:t>
            </w:r>
            <w:r w:rsidRPr="00101198">
              <w:rPr>
                <w:lang w:eastAsia="en-GB"/>
              </w:rPr>
              <w:t xml:space="preserve"> this, it will be discrimination arising from disability and/or indirect discrimination because of the patient’s disability. </w:t>
            </w:r>
          </w:p>
        </w:tc>
      </w:tr>
    </w:tbl>
    <w:p w14:paraId="1DA20948" w14:textId="63C32CAE" w:rsidR="006C0561" w:rsidRDefault="006C0561" w:rsidP="0025118A">
      <w:pPr>
        <w:rPr>
          <w:lang w:eastAsia="en-GB"/>
        </w:rPr>
      </w:pPr>
    </w:p>
    <w:p w14:paraId="5195FDCE" w14:textId="77777777" w:rsidR="006C0561" w:rsidRDefault="006C0561">
      <w:pPr>
        <w:spacing w:before="0" w:after="0" w:line="240" w:lineRule="auto"/>
        <w:rPr>
          <w:lang w:eastAsia="en-GB"/>
        </w:rPr>
      </w:pPr>
      <w:r>
        <w:rPr>
          <w:lang w:eastAsia="en-GB"/>
        </w:rPr>
        <w:br w:type="page"/>
      </w:r>
    </w:p>
    <w:tbl>
      <w:tblPr>
        <w:tblStyle w:val="TableGrid"/>
        <w:tblW w:w="5000" w:type="pct"/>
        <w:tblLook w:val="04A0" w:firstRow="1" w:lastRow="0" w:firstColumn="1" w:lastColumn="0" w:noHBand="0" w:noVBand="1"/>
      </w:tblPr>
      <w:tblGrid>
        <w:gridCol w:w="9286"/>
      </w:tblGrid>
      <w:tr w:rsidR="006C0561" w:rsidRPr="006C0561" w14:paraId="4F76B906" w14:textId="77777777" w:rsidTr="00A44C4F">
        <w:tc>
          <w:tcPr>
            <w:tcW w:w="5000" w:type="pct"/>
            <w:tcBorders>
              <w:top w:val="single" w:sz="4" w:space="0" w:color="E2007A"/>
              <w:left w:val="single" w:sz="4" w:space="0" w:color="E2007A"/>
              <w:bottom w:val="single" w:sz="4" w:space="0" w:color="E2007A"/>
              <w:right w:val="single" w:sz="4" w:space="0" w:color="E2007A"/>
            </w:tcBorders>
          </w:tcPr>
          <w:p w14:paraId="4CF38EEC" w14:textId="77777777" w:rsidR="006C0561" w:rsidRPr="006C0561" w:rsidRDefault="006C0561" w:rsidP="006C0561">
            <w:pPr>
              <w:pStyle w:val="L4Headers"/>
              <w:rPr>
                <w:color w:val="E2007A"/>
              </w:rPr>
            </w:pPr>
            <w:r w:rsidRPr="006C0561">
              <w:rPr>
                <w:color w:val="E2007A"/>
              </w:rPr>
              <w:t>Equality good practice: what to look for if a service provider is doing more than equality law says they must do</w:t>
            </w:r>
          </w:p>
          <w:p w14:paraId="36BEDF8F" w14:textId="77777777" w:rsidR="006C0561" w:rsidRPr="006C0561" w:rsidRDefault="006C0561" w:rsidP="006C0561">
            <w:r w:rsidRPr="006C0561">
              <w:t>This guide tells you what equality law says a service provider must and must not do to avoid unlawful discrimination.</w:t>
            </w:r>
          </w:p>
          <w:p w14:paraId="53933309" w14:textId="77777777" w:rsidR="006C0561" w:rsidRPr="006C0561" w:rsidRDefault="006C0561" w:rsidP="006C0561">
            <w:r w:rsidRPr="006C0561">
              <w:t>If you want to be sure a service provider takes equality seriously, find out if it:</w:t>
            </w:r>
          </w:p>
          <w:p w14:paraId="5119C20D" w14:textId="77777777" w:rsidR="006C0561" w:rsidRPr="006C0561" w:rsidRDefault="006C0561" w:rsidP="006C0561">
            <w:pPr>
              <w:pStyle w:val="ListBullet"/>
            </w:pPr>
            <w:r w:rsidRPr="006C0561">
              <w:t xml:space="preserve">uses an </w:t>
            </w:r>
            <w:r w:rsidRPr="006C0561">
              <w:rPr>
                <w:rStyle w:val="Strong"/>
              </w:rPr>
              <w:t>equality policy</w:t>
            </w:r>
            <w:r w:rsidRPr="006C0561">
              <w:t xml:space="preserve"> to help it check that it has thought about equality in the way it plans what it does and how it does it</w:t>
            </w:r>
          </w:p>
          <w:p w14:paraId="057AB4CC" w14:textId="1284609A" w:rsidR="006C0561" w:rsidRPr="006C0561" w:rsidRDefault="006C0561" w:rsidP="006C0561">
            <w:pPr>
              <w:pStyle w:val="ListBullet"/>
            </w:pPr>
            <w:r w:rsidRPr="006C0561">
              <w:t xml:space="preserve">gives </w:t>
            </w:r>
            <w:r w:rsidRPr="006C0561">
              <w:rPr>
                <w:rStyle w:val="Strong"/>
              </w:rPr>
              <w:t>equality training</w:t>
            </w:r>
            <w:r w:rsidRPr="006C0561">
              <w:t xml:space="preserve"> to everyone who deals with service users, patients or clients, to make sure they know what are the right and wrong ways to behave.</w:t>
            </w:r>
          </w:p>
        </w:tc>
      </w:tr>
    </w:tbl>
    <w:p w14:paraId="191ECBCE" w14:textId="77777777" w:rsidR="0025118A" w:rsidRPr="00101198" w:rsidRDefault="0025118A" w:rsidP="00921E87">
      <w:pPr>
        <w:pStyle w:val="L3Heading"/>
      </w:pPr>
      <w:bookmarkStart w:id="43" w:name="exceptions"/>
      <w:bookmarkStart w:id="44" w:name="_Toc297124714"/>
      <w:bookmarkStart w:id="45" w:name="_Toc297300496"/>
      <w:bookmarkEnd w:id="43"/>
      <w:r w:rsidRPr="00101198">
        <w:t>Services for particular groups</w:t>
      </w:r>
      <w:bookmarkEnd w:id="44"/>
      <w:bookmarkEnd w:id="45"/>
    </w:p>
    <w:p w14:paraId="4D7D51B0" w14:textId="77777777" w:rsidR="0025118A" w:rsidRPr="00101198" w:rsidRDefault="0025118A" w:rsidP="0025118A">
      <w:pPr>
        <w:rPr>
          <w:lang w:eastAsia="en-GB"/>
        </w:rPr>
      </w:pPr>
      <w:r w:rsidRPr="00101198">
        <w:rPr>
          <w:lang w:eastAsia="en-GB"/>
        </w:rPr>
        <w:t>There are some situations in which any healthcare or social care provider can provide (or refuse to provide) all or some of its services to people based on a protected characteristic. These exceptions apply to all organisations. There are some further exceptions which apply just to some particular types of organisation that may provide healthcare or social care services, particularly charities and religion or belief organisations.</w:t>
      </w:r>
    </w:p>
    <w:p w14:paraId="5A260178" w14:textId="491B8244" w:rsidR="006C0561" w:rsidRPr="00101198" w:rsidRDefault="0025118A" w:rsidP="0025118A">
      <w:pPr>
        <w:rPr>
          <w:lang w:eastAsia="en-GB"/>
        </w:rPr>
      </w:pPr>
      <w:r w:rsidRPr="00101198">
        <w:rPr>
          <w:lang w:eastAsia="en-GB"/>
        </w:rPr>
        <w:t xml:space="preserve">As well as these exceptions, equality law allows a healthcare or social care provider to treat disabled people more favourably than non-disabled people. The aim of the law in allowing this is to remove barriers that disabled people would otherwise face to </w:t>
      </w:r>
      <w:r>
        <w:rPr>
          <w:lang w:eastAsia="en-GB"/>
        </w:rPr>
        <w:br/>
      </w:r>
      <w:r w:rsidRPr="00101198">
        <w:rPr>
          <w:lang w:eastAsia="en-GB"/>
        </w:rPr>
        <w:t xml:space="preserve">accessing services. </w:t>
      </w:r>
    </w:p>
    <w:tbl>
      <w:tblPr>
        <w:tblStyle w:val="TableGrid"/>
        <w:tblW w:w="5000" w:type="pct"/>
        <w:tblLook w:val="04A0" w:firstRow="1" w:lastRow="0" w:firstColumn="1" w:lastColumn="0" w:noHBand="0" w:noVBand="1"/>
      </w:tblPr>
      <w:tblGrid>
        <w:gridCol w:w="9286"/>
      </w:tblGrid>
      <w:tr w:rsidR="006C0561" w14:paraId="44F5BC0E" w14:textId="77777777" w:rsidTr="006C0561">
        <w:tc>
          <w:tcPr>
            <w:tcW w:w="5000" w:type="pct"/>
            <w:tcBorders>
              <w:top w:val="nil"/>
              <w:left w:val="nil"/>
              <w:bottom w:val="nil"/>
              <w:right w:val="nil"/>
            </w:tcBorders>
            <w:shd w:val="clear" w:color="auto" w:fill="DBE5F1" w:themeFill="accent1" w:themeFillTint="33"/>
          </w:tcPr>
          <w:p w14:paraId="1FDB8E7B" w14:textId="584F7977" w:rsidR="006C0561" w:rsidRDefault="006C0561" w:rsidP="0025118A">
            <w:pPr>
              <w:rPr>
                <w:lang w:eastAsia="en-GB"/>
              </w:rPr>
            </w:pPr>
            <w:r w:rsidRPr="006C0561">
              <w:rPr>
                <w:rStyle w:val="Strong"/>
              </w:rPr>
              <w:t>For example:</w:t>
            </w:r>
            <w:r w:rsidRPr="00101198">
              <w:rPr>
                <w:lang w:eastAsia="en-GB"/>
              </w:rPr>
              <w:t xml:space="preserve"> A hospital provides parking spaces for disabled patients closer to the entrance so they have less far to go (this may also be a </w:t>
            </w:r>
            <w:r w:rsidRPr="006C0561">
              <w:rPr>
                <w:rStyle w:val="Strong"/>
              </w:rPr>
              <w:t>reasonable adjustment</w:t>
            </w:r>
            <w:r w:rsidRPr="00101198">
              <w:rPr>
                <w:lang w:eastAsia="en-GB"/>
              </w:rPr>
              <w:t>).</w:t>
            </w:r>
          </w:p>
        </w:tc>
      </w:tr>
    </w:tbl>
    <w:p w14:paraId="427F15DB" w14:textId="1478EE8E" w:rsidR="0025118A" w:rsidRPr="00101198" w:rsidRDefault="0025118A" w:rsidP="0025118A">
      <w:pPr>
        <w:rPr>
          <w:lang w:eastAsia="en-GB"/>
        </w:rPr>
      </w:pPr>
      <w:r w:rsidRPr="00101198">
        <w:rPr>
          <w:lang w:eastAsia="en-GB"/>
        </w:rPr>
        <w:t xml:space="preserve">In addition, it may be possible for a healthcare or social care provider to target its services at people with a particular protected characteristic through </w:t>
      </w:r>
      <w:r w:rsidRPr="006C0561">
        <w:rPr>
          <w:rStyle w:val="Strong"/>
        </w:rPr>
        <w:t>positive action</w:t>
      </w:r>
      <w:r w:rsidRPr="00101198">
        <w:rPr>
          <w:lang w:eastAsia="en-GB"/>
        </w:rPr>
        <w:t xml:space="preserve">. The service provider must be able to show that the protected characteristic these people share means they have a different need or a past track record of disadvantage or low participation in the sort of activities the organisation runs. If a service provider is thinking about taking positive action, it must go through a number of steps to decide whether positive action is needed and what sort of action to take. You can read more about this in the </w:t>
      </w:r>
      <w:hyperlink w:anchor="glossary" w:history="1">
        <w:r w:rsidR="007D18D6" w:rsidRPr="00590F8B">
          <w:rPr>
            <w:rStyle w:val="Hyperlink"/>
            <w:rFonts w:cs="Times New Roman"/>
            <w:szCs w:val="24"/>
          </w:rPr>
          <w:t>Glossary</w:t>
        </w:r>
      </w:hyperlink>
      <w:r w:rsidRPr="00101198">
        <w:rPr>
          <w:lang w:eastAsia="en-GB"/>
        </w:rPr>
        <w:t>.</w:t>
      </w:r>
    </w:p>
    <w:p w14:paraId="20764A9A" w14:textId="7BF3B380" w:rsidR="0025118A" w:rsidRPr="00101198" w:rsidRDefault="0025118A" w:rsidP="00921E87">
      <w:pPr>
        <w:pStyle w:val="L4Headers"/>
        <w:rPr>
          <w:lang w:eastAsia="en-GB"/>
        </w:rPr>
      </w:pPr>
      <w:r w:rsidRPr="00101198">
        <w:rPr>
          <w:lang w:eastAsia="en-GB"/>
        </w:rPr>
        <w:t>Services provided to people with a particular protected characteristic</w:t>
      </w:r>
    </w:p>
    <w:p w14:paraId="7518B9D4" w14:textId="77777777" w:rsidR="0038652F" w:rsidRDefault="0038652F" w:rsidP="0038652F">
      <w:pPr>
        <w:rPr>
          <w:lang w:eastAsia="en-GB"/>
        </w:rPr>
      </w:pPr>
      <w:r>
        <w:rPr>
          <w:lang w:eastAsia="en-GB"/>
        </w:rPr>
        <w:t>A voluntary sector or community organisation which</w:t>
      </w:r>
      <w:r w:rsidRPr="00007DA4">
        <w:rPr>
          <w:lang w:eastAsia="en-GB"/>
        </w:rPr>
        <w:t xml:space="preserve"> </w:t>
      </w:r>
      <w:r>
        <w:rPr>
          <w:lang w:eastAsia="en-GB"/>
        </w:rPr>
        <w:t>normally supplies</w:t>
      </w:r>
      <w:r w:rsidRPr="00007DA4">
        <w:rPr>
          <w:lang w:eastAsia="en-GB"/>
        </w:rPr>
        <w:t xml:space="preserve"> services only </w:t>
      </w:r>
      <w:r>
        <w:rPr>
          <w:lang w:eastAsia="en-GB"/>
        </w:rPr>
        <w:t xml:space="preserve">for </w:t>
      </w:r>
      <w:r w:rsidRPr="00007DA4">
        <w:rPr>
          <w:lang w:eastAsia="en-GB"/>
        </w:rPr>
        <w:t>people with a particular protected characteristic (</w:t>
      </w:r>
      <w:r w:rsidR="00253492">
        <w:rPr>
          <w:lang w:eastAsia="en-GB"/>
        </w:rPr>
        <w:t xml:space="preserve">such as people of </w:t>
      </w:r>
      <w:r>
        <w:rPr>
          <w:lang w:eastAsia="en-GB"/>
        </w:rPr>
        <w:t>a particular religion or ethnic group</w:t>
      </w:r>
      <w:r w:rsidRPr="00007DA4">
        <w:rPr>
          <w:lang w:eastAsia="en-GB"/>
        </w:rPr>
        <w:t>)</w:t>
      </w:r>
      <w:r>
        <w:rPr>
          <w:lang w:eastAsia="en-GB"/>
        </w:rPr>
        <w:t xml:space="preserve">, can carry on providing the service the same way. </w:t>
      </w:r>
    </w:p>
    <w:p w14:paraId="478E4CAE" w14:textId="5FA6DBA8" w:rsidR="00A44C4F" w:rsidRPr="00101198" w:rsidRDefault="0038652F" w:rsidP="0025118A">
      <w:pPr>
        <w:rPr>
          <w:lang w:eastAsia="en-GB"/>
        </w:rPr>
      </w:pPr>
      <w:r>
        <w:rPr>
          <w:lang w:eastAsia="en-GB"/>
        </w:rPr>
        <w:t>The organisation can refuse to provide the service to someone who does not have that characteristic if it reasonably thinks it is impracticable for the organisation to provide them with the service.</w:t>
      </w:r>
    </w:p>
    <w:tbl>
      <w:tblPr>
        <w:tblStyle w:val="TableGrid"/>
        <w:tblW w:w="5000" w:type="pct"/>
        <w:tblLook w:val="04A0" w:firstRow="1" w:lastRow="0" w:firstColumn="1" w:lastColumn="0" w:noHBand="0" w:noVBand="1"/>
      </w:tblPr>
      <w:tblGrid>
        <w:gridCol w:w="9286"/>
      </w:tblGrid>
      <w:tr w:rsidR="00A44C4F" w:rsidRPr="002C43EB" w14:paraId="15D49609" w14:textId="77777777" w:rsidTr="002C43EB">
        <w:tc>
          <w:tcPr>
            <w:tcW w:w="5000" w:type="pct"/>
            <w:tcBorders>
              <w:top w:val="nil"/>
              <w:left w:val="nil"/>
              <w:bottom w:val="nil"/>
              <w:right w:val="nil"/>
            </w:tcBorders>
            <w:shd w:val="clear" w:color="auto" w:fill="DBE5F1" w:themeFill="accent1" w:themeFillTint="33"/>
          </w:tcPr>
          <w:p w14:paraId="2FE8ECE3" w14:textId="28FAE886" w:rsidR="00A44C4F" w:rsidRPr="002C43EB" w:rsidRDefault="002C43EB" w:rsidP="002C43EB">
            <w:r w:rsidRPr="002C43EB">
              <w:rPr>
                <w:rStyle w:val="Strong"/>
              </w:rPr>
              <w:t>For example:</w:t>
            </w:r>
            <w:r w:rsidRPr="002C43EB">
              <w:t xml:space="preserve"> A healthcare provider targets a heart disease screening service in an area with a high population of people of South Asian origin. Research has shown that being of South Asian origin puts people at a higher risk of heart disease. If someone who was not from that ethnic background wanted to be screened at that clinic, then the organisation could only refuse them if they reasonably believed it would not be practical to provide the service to that person.</w:t>
            </w:r>
          </w:p>
        </w:tc>
      </w:tr>
    </w:tbl>
    <w:p w14:paraId="42FFBB92" w14:textId="07D9947D" w:rsidR="0025118A" w:rsidRDefault="0025118A" w:rsidP="0025118A">
      <w:pPr>
        <w:rPr>
          <w:lang w:eastAsia="en-GB"/>
        </w:rPr>
      </w:pPr>
      <w:r w:rsidRPr="00101198">
        <w:rPr>
          <w:lang w:eastAsia="en-GB"/>
        </w:rPr>
        <w:t xml:space="preserve">A service provider can also target their advertising or marketing at a group with particular protected characteristics, as long as they do not suggest they will not serve people with a particular characteristic (unless one of the exceptions applies). You can read more about advertising and marketing </w:t>
      </w:r>
      <w:r>
        <w:rPr>
          <w:lang w:eastAsia="en-GB"/>
        </w:rPr>
        <w:t xml:space="preserve">in </w:t>
      </w:r>
      <w:hyperlink w:anchor="chapter2" w:history="1">
        <w:r w:rsidRPr="00AA46A5">
          <w:rPr>
            <w:rStyle w:val="Hyperlink"/>
            <w:rFonts w:cs="Times New Roman"/>
            <w:szCs w:val="24"/>
            <w:lang w:eastAsia="en-GB"/>
          </w:rPr>
          <w:t>Chapter 2</w:t>
        </w:r>
      </w:hyperlink>
      <w:r w:rsidRPr="00101198">
        <w:rPr>
          <w:lang w:eastAsia="en-GB"/>
        </w:rPr>
        <w:t>.</w:t>
      </w:r>
    </w:p>
    <w:p w14:paraId="67CBAAB3" w14:textId="77777777" w:rsidR="006D0F47" w:rsidRPr="00CC1415" w:rsidRDefault="006D0F47" w:rsidP="00921E87">
      <w:pPr>
        <w:pStyle w:val="L4Headers"/>
      </w:pPr>
      <w:r w:rsidRPr="006D0F47">
        <w:t>Concessionary services for persons of particular age groups</w:t>
      </w:r>
    </w:p>
    <w:p w14:paraId="0B608CFE" w14:textId="77777777" w:rsidR="006D0F47" w:rsidRPr="006C0561" w:rsidRDefault="006D0F47" w:rsidP="001721DC">
      <w:pPr>
        <w:widowControl w:val="0"/>
        <w:autoSpaceDE w:val="0"/>
        <w:autoSpaceDN w:val="0"/>
        <w:adjustRightInd w:val="0"/>
        <w:spacing w:after="240"/>
        <w:jc w:val="both"/>
      </w:pPr>
      <w:r>
        <w:rPr>
          <w:rFonts w:cs="Arial"/>
        </w:rPr>
        <w:t>A service provider</w:t>
      </w:r>
      <w:r w:rsidRPr="000865CA">
        <w:rPr>
          <w:rFonts w:cs="Arial"/>
        </w:rPr>
        <w:t xml:space="preserve"> </w:t>
      </w:r>
      <w:r>
        <w:rPr>
          <w:rFonts w:cs="Arial"/>
        </w:rPr>
        <w:t>can give</w:t>
      </w:r>
      <w:r w:rsidRPr="000865CA">
        <w:rPr>
          <w:rFonts w:cs="Arial"/>
        </w:rPr>
        <w:t xml:space="preserve"> concessions to persons of a particular age group</w:t>
      </w:r>
      <w:r>
        <w:rPr>
          <w:rFonts w:cs="Arial"/>
        </w:rPr>
        <w:t xml:space="preserve">, such </w:t>
      </w:r>
      <w:r w:rsidRPr="006C0561">
        <w:t xml:space="preserve">as discounts for pensioners or young persons. </w:t>
      </w:r>
    </w:p>
    <w:p w14:paraId="120D9856" w14:textId="77777777" w:rsidR="0025118A" w:rsidRPr="00101198" w:rsidRDefault="0025118A" w:rsidP="00921E87">
      <w:pPr>
        <w:pStyle w:val="L4Headers"/>
        <w:rPr>
          <w:lang w:eastAsia="en-GB"/>
        </w:rPr>
      </w:pPr>
      <w:r w:rsidRPr="00101198">
        <w:rPr>
          <w:lang w:eastAsia="en-GB"/>
        </w:rPr>
        <w:t>Separate services for men and women and single-sex services</w:t>
      </w:r>
    </w:p>
    <w:p w14:paraId="57A5ACAC" w14:textId="2B5BF24E" w:rsidR="002C43EB" w:rsidRPr="00101198" w:rsidRDefault="0025118A" w:rsidP="0025118A">
      <w:pPr>
        <w:rPr>
          <w:lang w:eastAsia="en-GB"/>
        </w:rPr>
      </w:pPr>
      <w:r w:rsidRPr="00101198">
        <w:rPr>
          <w:lang w:eastAsia="en-GB"/>
        </w:rPr>
        <w:t xml:space="preserve">A healthcare or social care provider is allowed to provide separate services for men and women where providing a combined service (in other words one where men and women had exactly the same service) would not be as effective. </w:t>
      </w:r>
    </w:p>
    <w:tbl>
      <w:tblPr>
        <w:tblStyle w:val="TableGrid"/>
        <w:tblW w:w="5000" w:type="pct"/>
        <w:tblLook w:val="04A0" w:firstRow="1" w:lastRow="0" w:firstColumn="1" w:lastColumn="0" w:noHBand="0" w:noVBand="1"/>
      </w:tblPr>
      <w:tblGrid>
        <w:gridCol w:w="9286"/>
      </w:tblGrid>
      <w:tr w:rsidR="002C43EB" w14:paraId="1B27A013" w14:textId="77777777" w:rsidTr="002C43EB">
        <w:tc>
          <w:tcPr>
            <w:tcW w:w="5000" w:type="pct"/>
            <w:tcBorders>
              <w:top w:val="nil"/>
              <w:left w:val="nil"/>
              <w:bottom w:val="nil"/>
              <w:right w:val="nil"/>
            </w:tcBorders>
            <w:shd w:val="clear" w:color="auto" w:fill="DBE5F1" w:themeFill="accent1" w:themeFillTint="33"/>
          </w:tcPr>
          <w:p w14:paraId="2D5B1B00" w14:textId="4440C909" w:rsidR="002C43EB" w:rsidRDefault="002C43EB" w:rsidP="0025118A">
            <w:pPr>
              <w:rPr>
                <w:lang w:eastAsia="en-GB"/>
              </w:rPr>
            </w:pPr>
            <w:r w:rsidRPr="002C43EB">
              <w:rPr>
                <w:rStyle w:val="Strong"/>
              </w:rPr>
              <w:t>For example:</w:t>
            </w:r>
            <w:r w:rsidRPr="00101198">
              <w:rPr>
                <w:lang w:eastAsia="en-GB"/>
              </w:rPr>
              <w:t xml:space="preserve"> A healthcare provider offering sexual health services holds clinics at different times for women and men. Equality law allows this, as long as the service provider can show that a combined service would not be as effective (for example, because people are less likely to attend a mixed clinic), it would not be reasonably practicable to provide the service except in the different ways, and that what it is doing is </w:t>
            </w:r>
            <w:r w:rsidRPr="006C0561">
              <w:rPr>
                <w:rStyle w:val="Strong"/>
              </w:rPr>
              <w:t>objectively justified</w:t>
            </w:r>
            <w:r w:rsidRPr="00101198">
              <w:rPr>
                <w:lang w:eastAsia="en-GB"/>
              </w:rPr>
              <w:t>.</w:t>
            </w:r>
          </w:p>
        </w:tc>
      </w:tr>
    </w:tbl>
    <w:p w14:paraId="7D7223C3" w14:textId="1AEE7B0D" w:rsidR="00AF6DEC" w:rsidRPr="00101198" w:rsidRDefault="000C48F5" w:rsidP="0025118A">
      <w:pPr>
        <w:rPr>
          <w:lang w:eastAsia="en-GB"/>
        </w:rPr>
      </w:pPr>
      <w:r w:rsidRPr="000C48F5">
        <w:t>Service providers are also allowed to provide separate services for men and women</w:t>
      </w:r>
      <w:r w:rsidRPr="0082416F">
        <w:t xml:space="preserve"> </w:t>
      </w:r>
      <w:r w:rsidRPr="00926D92">
        <w:t>differently where providing a combined service would not be as effective and it would not be reasonably practicable to prov</w:t>
      </w:r>
      <w:r w:rsidRPr="000A3412">
        <w:t>ide the service except in the different ways because of t</w:t>
      </w:r>
      <w:r w:rsidRPr="001721DC">
        <w:rPr>
          <w:rFonts w:cs="Arial"/>
        </w:rPr>
        <w:t>he extent to which the service is required by one sex</w:t>
      </w:r>
      <w:r w:rsidRPr="000C48F5">
        <w:t>.</w:t>
      </w:r>
      <w:r w:rsidRPr="001721DC">
        <w:rPr>
          <w:lang w:eastAsia="en-GB"/>
        </w:rPr>
        <w:t xml:space="preserve"> </w:t>
      </w:r>
    </w:p>
    <w:tbl>
      <w:tblPr>
        <w:tblStyle w:val="TableGrid"/>
        <w:tblW w:w="5000" w:type="pct"/>
        <w:tblLook w:val="04A0" w:firstRow="1" w:lastRow="0" w:firstColumn="1" w:lastColumn="0" w:noHBand="0" w:noVBand="1"/>
      </w:tblPr>
      <w:tblGrid>
        <w:gridCol w:w="9286"/>
      </w:tblGrid>
      <w:tr w:rsidR="00AF6DEC" w14:paraId="07FD3793" w14:textId="77777777" w:rsidTr="00AF6DEC">
        <w:tc>
          <w:tcPr>
            <w:tcW w:w="5000" w:type="pct"/>
            <w:tcBorders>
              <w:top w:val="nil"/>
              <w:left w:val="nil"/>
              <w:bottom w:val="nil"/>
              <w:right w:val="nil"/>
            </w:tcBorders>
            <w:shd w:val="clear" w:color="auto" w:fill="DBE5F1" w:themeFill="accent1" w:themeFillTint="33"/>
          </w:tcPr>
          <w:p w14:paraId="1DCE220E" w14:textId="6EED2698" w:rsidR="00AF6DEC" w:rsidRDefault="00AF6DEC" w:rsidP="0025118A">
            <w:pPr>
              <w:rPr>
                <w:lang w:eastAsia="en-GB"/>
              </w:rPr>
            </w:pPr>
            <w:r w:rsidRPr="00AF6DEC">
              <w:rPr>
                <w:rStyle w:val="Strong"/>
              </w:rPr>
              <w:t>For example:</w:t>
            </w:r>
            <w:r w:rsidRPr="00101198">
              <w:rPr>
                <w:lang w:eastAsia="en-GB"/>
              </w:rPr>
              <w:t xml:space="preserve"> The healthcare provider in the previous example knows there is greater demand by women than by men for the clinic (which includes sexual health testing and family planning services). So as well as offering clinics at separate times for men and women, the healthcare provider offers more times for clinics for women.</w:t>
            </w:r>
          </w:p>
        </w:tc>
      </w:tr>
    </w:tbl>
    <w:p w14:paraId="224AA8C5" w14:textId="77777777" w:rsidR="0025118A" w:rsidRPr="00101198" w:rsidRDefault="0025118A" w:rsidP="0025118A">
      <w:pPr>
        <w:rPr>
          <w:lang w:eastAsia="en-GB"/>
        </w:rPr>
      </w:pPr>
      <w:r w:rsidRPr="00101198">
        <w:rPr>
          <w:lang w:eastAsia="en-GB"/>
        </w:rPr>
        <w:t xml:space="preserve">In each case, the organisation needs to be able to </w:t>
      </w:r>
      <w:r w:rsidRPr="00AF6DEC">
        <w:rPr>
          <w:rStyle w:val="Strong"/>
        </w:rPr>
        <w:t>objectively justify</w:t>
      </w:r>
      <w:r w:rsidRPr="00101198">
        <w:rPr>
          <w:lang w:eastAsia="en-GB"/>
        </w:rPr>
        <w:t xml:space="preserve"> what they are doing.</w:t>
      </w:r>
    </w:p>
    <w:p w14:paraId="25395E31" w14:textId="77777777" w:rsidR="0025118A" w:rsidRPr="00101198" w:rsidRDefault="0025118A" w:rsidP="0025118A">
      <w:pPr>
        <w:rPr>
          <w:lang w:eastAsia="en-GB"/>
        </w:rPr>
      </w:pPr>
      <w:r w:rsidRPr="00101198">
        <w:rPr>
          <w:lang w:eastAsia="en-GB"/>
        </w:rPr>
        <w:t xml:space="preserve">An organisation is allowed to provide </w:t>
      </w:r>
      <w:r w:rsidRPr="00AF6DEC">
        <w:rPr>
          <w:rStyle w:val="Strong"/>
        </w:rPr>
        <w:t>single-sex services</w:t>
      </w:r>
      <w:r w:rsidRPr="00101198">
        <w:rPr>
          <w:lang w:eastAsia="en-GB"/>
        </w:rPr>
        <w:t xml:space="preserve"> (services just for men or just for women) where this is </w:t>
      </w:r>
      <w:r w:rsidRPr="00AF6DEC">
        <w:rPr>
          <w:rStyle w:val="Strong"/>
        </w:rPr>
        <w:t>objectively justified</w:t>
      </w:r>
      <w:r w:rsidRPr="00101198">
        <w:rPr>
          <w:lang w:eastAsia="en-GB"/>
        </w:rPr>
        <w:t xml:space="preserve"> and:</w:t>
      </w:r>
    </w:p>
    <w:p w14:paraId="24DF425D" w14:textId="77777777" w:rsidR="0025118A" w:rsidRPr="00101198" w:rsidRDefault="0025118A" w:rsidP="0025118A">
      <w:pPr>
        <w:pStyle w:val="ListBullet"/>
        <w:rPr>
          <w:lang w:eastAsia="en-GB"/>
        </w:rPr>
      </w:pPr>
      <w:r w:rsidRPr="00101198">
        <w:rPr>
          <w:lang w:eastAsia="en-GB"/>
        </w:rPr>
        <w:t>only men or only women require the service, or</w:t>
      </w:r>
    </w:p>
    <w:p w14:paraId="2401A4FB" w14:textId="77777777" w:rsidR="0025118A" w:rsidRPr="00101198" w:rsidRDefault="0025118A" w:rsidP="0025118A">
      <w:pPr>
        <w:pStyle w:val="ListBullet"/>
        <w:rPr>
          <w:lang w:eastAsia="en-GB"/>
        </w:rPr>
      </w:pPr>
      <w:r w:rsidRPr="00101198">
        <w:rPr>
          <w:lang w:eastAsia="en-GB"/>
        </w:rPr>
        <w:t>if there is joint provision for both sexes but that is not enough on its own, or</w:t>
      </w:r>
    </w:p>
    <w:p w14:paraId="6E22F7B0" w14:textId="77777777" w:rsidR="0025118A" w:rsidRPr="00101198" w:rsidRDefault="0025118A" w:rsidP="0025118A">
      <w:pPr>
        <w:pStyle w:val="ListBullet"/>
        <w:rPr>
          <w:lang w:eastAsia="en-GB"/>
        </w:rPr>
      </w:pPr>
      <w:r w:rsidRPr="00101198">
        <w:rPr>
          <w:lang w:eastAsia="en-GB"/>
        </w:rPr>
        <w:t xml:space="preserve">if the service were provided for men and women jointly, it would not be as effective and it is not </w:t>
      </w:r>
      <w:r w:rsidRPr="001C06D4">
        <w:rPr>
          <w:lang w:eastAsia="en-GB"/>
        </w:rPr>
        <w:t>reasonably</w:t>
      </w:r>
      <w:r w:rsidRPr="00101198">
        <w:rPr>
          <w:lang w:eastAsia="en-GB"/>
        </w:rPr>
        <w:t xml:space="preserve"> practicable to provide separate services for each sex</w:t>
      </w:r>
      <w:r w:rsidR="0082416F">
        <w:rPr>
          <w:lang w:eastAsia="en-GB"/>
        </w:rPr>
        <w:t xml:space="preserve"> because of the extent to which the service is required by one sex</w:t>
      </w:r>
      <w:r w:rsidRPr="00101198">
        <w:rPr>
          <w:lang w:eastAsia="en-GB"/>
        </w:rPr>
        <w:t>, or</w:t>
      </w:r>
    </w:p>
    <w:p w14:paraId="4E851838" w14:textId="77777777" w:rsidR="0025118A" w:rsidRPr="00101198" w:rsidRDefault="0025118A" w:rsidP="0025118A">
      <w:pPr>
        <w:pStyle w:val="ListBullet"/>
        <w:rPr>
          <w:lang w:eastAsia="en-GB"/>
        </w:rPr>
      </w:pPr>
      <w:r w:rsidRPr="00101198">
        <w:rPr>
          <w:lang w:eastAsia="en-GB"/>
        </w:rPr>
        <w:t>the services are provided in a hospital or other place where users need special attention (or in parts of such an establishment), or</w:t>
      </w:r>
    </w:p>
    <w:p w14:paraId="62FEEACB" w14:textId="77777777" w:rsidR="0025118A" w:rsidRPr="00101198" w:rsidRDefault="0025118A" w:rsidP="0025118A">
      <w:pPr>
        <w:pStyle w:val="ListBullet"/>
        <w:rPr>
          <w:lang w:eastAsia="en-GB"/>
        </w:rPr>
      </w:pPr>
      <w:r w:rsidRPr="00101198">
        <w:rPr>
          <w:lang w:eastAsia="en-GB"/>
        </w:rPr>
        <w:t>they may be used by more than one person and a woman might object to the presence of a man (or vice versa), or</w:t>
      </w:r>
    </w:p>
    <w:p w14:paraId="2D934F00" w14:textId="052178AE" w:rsidR="002C43EB" w:rsidRPr="00101198" w:rsidRDefault="0025118A" w:rsidP="0025118A">
      <w:pPr>
        <w:pStyle w:val="ListBullet"/>
        <w:rPr>
          <w:lang w:eastAsia="en-GB"/>
        </w:rPr>
      </w:pPr>
      <w:r w:rsidRPr="00101198">
        <w:rPr>
          <w:lang w:eastAsia="en-GB"/>
        </w:rPr>
        <w:t>they may involve physical contact between a user and someone else and that other person may reasonably object if the user is of the opposite sex.</w:t>
      </w:r>
    </w:p>
    <w:tbl>
      <w:tblPr>
        <w:tblStyle w:val="TableGrid"/>
        <w:tblW w:w="5000" w:type="pct"/>
        <w:tblInd w:w="425" w:type="dxa"/>
        <w:tblLook w:val="04A0" w:firstRow="1" w:lastRow="0" w:firstColumn="1" w:lastColumn="0" w:noHBand="0" w:noVBand="1"/>
      </w:tblPr>
      <w:tblGrid>
        <w:gridCol w:w="9286"/>
      </w:tblGrid>
      <w:tr w:rsidR="002C43EB" w:rsidRPr="00AF6DEC" w14:paraId="160CBC1F" w14:textId="77777777" w:rsidTr="00AF6DEC">
        <w:tc>
          <w:tcPr>
            <w:tcW w:w="5000" w:type="pct"/>
            <w:tcBorders>
              <w:top w:val="nil"/>
              <w:left w:val="nil"/>
              <w:bottom w:val="nil"/>
              <w:right w:val="nil"/>
            </w:tcBorders>
            <w:shd w:val="clear" w:color="auto" w:fill="DBE5F1" w:themeFill="accent1" w:themeFillTint="33"/>
          </w:tcPr>
          <w:p w14:paraId="51466E92" w14:textId="537B2552" w:rsidR="002C43EB" w:rsidRPr="00AF6DEC" w:rsidRDefault="002C43EB" w:rsidP="00AF6DEC">
            <w:r w:rsidRPr="00AF6DEC">
              <w:rPr>
                <w:rStyle w:val="Strong"/>
              </w:rPr>
              <w:t>For example:</w:t>
            </w:r>
            <w:r w:rsidRPr="00AF6DEC">
              <w:t xml:space="preserve"> A healthcare provider can offer health screening services only to men or only to women, where the screening involves health conditions that affect only men or only women.</w:t>
            </w:r>
          </w:p>
        </w:tc>
      </w:tr>
    </w:tbl>
    <w:p w14:paraId="6F1830B3" w14:textId="77777777" w:rsidR="007D762C" w:rsidRDefault="00F25483" w:rsidP="007D762C">
      <w:pPr>
        <w:pStyle w:val="ListBullet"/>
      </w:pPr>
      <w:r>
        <w:t xml:space="preserve">Gender segregation is permitted for a few specifically defined purposes. </w:t>
      </w:r>
    </w:p>
    <w:tbl>
      <w:tblPr>
        <w:tblStyle w:val="TableGrid"/>
        <w:tblW w:w="5000" w:type="pct"/>
        <w:tblInd w:w="425" w:type="dxa"/>
        <w:tblLook w:val="04A0" w:firstRow="1" w:lastRow="0" w:firstColumn="1" w:lastColumn="0" w:noHBand="0" w:noVBand="1"/>
      </w:tblPr>
      <w:tblGrid>
        <w:gridCol w:w="9286"/>
      </w:tblGrid>
      <w:tr w:rsidR="007D762C" w:rsidRPr="007D762C" w14:paraId="11B54A77" w14:textId="77777777" w:rsidTr="007D762C">
        <w:tc>
          <w:tcPr>
            <w:tcW w:w="5000" w:type="pct"/>
            <w:tcBorders>
              <w:top w:val="nil"/>
              <w:left w:val="nil"/>
              <w:bottom w:val="nil"/>
              <w:right w:val="nil"/>
            </w:tcBorders>
            <w:shd w:val="clear" w:color="auto" w:fill="DBE5F1" w:themeFill="accent1" w:themeFillTint="33"/>
          </w:tcPr>
          <w:p w14:paraId="4624ED6D" w14:textId="709D9D84" w:rsidR="007D762C" w:rsidRPr="007D762C" w:rsidRDefault="007D762C" w:rsidP="007D762C">
            <w:r w:rsidRPr="007D762C">
              <w:rPr>
                <w:rStyle w:val="Strong"/>
              </w:rPr>
              <w:t>For example:</w:t>
            </w:r>
            <w:r>
              <w:t xml:space="preserve"> T</w:t>
            </w:r>
            <w:r w:rsidRPr="007D762C">
              <w:t>here is an exemption permitting gender segregation in certain situations where it is necessary to preserve privacy and decency. However, unless a specific exemption applies, segregation connected to gender will be unlawful.</w:t>
            </w:r>
          </w:p>
        </w:tc>
      </w:tr>
    </w:tbl>
    <w:p w14:paraId="066AA8BE" w14:textId="49F34F81" w:rsidR="0025118A" w:rsidRPr="00101198" w:rsidRDefault="0025118A" w:rsidP="007D762C">
      <w:pPr>
        <w:pStyle w:val="L4Headers"/>
      </w:pPr>
      <w:r w:rsidRPr="00101198">
        <w:rPr>
          <w:lang w:eastAsia="en-GB"/>
        </w:rPr>
        <w:t>Health and safety for pregnant women</w:t>
      </w:r>
    </w:p>
    <w:p w14:paraId="5EEEA93A" w14:textId="5755FD85" w:rsidR="00AF6DEC" w:rsidRPr="00101198" w:rsidRDefault="0025118A" w:rsidP="0025118A">
      <w:pPr>
        <w:rPr>
          <w:lang w:eastAsia="en-GB"/>
        </w:rPr>
      </w:pPr>
      <w:r w:rsidRPr="00101198">
        <w:rPr>
          <w:lang w:eastAsia="en-GB"/>
        </w:rPr>
        <w:t xml:space="preserve">A service provider can refuse to provide a service to a pregnant woman, or set conditions on the service, because they </w:t>
      </w:r>
      <w:r w:rsidRPr="001C06D4">
        <w:rPr>
          <w:lang w:eastAsia="en-GB"/>
        </w:rPr>
        <w:t>reasonably</w:t>
      </w:r>
      <w:r w:rsidRPr="00101198">
        <w:rPr>
          <w:lang w:eastAsia="en-GB"/>
        </w:rPr>
        <w:t xml:space="preserve"> believe that providing the service in the usual way would create a risk to the woman’s health or safety, and they would do the same thing in relation to a person with a different physical condition. </w:t>
      </w:r>
    </w:p>
    <w:tbl>
      <w:tblPr>
        <w:tblStyle w:val="TableGrid"/>
        <w:tblW w:w="5000" w:type="pct"/>
        <w:tblLook w:val="04A0" w:firstRow="1" w:lastRow="0" w:firstColumn="1" w:lastColumn="0" w:noHBand="0" w:noVBand="1"/>
      </w:tblPr>
      <w:tblGrid>
        <w:gridCol w:w="9286"/>
      </w:tblGrid>
      <w:tr w:rsidR="00AF6DEC" w14:paraId="63816C54" w14:textId="77777777" w:rsidTr="00AF6DEC">
        <w:tc>
          <w:tcPr>
            <w:tcW w:w="5000" w:type="pct"/>
            <w:tcBorders>
              <w:top w:val="nil"/>
              <w:left w:val="nil"/>
              <w:bottom w:val="nil"/>
              <w:right w:val="nil"/>
            </w:tcBorders>
            <w:shd w:val="clear" w:color="auto" w:fill="DBE5F1" w:themeFill="accent1" w:themeFillTint="33"/>
          </w:tcPr>
          <w:p w14:paraId="7764724A" w14:textId="4EFC4252" w:rsidR="00AF6DEC" w:rsidRDefault="00AF6DEC" w:rsidP="0025118A">
            <w:pPr>
              <w:rPr>
                <w:lang w:eastAsia="en-GB"/>
              </w:rPr>
            </w:pPr>
            <w:r w:rsidRPr="00AF6DEC">
              <w:rPr>
                <w:rStyle w:val="Strong"/>
              </w:rPr>
              <w:t>For example:</w:t>
            </w:r>
            <w:r w:rsidRPr="00101198">
              <w:rPr>
                <w:lang w:eastAsia="en-GB"/>
              </w:rPr>
              <w:t xml:space="preserve"> A healthcare provider refuses to give a particular type of physiotherapy to pregnant women. They will also not gi</w:t>
            </w:r>
            <w:r w:rsidR="00286B8F">
              <w:rPr>
                <w:lang w:eastAsia="en-GB"/>
              </w:rPr>
              <w:t>ve it to people with conditions </w:t>
            </w:r>
            <w:r w:rsidRPr="00101198">
              <w:rPr>
                <w:lang w:eastAsia="en-GB"/>
              </w:rPr>
              <w:t xml:space="preserve">that make their joints vulnerable. This is </w:t>
            </w:r>
            <w:r w:rsidR="00286B8F">
              <w:rPr>
                <w:lang w:eastAsia="en-GB"/>
              </w:rPr>
              <w:t>likely to be allowed because of </w:t>
            </w:r>
            <w:r w:rsidRPr="00101198">
              <w:rPr>
                <w:lang w:eastAsia="en-GB"/>
              </w:rPr>
              <w:t>this exception.</w:t>
            </w:r>
          </w:p>
        </w:tc>
      </w:tr>
    </w:tbl>
    <w:p w14:paraId="340433F3" w14:textId="163DE108" w:rsidR="0025118A" w:rsidRDefault="0025118A" w:rsidP="0025118A">
      <w:pPr>
        <w:rPr>
          <w:lang w:eastAsia="en-GB"/>
        </w:rPr>
      </w:pPr>
    </w:p>
    <w:tbl>
      <w:tblPr>
        <w:tblStyle w:val="TableGrid"/>
        <w:tblW w:w="5000" w:type="pct"/>
        <w:tblLook w:val="04A0" w:firstRow="1" w:lastRow="0" w:firstColumn="1" w:lastColumn="0" w:noHBand="0" w:noVBand="1"/>
      </w:tblPr>
      <w:tblGrid>
        <w:gridCol w:w="9286"/>
      </w:tblGrid>
      <w:tr w:rsidR="00AF6DEC" w14:paraId="7D432AF2" w14:textId="77777777" w:rsidTr="001510D9">
        <w:trPr>
          <w:trHeight w:val="10052"/>
        </w:trPr>
        <w:tc>
          <w:tcPr>
            <w:tcW w:w="5000" w:type="pct"/>
            <w:tcBorders>
              <w:top w:val="single" w:sz="4" w:space="0" w:color="E2007A"/>
              <w:left w:val="single" w:sz="4" w:space="0" w:color="E2007A"/>
              <w:bottom w:val="single" w:sz="4" w:space="0" w:color="E2007A"/>
              <w:right w:val="single" w:sz="4" w:space="0" w:color="E2007A"/>
            </w:tcBorders>
          </w:tcPr>
          <w:p w14:paraId="489CAB49" w14:textId="77777777" w:rsidR="00AF6DEC" w:rsidRPr="00AF6DEC" w:rsidRDefault="00AF6DEC" w:rsidP="00350092">
            <w:pPr>
              <w:pStyle w:val="L4Headers"/>
              <w:keepNext w:val="0"/>
              <w:rPr>
                <w:color w:val="E2007A"/>
                <w:lang w:eastAsia="en-GB"/>
              </w:rPr>
            </w:pPr>
            <w:r w:rsidRPr="00AF6DEC">
              <w:rPr>
                <w:color w:val="E2007A"/>
                <w:lang w:eastAsia="en-GB"/>
              </w:rPr>
              <w:t>Healthcare and social care for transsexual people</w:t>
            </w:r>
          </w:p>
          <w:p w14:paraId="3D63F054" w14:textId="77777777" w:rsidR="00AF6DEC" w:rsidRDefault="00AF6DEC" w:rsidP="00AF6DEC">
            <w:pPr>
              <w:rPr>
                <w:lang w:eastAsia="en-GB"/>
              </w:rPr>
            </w:pPr>
            <w:r w:rsidRPr="00101198">
              <w:rPr>
                <w:lang w:eastAsia="en-GB"/>
              </w:rPr>
              <w:t xml:space="preserve">A healthcare or social care provider which is providing separate services or single-sex services must not exclude a </w:t>
            </w:r>
            <w:r w:rsidRPr="00AF6DEC">
              <w:rPr>
                <w:rStyle w:val="Strong"/>
              </w:rPr>
              <w:t>transsexual person</w:t>
            </w:r>
            <w:r w:rsidRPr="00101198">
              <w:rPr>
                <w:lang w:eastAsia="en-GB"/>
              </w:rPr>
              <w:t xml:space="preserve"> from the services appropriate to the sex in which the transsexual person presents (as opposed to the physical sex they were born with) unless they can </w:t>
            </w:r>
            <w:r w:rsidRPr="00AF6DEC">
              <w:rPr>
                <w:rStyle w:val="Strong"/>
              </w:rPr>
              <w:t>objectively justify</w:t>
            </w:r>
            <w:r w:rsidRPr="00101198">
              <w:rPr>
                <w:lang w:eastAsia="en-GB"/>
              </w:rPr>
              <w:t xml:space="preserve"> this.</w:t>
            </w:r>
            <w:r w:rsidRPr="005F2698">
              <w:rPr>
                <w:lang w:eastAsia="en-GB"/>
              </w:rPr>
              <w:t xml:space="preserve"> </w:t>
            </w:r>
          </w:p>
          <w:p w14:paraId="3E079411" w14:textId="77777777" w:rsidR="00AF6DEC" w:rsidRDefault="00AF6DEC" w:rsidP="00AF6DEC">
            <w:pPr>
              <w:rPr>
                <w:lang w:eastAsia="en-GB"/>
              </w:rPr>
            </w:pPr>
            <w:r>
              <w:rPr>
                <w:lang w:eastAsia="en-GB"/>
              </w:rPr>
              <w:t xml:space="preserve">A service provider may have a policy about providing its service to transsexual users, but this policy must still be applied on a case-by-case basis. It is necessary to balance the needs of the transsexual person for the service, and the disadvantage to them if they are refused access to it, against the needs of other users, and any disadvantage to them, if the transsexual person is allowed access. </w:t>
            </w:r>
            <w:r w:rsidRPr="006C66B5">
              <w:rPr>
                <w:lang w:eastAsia="en-GB"/>
              </w:rPr>
              <w:t xml:space="preserve">To do this </w:t>
            </w:r>
            <w:r>
              <w:rPr>
                <w:lang w:eastAsia="en-GB"/>
              </w:rPr>
              <w:t>may</w:t>
            </w:r>
            <w:r w:rsidRPr="006C66B5">
              <w:rPr>
                <w:lang w:eastAsia="en-GB"/>
              </w:rPr>
              <w:t xml:space="preserve"> require discussion with service users</w:t>
            </w:r>
            <w:r>
              <w:rPr>
                <w:lang w:eastAsia="en-GB"/>
              </w:rPr>
              <w:t xml:space="preserve"> </w:t>
            </w:r>
            <w:r w:rsidRPr="006C66B5">
              <w:rPr>
                <w:lang w:eastAsia="en-GB"/>
              </w:rPr>
              <w:t>(maintaining confidentiality for the transsexual service user). Care should be</w:t>
            </w:r>
            <w:r>
              <w:rPr>
                <w:lang w:eastAsia="en-GB"/>
              </w:rPr>
              <w:t xml:space="preserve"> </w:t>
            </w:r>
            <w:r w:rsidRPr="006C66B5">
              <w:rPr>
                <w:lang w:eastAsia="en-GB"/>
              </w:rPr>
              <w:t>taken in each case to avoid a decision based on ignorance or prejudice</w:t>
            </w:r>
            <w:r>
              <w:rPr>
                <w:lang w:eastAsia="en-GB"/>
              </w:rPr>
              <w:t>.</w:t>
            </w:r>
          </w:p>
          <w:p w14:paraId="43C829F1" w14:textId="77777777" w:rsidR="00AF6DEC" w:rsidRPr="00AF6DEC" w:rsidRDefault="00AF6DEC" w:rsidP="00AF6DEC">
            <w:pPr>
              <w:rPr>
                <w:spacing w:val="-2"/>
              </w:rPr>
            </w:pPr>
            <w:r w:rsidRPr="00AF6DEC">
              <w:rPr>
                <w:spacing w:val="-2"/>
              </w:rPr>
              <w:t>Where a transsexual person is visually and for all practical purposes indistinguishable from someone of their preferred gender, they should normally be treated according to their acquired gender unless there are strong reasons not to do so.</w:t>
            </w:r>
          </w:p>
          <w:p w14:paraId="1B856099" w14:textId="2B7A92AE" w:rsidR="00AF6DEC" w:rsidRPr="00AF6DEC" w:rsidRDefault="00AF6DEC" w:rsidP="00AF6DEC">
            <w:pPr>
              <w:rPr>
                <w:lang w:eastAsia="en-GB"/>
              </w:rPr>
            </w:pPr>
            <w:r>
              <w:rPr>
                <w:lang w:eastAsia="en-GB"/>
              </w:rPr>
              <w:t>Healthcare and social care service providers need to be aware that transsexual people may need access to services relating to their birth sex which are otherwise provided only to people of that sex. For example, a transsexual man may need access to breast screening or gynaecological services. In order to protect the privacy of all users, it is recommended that the service provider should discuss with any transsexual service users the best way to enable them to have access to the service.</w:t>
            </w:r>
          </w:p>
          <w:p w14:paraId="2BE7F8DE" w14:textId="055F3757" w:rsidR="00AF6DEC" w:rsidRPr="000F547F" w:rsidRDefault="00AF6DEC" w:rsidP="000F547F">
            <w:r>
              <w:t>Where someone has a gender recognition certificate they should be treated in their acquired gender for all purposes and therefore should not be excluded from single-sex services.</w:t>
            </w:r>
          </w:p>
        </w:tc>
      </w:tr>
      <w:tr w:rsidR="000F547F" w14:paraId="35F1BA63" w14:textId="77777777" w:rsidTr="001510D9">
        <w:trPr>
          <w:trHeight w:val="10052"/>
        </w:trPr>
        <w:tc>
          <w:tcPr>
            <w:tcW w:w="5000" w:type="pct"/>
            <w:tcBorders>
              <w:top w:val="single" w:sz="4" w:space="0" w:color="E2007A"/>
              <w:left w:val="single" w:sz="4" w:space="0" w:color="E2007A"/>
              <w:bottom w:val="single" w:sz="4" w:space="0" w:color="E2007A"/>
              <w:right w:val="single" w:sz="4" w:space="0" w:color="E2007A"/>
            </w:tcBorders>
          </w:tcPr>
          <w:p w14:paraId="0584F9BC" w14:textId="6BEF122E" w:rsidR="000F547F" w:rsidRPr="000F547F" w:rsidRDefault="000F547F" w:rsidP="000F547F">
            <w:r w:rsidRPr="000F547F">
              <w:t>Remember, if you are a transsexual person, protection from unlawful discrimination because of gender reassignment begins once you have proposed to undergo gender reassignment. To be protected, you do not have to have a Gender Reassignment Certificate, nor do you have to have changed your name by any legal process, nor do you have to be living full-time in your preferred gender.</w:t>
            </w:r>
          </w:p>
          <w:p w14:paraId="596D4676" w14:textId="77777777" w:rsidR="000F547F" w:rsidRPr="00101198" w:rsidRDefault="000F547F" w:rsidP="000F547F">
            <w:pPr>
              <w:rPr>
                <w:lang w:eastAsia="en-GB"/>
              </w:rPr>
            </w:pPr>
            <w:r w:rsidRPr="00101198">
              <w:rPr>
                <w:lang w:eastAsia="en-GB"/>
              </w:rPr>
              <w:t>Examples of how you should be treated include:</w:t>
            </w:r>
          </w:p>
          <w:p w14:paraId="5034FA4D" w14:textId="77777777" w:rsidR="000F547F" w:rsidRDefault="000F547F" w:rsidP="000F547F">
            <w:pPr>
              <w:pStyle w:val="ListBullet"/>
            </w:pPr>
            <w:r w:rsidRPr="00101198">
              <w:t xml:space="preserve">Services should </w:t>
            </w:r>
            <w:r>
              <w:t xml:space="preserve">generally </w:t>
            </w:r>
            <w:r w:rsidRPr="00101198">
              <w:t>be provided to you according to the sex in which you present</w:t>
            </w:r>
            <w:r>
              <w:t xml:space="preserve">, unless it is </w:t>
            </w:r>
            <w:r w:rsidRPr="00AF6DEC">
              <w:rPr>
                <w:rStyle w:val="Strong"/>
              </w:rPr>
              <w:t>objectively justifiable</w:t>
            </w:r>
            <w:r>
              <w:t xml:space="preserve"> to treat you differently</w:t>
            </w:r>
            <w:r w:rsidRPr="00101198">
              <w:t xml:space="preserve">. </w:t>
            </w:r>
          </w:p>
          <w:p w14:paraId="1B734938" w14:textId="77777777" w:rsidR="000F547F" w:rsidRPr="00101198" w:rsidRDefault="000F547F" w:rsidP="000F547F">
            <w:pPr>
              <w:pStyle w:val="ListBullet"/>
            </w:pPr>
            <w:r w:rsidRPr="00101198">
              <w:t>In single-sex accommodation, even if physical differences would identify you as a transsexual person, sufficient privacy can usually be ensured through the use of curtains or by accommodation in a single side room adjacent to a sex-appropriate ward.</w:t>
            </w:r>
          </w:p>
          <w:p w14:paraId="30CCBCBD" w14:textId="32FE5032" w:rsidR="000F547F" w:rsidRPr="00101198" w:rsidRDefault="000F547F" w:rsidP="000F547F">
            <w:pPr>
              <w:pStyle w:val="ListBullet"/>
            </w:pPr>
            <w:r w:rsidRPr="00101198">
              <w:t>This also applies to toilet and washing facilit</w:t>
            </w:r>
            <w:r w:rsidR="001510D9">
              <w:t>ies (except for communal shower </w:t>
            </w:r>
            <w:r w:rsidRPr="00101198">
              <w:t>facilities).</w:t>
            </w:r>
          </w:p>
          <w:p w14:paraId="39717EDE" w14:textId="77777777" w:rsidR="000F547F" w:rsidRPr="00101198" w:rsidRDefault="000F547F" w:rsidP="000F547F">
            <w:pPr>
              <w:pStyle w:val="ListBullet"/>
            </w:pPr>
            <w:r w:rsidRPr="00101198">
              <w:t xml:space="preserve">Only where the treatment is sex-specific and you would be placed in an otherwise opposite sex ward (for example, a trans man having a hysterectomy) should this approach be varied. Variations should be discussed with you and a joint decision made as to how to resolve it. </w:t>
            </w:r>
            <w:r>
              <w:t xml:space="preserve">The approach of the staff has to be </w:t>
            </w:r>
            <w:r w:rsidRPr="00AF6DEC">
              <w:rPr>
                <w:rStyle w:val="Strong"/>
              </w:rPr>
              <w:t>objectively justifiable</w:t>
            </w:r>
            <w:r w:rsidRPr="00AF6DEC">
              <w:t>.</w:t>
            </w:r>
          </w:p>
          <w:p w14:paraId="2D0D2271" w14:textId="77777777" w:rsidR="00E14327" w:rsidRDefault="000F547F" w:rsidP="00E14327">
            <w:pPr>
              <w:pStyle w:val="ListBullet"/>
            </w:pPr>
            <w:r w:rsidRPr="00101198">
              <w:t>If admission/triage staff are unsure of your gender, they should, where possible, ask you discreetly where you would be most comfortably accommodated. They should comply with your preference</w:t>
            </w:r>
            <w:r>
              <w:t xml:space="preserve">, unless it is </w:t>
            </w:r>
            <w:r w:rsidRPr="00AF6DEC">
              <w:rPr>
                <w:rStyle w:val="Strong"/>
              </w:rPr>
              <w:t>objectively justifiable</w:t>
            </w:r>
            <w:r w:rsidRPr="00AF6DEC">
              <w:t xml:space="preserve"> n</w:t>
            </w:r>
            <w:r>
              <w:t>ot to do so. The kind of justification which might be put forward is that they cannot comply with your preference for a legitimate reason such as the privacy of other patients</w:t>
            </w:r>
            <w:r w:rsidRPr="00101198">
              <w:t>.</w:t>
            </w:r>
            <w:r>
              <w:t xml:space="preserve"> If so, it still needs to be appropriate and necessary for them to act on that reason. Also, they should offer you the option closest to your preference that is available.</w:t>
            </w:r>
            <w:r w:rsidR="00E14327">
              <w:t xml:space="preserve"> </w:t>
            </w:r>
          </w:p>
          <w:p w14:paraId="3C26C21E" w14:textId="0D9F22F7" w:rsidR="000F547F" w:rsidRPr="00E14327" w:rsidRDefault="000F547F" w:rsidP="00E14327">
            <w:pPr>
              <w:pStyle w:val="ListBullet"/>
            </w:pPr>
            <w:r w:rsidRPr="00101198">
              <w:t xml:space="preserve">If you are </w:t>
            </w:r>
            <w:r w:rsidRPr="000F547F">
              <w:t>unconscious</w:t>
            </w:r>
            <w:r w:rsidRPr="00101198">
              <w:t xml:space="preserve"> or incapacitated when admitted, staff should look at how you present. There should be no investigation as to a person’s genital sex unless this is specifically necessary in order to carry out treatment.</w:t>
            </w:r>
          </w:p>
        </w:tc>
      </w:tr>
    </w:tbl>
    <w:p w14:paraId="50DABA8D" w14:textId="77777777" w:rsidR="000F547F" w:rsidRPr="000F547F" w:rsidRDefault="000F547F" w:rsidP="000F547F"/>
    <w:p w14:paraId="40A2FA5F" w14:textId="77777777" w:rsidR="000F547F" w:rsidRPr="000F547F" w:rsidRDefault="000F547F" w:rsidP="000F547F">
      <w:r w:rsidRPr="000F547F">
        <w:br w:type="page"/>
      </w:r>
    </w:p>
    <w:p w14:paraId="0C71DE69" w14:textId="723399DF" w:rsidR="0025118A" w:rsidRPr="00101198" w:rsidRDefault="0025118A" w:rsidP="00921E87">
      <w:pPr>
        <w:pStyle w:val="L4Headers"/>
        <w:rPr>
          <w:lang w:eastAsia="en-GB"/>
        </w:rPr>
      </w:pPr>
      <w:r w:rsidRPr="00101198">
        <w:rPr>
          <w:lang w:eastAsia="en-GB"/>
        </w:rPr>
        <w:t>Healthcare and social care provided by charities or religion or belief organisations</w:t>
      </w:r>
    </w:p>
    <w:p w14:paraId="076E139A" w14:textId="77777777" w:rsidR="0025118A" w:rsidRPr="00101198" w:rsidRDefault="0025118A" w:rsidP="0025118A">
      <w:pPr>
        <w:rPr>
          <w:lang w:eastAsia="en-GB"/>
        </w:rPr>
      </w:pPr>
      <w:r w:rsidRPr="00101198">
        <w:rPr>
          <w:lang w:eastAsia="en-GB"/>
        </w:rPr>
        <w:t xml:space="preserve">Sometimes healthcare or social care is carried out by a </w:t>
      </w:r>
      <w:r w:rsidRPr="00AF6DEC">
        <w:rPr>
          <w:rStyle w:val="Strong"/>
        </w:rPr>
        <w:t>charity</w:t>
      </w:r>
      <w:r w:rsidRPr="00101198">
        <w:rPr>
          <w:lang w:eastAsia="en-GB"/>
        </w:rPr>
        <w:t xml:space="preserve"> or a </w:t>
      </w:r>
      <w:r w:rsidRPr="00AF6DEC">
        <w:rPr>
          <w:rStyle w:val="Strong"/>
        </w:rPr>
        <w:t>religion or belief organisation</w:t>
      </w:r>
      <w:r w:rsidRPr="00101198">
        <w:rPr>
          <w:lang w:eastAsia="en-GB"/>
        </w:rPr>
        <w:t xml:space="preserve">. There are particular exceptions for these types of organisation. If you think these exceptions might apply to your situation, you can read more about them in the Equality and Human Rights Commission guide </w:t>
      </w:r>
      <w:r w:rsidRPr="00AF6DEC">
        <w:rPr>
          <w:rStyle w:val="Emphasis"/>
        </w:rPr>
        <w:t>Your Rights to Equality: Voluntary and Community Sector Organisations</w:t>
      </w:r>
      <w:r w:rsidRPr="00101198">
        <w:rPr>
          <w:lang w:eastAsia="en-GB"/>
        </w:rPr>
        <w:t>.</w:t>
      </w:r>
    </w:p>
    <w:p w14:paraId="24F2A9ED" w14:textId="77777777" w:rsidR="0025118A" w:rsidRPr="00101198" w:rsidRDefault="0025118A" w:rsidP="0025118A">
      <w:pPr>
        <w:rPr>
          <w:lang w:eastAsia="en-GB"/>
        </w:rPr>
      </w:pPr>
      <w:r w:rsidRPr="00101198">
        <w:rPr>
          <w:lang w:eastAsia="en-GB"/>
        </w:rPr>
        <w:t>Briefly, a charity is allowed to restrict its benefits (which includes the services they offer) to people with a particular protected characteristic if:</w:t>
      </w:r>
    </w:p>
    <w:p w14:paraId="0C6DBEAB" w14:textId="536BAA55" w:rsidR="0025118A" w:rsidRPr="00101198" w:rsidRDefault="0025118A" w:rsidP="008F4C43">
      <w:pPr>
        <w:pStyle w:val="ListBullet"/>
      </w:pPr>
      <w:r w:rsidRPr="00101198">
        <w:t>that is included in the legal document governing</w:t>
      </w:r>
      <w:r w:rsidR="008F4C43">
        <w:t xml:space="preserve"> or setting the charity up, and </w:t>
      </w:r>
      <w:r w:rsidRPr="00101198">
        <w:t>either</w:t>
      </w:r>
    </w:p>
    <w:p w14:paraId="69386A3B" w14:textId="77777777" w:rsidR="0025118A" w:rsidRPr="00101198" w:rsidRDefault="0025118A" w:rsidP="008F4C43">
      <w:pPr>
        <w:pStyle w:val="ListBullet2"/>
      </w:pPr>
      <w:r w:rsidRPr="00101198">
        <w:t xml:space="preserve">it is </w:t>
      </w:r>
      <w:r w:rsidRPr="00AF6DEC">
        <w:rPr>
          <w:rStyle w:val="Strong"/>
        </w:rPr>
        <w:t>objectively justified</w:t>
      </w:r>
      <w:r w:rsidRPr="00101198">
        <w:t>, or</w:t>
      </w:r>
    </w:p>
    <w:p w14:paraId="3450378B" w14:textId="77777777" w:rsidR="0025118A" w:rsidRPr="00101198" w:rsidRDefault="0025118A" w:rsidP="008F4C43">
      <w:pPr>
        <w:pStyle w:val="ListBullet2"/>
      </w:pPr>
      <w:r w:rsidRPr="00101198">
        <w:t>it is done to prevent or compensate for disadvantage linked to the protected characteristic.</w:t>
      </w:r>
    </w:p>
    <w:p w14:paraId="046FAEBC" w14:textId="77777777" w:rsidR="0025118A" w:rsidRPr="00101198" w:rsidRDefault="0025118A" w:rsidP="0025118A">
      <w:pPr>
        <w:rPr>
          <w:lang w:eastAsia="en-GB"/>
        </w:rPr>
      </w:pPr>
      <w:r w:rsidRPr="00101198">
        <w:rPr>
          <w:lang w:eastAsia="en-GB"/>
        </w:rPr>
        <w:t xml:space="preserve">But, other than this limited exception, a charity must not treat you worse than someone else in relation to any other protected characteristic. They must make reasonable adjustments for you if you are a disabled person. They must not harass or victimise you. </w:t>
      </w:r>
    </w:p>
    <w:p w14:paraId="4B8F109A" w14:textId="77777777" w:rsidR="0025118A" w:rsidRPr="00101198" w:rsidRDefault="0025118A" w:rsidP="0025118A">
      <w:pPr>
        <w:rPr>
          <w:lang w:eastAsia="en-GB"/>
        </w:rPr>
      </w:pPr>
      <w:r w:rsidRPr="00101198">
        <w:rPr>
          <w:lang w:eastAsia="en-GB"/>
        </w:rPr>
        <w:t xml:space="preserve">In certain circumstances, a religion or belief organisation can discriminate because of religion or belief or sexual orientation in the way they operate. </w:t>
      </w:r>
    </w:p>
    <w:p w14:paraId="4A7CC786" w14:textId="77777777" w:rsidR="0025118A" w:rsidRPr="00101198" w:rsidRDefault="0025118A" w:rsidP="0025118A">
      <w:pPr>
        <w:rPr>
          <w:lang w:eastAsia="en-GB"/>
        </w:rPr>
      </w:pPr>
      <w:r w:rsidRPr="00101198">
        <w:rPr>
          <w:lang w:eastAsia="en-GB"/>
        </w:rPr>
        <w:t xml:space="preserve">But, other than these very limited exceptions, a religion or belief organisation must not treat you worse than someone else in relation to any other protected characteristic. They must make reasonable adjustments for you if you are a disabled person. They must not harass or victimise you. </w:t>
      </w:r>
    </w:p>
    <w:p w14:paraId="77AD9F84" w14:textId="744ABD0D" w:rsidR="00AF6DEC" w:rsidRPr="00101198" w:rsidRDefault="0025118A" w:rsidP="0025118A">
      <w:pPr>
        <w:rPr>
          <w:lang w:eastAsia="en-GB"/>
        </w:rPr>
      </w:pPr>
      <w:r w:rsidRPr="00101198">
        <w:rPr>
          <w:lang w:eastAsia="en-GB"/>
        </w:rPr>
        <w:t xml:space="preserve">In addition, if a religion or belief organisation contracts with a public body to carry out an activity on that body’s behalf then it cannot discriminate because of sexual orientation in relation to that activity. </w:t>
      </w:r>
    </w:p>
    <w:tbl>
      <w:tblPr>
        <w:tblStyle w:val="TableGrid"/>
        <w:tblW w:w="5000" w:type="pct"/>
        <w:tblLook w:val="04A0" w:firstRow="1" w:lastRow="0" w:firstColumn="1" w:lastColumn="0" w:noHBand="0" w:noVBand="1"/>
      </w:tblPr>
      <w:tblGrid>
        <w:gridCol w:w="9286"/>
      </w:tblGrid>
      <w:tr w:rsidR="00AF6DEC" w14:paraId="5A25B1C2" w14:textId="77777777" w:rsidTr="00AF6DEC">
        <w:tc>
          <w:tcPr>
            <w:tcW w:w="5000" w:type="pct"/>
            <w:tcBorders>
              <w:top w:val="nil"/>
              <w:left w:val="nil"/>
              <w:bottom w:val="nil"/>
              <w:right w:val="nil"/>
            </w:tcBorders>
            <w:shd w:val="clear" w:color="auto" w:fill="DBE5F1" w:themeFill="accent1" w:themeFillTint="33"/>
          </w:tcPr>
          <w:p w14:paraId="1B886209" w14:textId="086B1D3A" w:rsidR="00AF6DEC" w:rsidRDefault="00AF6DEC" w:rsidP="0025118A">
            <w:r w:rsidRPr="00AF6DEC">
              <w:rPr>
                <w:rStyle w:val="Strong"/>
              </w:rPr>
              <w:t>For example:</w:t>
            </w:r>
            <w:r w:rsidRPr="00101198">
              <w:rPr>
                <w:lang w:eastAsia="en-GB"/>
              </w:rPr>
              <w:t xml:space="preserve"> A local authority has contracted out ce</w:t>
            </w:r>
            <w:r>
              <w:rPr>
                <w:lang w:eastAsia="en-GB"/>
              </w:rPr>
              <w:t>rtain social care activities. A </w:t>
            </w:r>
            <w:r w:rsidRPr="00101198">
              <w:rPr>
                <w:lang w:eastAsia="en-GB"/>
              </w:rPr>
              <w:t xml:space="preserve">religious group has a contract to provide day care for children with a learning disability. The group cannot refuse to accept a child of a gay couple. </w:t>
            </w:r>
          </w:p>
        </w:tc>
      </w:tr>
    </w:tbl>
    <w:p w14:paraId="73D47CE9" w14:textId="77777777" w:rsidR="0025118A" w:rsidRPr="00101198" w:rsidRDefault="0025118A" w:rsidP="0025118A">
      <w:pPr>
        <w:rPr>
          <w:lang w:eastAsia="en-GB"/>
        </w:rPr>
      </w:pPr>
      <w:r w:rsidRPr="00101198">
        <w:rPr>
          <w:lang w:eastAsia="en-GB"/>
        </w:rPr>
        <w:t>These exceptions do not apply to an organisation whose sole or main purpose is commercial, such as the trading arm of a religious organisation.</w:t>
      </w:r>
    </w:p>
    <w:p w14:paraId="39C8FDAB" w14:textId="27543E53" w:rsidR="0025118A" w:rsidRPr="00101198" w:rsidRDefault="0025118A" w:rsidP="00921E87">
      <w:pPr>
        <w:pStyle w:val="L3Heading"/>
      </w:pPr>
      <w:bookmarkStart w:id="46" w:name="_Toc297124715"/>
      <w:bookmarkStart w:id="47" w:name="_Toc297300497"/>
      <w:r w:rsidRPr="00101198">
        <w:t>Giving blood</w:t>
      </w:r>
      <w:bookmarkEnd w:id="46"/>
      <w:bookmarkEnd w:id="47"/>
      <w:r w:rsidRPr="00101198">
        <w:t xml:space="preserve"> </w:t>
      </w:r>
    </w:p>
    <w:p w14:paraId="6EB848E2" w14:textId="77777777" w:rsidR="0025118A" w:rsidRPr="00101198" w:rsidRDefault="0025118A" w:rsidP="0025118A">
      <w:pPr>
        <w:rPr>
          <w:lang w:eastAsia="en-GB"/>
        </w:rPr>
      </w:pPr>
      <w:r w:rsidRPr="00101198">
        <w:rPr>
          <w:lang w:eastAsia="en-GB"/>
        </w:rPr>
        <w:t>Service providers which manage blood donations for use by health services are covered by equality law just like any other healthcare or social care provider.</w:t>
      </w:r>
    </w:p>
    <w:p w14:paraId="2ED0F60C" w14:textId="77777777" w:rsidR="0025118A" w:rsidRPr="00101198" w:rsidRDefault="0025118A" w:rsidP="0025118A">
      <w:pPr>
        <w:rPr>
          <w:lang w:eastAsia="en-GB"/>
        </w:rPr>
      </w:pPr>
      <w:r w:rsidRPr="00101198">
        <w:rPr>
          <w:lang w:eastAsia="en-GB"/>
        </w:rPr>
        <w:t>That means that, in general, you can expect a blood service (and the people who work for it or do things on its behalf) to do everything equality law says any other healthcare or social care provider must do.</w:t>
      </w:r>
    </w:p>
    <w:p w14:paraId="217BEC39" w14:textId="77777777" w:rsidR="0025118A" w:rsidRPr="00101198" w:rsidRDefault="0025118A" w:rsidP="00921E87">
      <w:pPr>
        <w:pStyle w:val="L4Headers"/>
        <w:rPr>
          <w:lang w:eastAsia="en-GB"/>
        </w:rPr>
      </w:pPr>
      <w:r w:rsidRPr="00101198">
        <w:rPr>
          <w:lang w:eastAsia="en-GB"/>
        </w:rPr>
        <w:t>Refusal of blood donations</w:t>
      </w:r>
    </w:p>
    <w:p w14:paraId="2A221396" w14:textId="77777777" w:rsidR="0025118A" w:rsidRPr="00101198" w:rsidRDefault="0025118A" w:rsidP="0025118A">
      <w:pPr>
        <w:rPr>
          <w:lang w:eastAsia="en-GB"/>
        </w:rPr>
      </w:pPr>
      <w:r w:rsidRPr="00101198">
        <w:rPr>
          <w:lang w:eastAsia="en-GB"/>
        </w:rPr>
        <w:t>There is one way in which blood services are different.</w:t>
      </w:r>
    </w:p>
    <w:p w14:paraId="785622E7" w14:textId="77777777" w:rsidR="0025118A" w:rsidRPr="00101198" w:rsidRDefault="0025118A" w:rsidP="0025118A">
      <w:pPr>
        <w:rPr>
          <w:lang w:eastAsia="en-GB"/>
        </w:rPr>
      </w:pPr>
      <w:r w:rsidRPr="00101198">
        <w:rPr>
          <w:lang w:eastAsia="en-GB"/>
        </w:rPr>
        <w:t>Sometimes the service may refuse your blood donation.</w:t>
      </w:r>
    </w:p>
    <w:p w14:paraId="1B85E7B7" w14:textId="77777777" w:rsidR="0025118A" w:rsidRPr="00101198" w:rsidRDefault="0025118A" w:rsidP="0025118A">
      <w:pPr>
        <w:rPr>
          <w:lang w:eastAsia="en-GB"/>
        </w:rPr>
      </w:pPr>
      <w:r w:rsidRPr="00101198">
        <w:rPr>
          <w:lang w:eastAsia="en-GB"/>
        </w:rPr>
        <w:t>This must not be a blanket refusal based just on your protected characteristics. Instead, the people making decisions for the service must have made a judgment based on valid research information about whether your blood donation might put at risk your health or the health of the wider public. This may be related to your protected characteristics, but it must also be based on valid research information. Equality law says the assessment of the risk to the public or to the person must be ‘based on clinical, epidemiological or other reliable data’.</w:t>
      </w:r>
    </w:p>
    <w:p w14:paraId="7B170B41" w14:textId="77777777" w:rsidR="0025118A" w:rsidRPr="00101198" w:rsidRDefault="0025118A" w:rsidP="0025118A">
      <w:pPr>
        <w:rPr>
          <w:lang w:eastAsia="en-GB"/>
        </w:rPr>
      </w:pPr>
      <w:r w:rsidRPr="00101198">
        <w:rPr>
          <w:lang w:eastAsia="en-GB"/>
        </w:rPr>
        <w:t xml:space="preserve">In addition, the refusal of your blood donation must be </w:t>
      </w:r>
      <w:r w:rsidRPr="00E45863">
        <w:rPr>
          <w:lang w:eastAsia="en-GB"/>
        </w:rPr>
        <w:t>reasonable</w:t>
      </w:r>
      <w:r w:rsidRPr="00101198">
        <w:rPr>
          <w:lang w:eastAsia="en-GB"/>
        </w:rPr>
        <w:t>.</w:t>
      </w:r>
    </w:p>
    <w:p w14:paraId="3E17AA29" w14:textId="77777777" w:rsidR="0025118A" w:rsidRPr="00101198" w:rsidRDefault="0025118A" w:rsidP="0025118A">
      <w:pPr>
        <w:rPr>
          <w:lang w:eastAsia="en-GB"/>
        </w:rPr>
      </w:pPr>
      <w:r w:rsidRPr="00101198">
        <w:rPr>
          <w:lang w:eastAsia="en-GB"/>
        </w:rPr>
        <w:t>Even though</w:t>
      </w:r>
      <w:r w:rsidR="000F6FA1">
        <w:rPr>
          <w:lang w:eastAsia="en-GB"/>
        </w:rPr>
        <w:t>,</w:t>
      </w:r>
      <w:r w:rsidRPr="00101198">
        <w:rPr>
          <w:lang w:eastAsia="en-GB"/>
        </w:rPr>
        <w:t xml:space="preserve"> in refusing your donation, the blood service may be doing something that would otherwise be </w:t>
      </w:r>
      <w:r w:rsidRPr="002D49FD">
        <w:rPr>
          <w:lang w:eastAsia="en-GB"/>
        </w:rPr>
        <w:t>unlawful discrimination</w:t>
      </w:r>
      <w:r w:rsidRPr="00101198">
        <w:rPr>
          <w:lang w:eastAsia="en-GB"/>
        </w:rPr>
        <w:t>, it is allowed to do this as long as three tests are satisfied:</w:t>
      </w:r>
    </w:p>
    <w:p w14:paraId="2CE7AFF3" w14:textId="77777777" w:rsidR="0025118A" w:rsidRPr="00101198" w:rsidRDefault="0025118A" w:rsidP="0025118A">
      <w:pPr>
        <w:pStyle w:val="ListBullet"/>
        <w:rPr>
          <w:lang w:eastAsia="en-GB"/>
        </w:rPr>
      </w:pPr>
      <w:r w:rsidRPr="00101198">
        <w:rPr>
          <w:lang w:eastAsia="en-GB"/>
        </w:rPr>
        <w:t>That an assessment has been made of the risk to you or to the public.</w:t>
      </w:r>
    </w:p>
    <w:p w14:paraId="4F55DAF0" w14:textId="77777777" w:rsidR="0025118A" w:rsidRPr="00101198" w:rsidRDefault="0025118A" w:rsidP="0025118A">
      <w:pPr>
        <w:pStyle w:val="ListBullet"/>
        <w:rPr>
          <w:lang w:eastAsia="en-GB"/>
        </w:rPr>
      </w:pPr>
      <w:r w:rsidRPr="00101198">
        <w:rPr>
          <w:lang w:eastAsia="en-GB"/>
        </w:rPr>
        <w:t>That the assessment was based on reliable data. This will include any information you have given them about your circumstances and research information, but should not include anything that could not be called reliable.</w:t>
      </w:r>
    </w:p>
    <w:p w14:paraId="2BBD04FA" w14:textId="77777777" w:rsidR="0025118A" w:rsidRPr="00101198" w:rsidRDefault="0025118A" w:rsidP="0025118A">
      <w:pPr>
        <w:pStyle w:val="ListBullet"/>
        <w:rPr>
          <w:lang w:eastAsia="en-GB"/>
        </w:rPr>
      </w:pPr>
      <w:r w:rsidRPr="00101198">
        <w:rPr>
          <w:lang w:eastAsia="en-GB"/>
        </w:rPr>
        <w:t>That the refusal is reasonable.</w:t>
      </w:r>
    </w:p>
    <w:p w14:paraId="19B3C050" w14:textId="0531BB1F" w:rsidR="00CD34C8" w:rsidRPr="00101198" w:rsidRDefault="0025118A" w:rsidP="0025118A">
      <w:pPr>
        <w:rPr>
          <w:lang w:eastAsia="en-GB"/>
        </w:rPr>
      </w:pPr>
      <w:r w:rsidRPr="00101198">
        <w:rPr>
          <w:lang w:eastAsia="en-GB"/>
        </w:rPr>
        <w:t xml:space="preserve">Blood also includes blood products such as plasma or red blood cells. </w:t>
      </w:r>
    </w:p>
    <w:tbl>
      <w:tblPr>
        <w:tblStyle w:val="TableGrid"/>
        <w:tblW w:w="5000" w:type="pct"/>
        <w:tblLook w:val="04A0" w:firstRow="1" w:lastRow="0" w:firstColumn="1" w:lastColumn="0" w:noHBand="0" w:noVBand="1"/>
      </w:tblPr>
      <w:tblGrid>
        <w:gridCol w:w="9286"/>
      </w:tblGrid>
      <w:tr w:rsidR="00CD34C8" w14:paraId="07B848EA" w14:textId="77777777" w:rsidTr="00CD34C8">
        <w:tc>
          <w:tcPr>
            <w:tcW w:w="5000" w:type="pct"/>
            <w:tcBorders>
              <w:top w:val="nil"/>
              <w:left w:val="nil"/>
              <w:bottom w:val="nil"/>
              <w:right w:val="nil"/>
            </w:tcBorders>
            <w:shd w:val="clear" w:color="auto" w:fill="DBE5F1" w:themeFill="accent1" w:themeFillTint="33"/>
          </w:tcPr>
          <w:p w14:paraId="5FE457B2" w14:textId="77777777" w:rsidR="00CD34C8" w:rsidRPr="00CD34C8" w:rsidRDefault="00CD34C8" w:rsidP="0025118A">
            <w:pPr>
              <w:rPr>
                <w:rStyle w:val="Strong"/>
              </w:rPr>
            </w:pPr>
            <w:r w:rsidRPr="00CD34C8">
              <w:rPr>
                <w:rStyle w:val="Strong"/>
              </w:rPr>
              <w:t>For example:</w:t>
            </w:r>
          </w:p>
          <w:p w14:paraId="1E0B6AE1" w14:textId="77777777" w:rsidR="00CD34C8" w:rsidRDefault="00CD34C8" w:rsidP="00CD34C8">
            <w:pPr>
              <w:pStyle w:val="ListBullet"/>
            </w:pPr>
            <w:r w:rsidRPr="00101198">
              <w:t xml:space="preserve">A woman who has recently given birth has offered to donate her blood. There is evidence that women who have recently given birth are likely to suffer detrimental effects from giving blood or blood components. A blood service refuses to accept donations from her. Provided the refusal is reasonable, this would not be </w:t>
            </w:r>
            <w:r w:rsidRPr="006643E0">
              <w:t>unlawful direct discrimination</w:t>
            </w:r>
            <w:r w:rsidRPr="00101198">
              <w:t xml:space="preserve"> because of </w:t>
            </w:r>
            <w:r w:rsidRPr="00CD34C8">
              <w:rPr>
                <w:rStyle w:val="Strong"/>
              </w:rPr>
              <w:t>maternity</w:t>
            </w:r>
            <w:r w:rsidRPr="00101198">
              <w:t>.</w:t>
            </w:r>
          </w:p>
          <w:p w14:paraId="36BDDF8A" w14:textId="77777777" w:rsidR="006A07C8" w:rsidRPr="006A07C8" w:rsidRDefault="006A07C8" w:rsidP="006A07C8"/>
          <w:p w14:paraId="3F85B688" w14:textId="106402FF" w:rsidR="00CD34C8" w:rsidRDefault="00CD34C8" w:rsidP="0025118A">
            <w:pPr>
              <w:pStyle w:val="ListBullet"/>
            </w:pPr>
            <w:r w:rsidRPr="00101198">
              <w:t xml:space="preserve">A woman has recently arrived in Great Britain, having been living in a country where malaria is widespread. She wants to donate blood but is told she has to wait a year. There is evidence that accepting blood from a person who has recently travelled in a malaria area is a risk to people who might receive the blood, because the person may be infected with malaria which has not yet produced any symptoms. Even though the refusal will have a greater impact on people who have recently travelled from abroad who are more likely to be of non-UK national origin, this will not be </w:t>
            </w:r>
            <w:r w:rsidRPr="00CD34C8">
              <w:rPr>
                <w:rStyle w:val="Strong"/>
              </w:rPr>
              <w:t>indirect race discrimination</w:t>
            </w:r>
            <w:r w:rsidRPr="00101198">
              <w:t>, provided the refusal is reasonable.</w:t>
            </w:r>
          </w:p>
        </w:tc>
      </w:tr>
    </w:tbl>
    <w:p w14:paraId="59B5B20D" w14:textId="77777777" w:rsidR="0025118A" w:rsidRPr="00101198" w:rsidRDefault="0025118A" w:rsidP="00921E87">
      <w:pPr>
        <w:pStyle w:val="L3Heading"/>
      </w:pPr>
      <w:bookmarkStart w:id="48" w:name="_Toc297124716"/>
      <w:bookmarkStart w:id="49" w:name="_Toc297300498"/>
      <w:r w:rsidRPr="00101198">
        <w:t>Access to fertility treatment</w:t>
      </w:r>
      <w:bookmarkEnd w:id="48"/>
      <w:bookmarkEnd w:id="49"/>
    </w:p>
    <w:p w14:paraId="2A7C87F2" w14:textId="77777777" w:rsidR="0025118A" w:rsidRPr="00101198" w:rsidRDefault="0025118A" w:rsidP="0025118A">
      <w:pPr>
        <w:rPr>
          <w:lang w:eastAsia="en-GB"/>
        </w:rPr>
      </w:pPr>
      <w:r w:rsidRPr="00101198">
        <w:rPr>
          <w:lang w:eastAsia="en-GB"/>
        </w:rPr>
        <w:t>This guide only looks at how equality law affects how services are provided.</w:t>
      </w:r>
    </w:p>
    <w:p w14:paraId="067825FC" w14:textId="77777777" w:rsidR="0025118A" w:rsidRPr="00101198" w:rsidRDefault="0025118A" w:rsidP="0025118A">
      <w:pPr>
        <w:rPr>
          <w:lang w:eastAsia="en-GB"/>
        </w:rPr>
      </w:pPr>
      <w:r w:rsidRPr="00101198">
        <w:rPr>
          <w:lang w:eastAsia="en-GB"/>
        </w:rPr>
        <w:t>Other laws apply to fertility treatment and decisions about who should receive what treatment. You can find out more about those laws from the Human Fertilisation and Embryology Authority.</w:t>
      </w:r>
    </w:p>
    <w:p w14:paraId="4A55EA92" w14:textId="77777777" w:rsidR="0025118A" w:rsidRPr="00101198" w:rsidRDefault="0025118A" w:rsidP="0025118A">
      <w:pPr>
        <w:rPr>
          <w:lang w:eastAsia="en-GB"/>
        </w:rPr>
      </w:pPr>
      <w:r w:rsidRPr="00101198">
        <w:rPr>
          <w:lang w:eastAsia="en-GB"/>
        </w:rPr>
        <w:t>Service providers which provide or manage fertility treatment of all kinds are covered by equality law just like any other healthcare or social care provider.</w:t>
      </w:r>
    </w:p>
    <w:p w14:paraId="48DD6EE8" w14:textId="44C67B54" w:rsidR="00CD34C8" w:rsidRPr="00101198" w:rsidRDefault="0025118A" w:rsidP="0025118A">
      <w:pPr>
        <w:rPr>
          <w:lang w:eastAsia="en-GB"/>
        </w:rPr>
      </w:pPr>
      <w:r w:rsidRPr="00101198">
        <w:rPr>
          <w:lang w:eastAsia="en-GB"/>
        </w:rPr>
        <w:t xml:space="preserve">That means that, in general, you can expect a fertility service (and the people who work for it or do things on its behalf) to do everything equality law says any other healthcare or social care provider must do. </w:t>
      </w:r>
    </w:p>
    <w:tbl>
      <w:tblPr>
        <w:tblStyle w:val="TableGrid"/>
        <w:tblW w:w="5000" w:type="pct"/>
        <w:tblLook w:val="04A0" w:firstRow="1" w:lastRow="0" w:firstColumn="1" w:lastColumn="0" w:noHBand="0" w:noVBand="1"/>
      </w:tblPr>
      <w:tblGrid>
        <w:gridCol w:w="9286"/>
      </w:tblGrid>
      <w:tr w:rsidR="00CD34C8" w14:paraId="2BCAD12E" w14:textId="77777777" w:rsidTr="00CD34C8">
        <w:tc>
          <w:tcPr>
            <w:tcW w:w="5000" w:type="pct"/>
            <w:tcBorders>
              <w:top w:val="nil"/>
              <w:left w:val="nil"/>
              <w:bottom w:val="nil"/>
              <w:right w:val="nil"/>
            </w:tcBorders>
            <w:shd w:val="clear" w:color="auto" w:fill="DBE5F1" w:themeFill="accent1" w:themeFillTint="33"/>
          </w:tcPr>
          <w:p w14:paraId="4DF7858A" w14:textId="75E01BAE" w:rsidR="00CD34C8" w:rsidRDefault="00CD34C8" w:rsidP="00CD34C8">
            <w:pPr>
              <w:rPr>
                <w:lang w:eastAsia="en-GB"/>
              </w:rPr>
            </w:pPr>
            <w:r w:rsidRPr="00CD34C8">
              <w:rPr>
                <w:rStyle w:val="Strong"/>
              </w:rPr>
              <w:t>For example:</w:t>
            </w:r>
            <w:r w:rsidRPr="00101198">
              <w:rPr>
                <w:lang w:eastAsia="en-GB"/>
              </w:rPr>
              <w:t xml:space="preserve"> A healthcare provider can refuse to provide fertility treatment if there is a good clinical or service-based reason to do so, but not because staff make a judgment about a person based on a protected characteristic.</w:t>
            </w:r>
          </w:p>
        </w:tc>
      </w:tr>
    </w:tbl>
    <w:p w14:paraId="55EDC04A" w14:textId="70768FFF" w:rsidR="0025118A" w:rsidRPr="00101198" w:rsidRDefault="0025118A" w:rsidP="00921E87">
      <w:pPr>
        <w:pStyle w:val="L4Headers"/>
        <w:rPr>
          <w:lang w:eastAsia="en-GB"/>
        </w:rPr>
      </w:pPr>
      <w:r w:rsidRPr="00101198">
        <w:rPr>
          <w:lang w:eastAsia="en-GB"/>
        </w:rPr>
        <w:t>Fertility treatment for disabled people</w:t>
      </w:r>
    </w:p>
    <w:p w14:paraId="1CF6CD1F" w14:textId="77777777" w:rsidR="0025118A" w:rsidRPr="00101198" w:rsidRDefault="0025118A" w:rsidP="0025118A">
      <w:pPr>
        <w:rPr>
          <w:lang w:eastAsia="en-GB"/>
        </w:rPr>
      </w:pPr>
      <w:r w:rsidRPr="00101198">
        <w:rPr>
          <w:lang w:eastAsia="en-GB"/>
        </w:rPr>
        <w:t xml:space="preserve">If you are a disabled person, a healthcare or social care provider who offers fertility treatment must make </w:t>
      </w:r>
      <w:r w:rsidRPr="00CD34C8">
        <w:rPr>
          <w:rStyle w:val="Strong"/>
        </w:rPr>
        <w:t>reasonable adjustments</w:t>
      </w:r>
      <w:r w:rsidRPr="00101198">
        <w:rPr>
          <w:lang w:eastAsia="en-GB"/>
        </w:rPr>
        <w:t>, for example, in how information is provided to you. This is so you can use the services as far as is reasonable to the same standard as non-disabled people.</w:t>
      </w:r>
    </w:p>
    <w:p w14:paraId="4327E9DD" w14:textId="77777777" w:rsidR="0025118A" w:rsidRPr="00101198" w:rsidRDefault="0025118A" w:rsidP="0025118A">
      <w:pPr>
        <w:rPr>
          <w:lang w:eastAsia="en-GB"/>
        </w:rPr>
      </w:pPr>
      <w:r w:rsidRPr="00101198">
        <w:rPr>
          <w:lang w:eastAsia="en-GB"/>
        </w:rPr>
        <w:t>You may receive a different service if you are a disabled person because of the type of reasonable adjustment that is provided. However, you must not receive a worse service just because you are a disabled person, or because stereotyped assumptions are made either about your ability to care for a child or about the impact of pregnancy on your situation.</w:t>
      </w:r>
    </w:p>
    <w:p w14:paraId="6D43A7B0" w14:textId="77777777" w:rsidR="0025118A" w:rsidRPr="00101198" w:rsidRDefault="0025118A" w:rsidP="0025118A">
      <w:pPr>
        <w:rPr>
          <w:lang w:eastAsia="en-GB"/>
        </w:rPr>
      </w:pPr>
      <w:r w:rsidRPr="00101198">
        <w:rPr>
          <w:lang w:eastAsia="en-GB"/>
        </w:rPr>
        <w:t xml:space="preserve">It would be allowed under equality law to refuse treatment based on a clinical judgment if: </w:t>
      </w:r>
    </w:p>
    <w:p w14:paraId="5784F410" w14:textId="774FC484" w:rsidR="0025118A" w:rsidRPr="00101198" w:rsidRDefault="0025118A" w:rsidP="00CD34C8">
      <w:pPr>
        <w:pStyle w:val="ListBullet"/>
      </w:pPr>
      <w:r w:rsidRPr="00101198">
        <w:t xml:space="preserve">You have a medical condition that could become worse as a result of </w:t>
      </w:r>
      <w:r w:rsidR="006A07C8">
        <w:t>fertility </w:t>
      </w:r>
      <w:r w:rsidRPr="00101198">
        <w:t>treatment.</w:t>
      </w:r>
    </w:p>
    <w:p w14:paraId="2293DDA9" w14:textId="6A35D790" w:rsidR="0025118A" w:rsidRPr="00101198" w:rsidRDefault="0025118A" w:rsidP="00CD34C8">
      <w:pPr>
        <w:pStyle w:val="ListBullet"/>
      </w:pPr>
      <w:r w:rsidRPr="00101198">
        <w:t>You have a medical condition that could become worse as a result of pregnancy.</w:t>
      </w:r>
    </w:p>
    <w:p w14:paraId="1DAB59B0" w14:textId="3A3DD089" w:rsidR="0025118A" w:rsidRPr="00101198" w:rsidRDefault="0025118A" w:rsidP="00CD34C8">
      <w:pPr>
        <w:pStyle w:val="ListBullet"/>
      </w:pPr>
      <w:r w:rsidRPr="00101198">
        <w:t xml:space="preserve">There is substantial evidence to indicate that fertility treatment would not </w:t>
      </w:r>
      <w:r w:rsidR="006A07C8">
        <w:t>be </w:t>
      </w:r>
      <w:r w:rsidRPr="00101198">
        <w:t>successful.</w:t>
      </w:r>
    </w:p>
    <w:p w14:paraId="519C7EBE" w14:textId="77777777" w:rsidR="0025118A" w:rsidRPr="00101198" w:rsidRDefault="0025118A" w:rsidP="00921E87">
      <w:pPr>
        <w:pStyle w:val="L4Headers"/>
        <w:rPr>
          <w:lang w:eastAsia="en-GB"/>
        </w:rPr>
      </w:pPr>
      <w:r w:rsidRPr="00101198">
        <w:rPr>
          <w:lang w:eastAsia="en-GB"/>
        </w:rPr>
        <w:t>A supportive parenting environment</w:t>
      </w:r>
    </w:p>
    <w:p w14:paraId="7BB715A3" w14:textId="77777777" w:rsidR="0025118A" w:rsidRPr="00101198" w:rsidRDefault="0025118A" w:rsidP="0025118A">
      <w:pPr>
        <w:rPr>
          <w:lang w:eastAsia="en-GB"/>
        </w:rPr>
      </w:pPr>
      <w:r w:rsidRPr="00101198">
        <w:rPr>
          <w:lang w:eastAsia="en-GB"/>
        </w:rPr>
        <w:t>Fertility services can take into account your ability to offer a supportive parenting environment to a child born as a result of fertility treatment. However, the service should not, for example, make assumptions that supportive parenting environments can only be offered by mixed sex or married couples and not by same-sex couples or civil partners. This is likely to be unlawful discrimination because of sexual orientation.</w:t>
      </w:r>
    </w:p>
    <w:p w14:paraId="490C3C73" w14:textId="2A5A3A95" w:rsidR="00CD34C8" w:rsidRDefault="00CD34C8" w:rsidP="00CD34C8">
      <w:bookmarkStart w:id="50" w:name="_Toc288557209"/>
      <w:bookmarkStart w:id="51" w:name="_Toc288575875"/>
    </w:p>
    <w:p w14:paraId="4C8793CB" w14:textId="77777777" w:rsidR="00871EC3" w:rsidRDefault="00871EC3" w:rsidP="00CD34C8">
      <w:pPr>
        <w:sectPr w:rsidR="00871EC3" w:rsidSect="00D21EFB">
          <w:pgSz w:w="11906" w:h="16838" w:code="9"/>
          <w:pgMar w:top="1418" w:right="1418" w:bottom="1418" w:left="1418" w:header="624" w:footer="624" w:gutter="0"/>
          <w:cols w:space="720"/>
          <w:noEndnote/>
        </w:sectPr>
      </w:pPr>
    </w:p>
    <w:p w14:paraId="7E01722B" w14:textId="20267B76" w:rsidR="006878F9" w:rsidRPr="005E79F4" w:rsidRDefault="006878F9" w:rsidP="00921E87">
      <w:pPr>
        <w:pStyle w:val="L1Headers"/>
      </w:pPr>
      <w:bookmarkStart w:id="52" w:name="chapter2"/>
      <w:bookmarkStart w:id="53" w:name="_Toc297300499"/>
      <w:bookmarkEnd w:id="52"/>
      <w:r w:rsidRPr="005E79F4">
        <w:t>What equality law says about delivering services: staff, places, advertisements and marketing, written materials, websit</w:t>
      </w:r>
      <w:r w:rsidR="00C110E7">
        <w:t>es, telephone services and call </w:t>
      </w:r>
      <w:r w:rsidRPr="005E79F4">
        <w:t>centres</w:t>
      </w:r>
      <w:bookmarkEnd w:id="50"/>
      <w:bookmarkEnd w:id="51"/>
      <w:bookmarkEnd w:id="53"/>
    </w:p>
    <w:p w14:paraId="1885C712" w14:textId="77777777" w:rsidR="006878F9" w:rsidRPr="00061996" w:rsidRDefault="006878F9" w:rsidP="006878F9">
      <w:pPr>
        <w:rPr>
          <w:lang w:eastAsia="en-GB"/>
        </w:rPr>
      </w:pPr>
      <w:r w:rsidRPr="00061996">
        <w:rPr>
          <w:lang w:eastAsia="en-GB"/>
        </w:rPr>
        <w:t xml:space="preserve">When a person or organisation is providing you with </w:t>
      </w:r>
      <w:r w:rsidRPr="00CD34C8">
        <w:rPr>
          <w:rStyle w:val="Strong"/>
        </w:rPr>
        <w:t>goods, facilities</w:t>
      </w:r>
      <w:r w:rsidRPr="00061996">
        <w:rPr>
          <w:lang w:eastAsia="en-GB"/>
        </w:rPr>
        <w:t xml:space="preserve"> or </w:t>
      </w:r>
      <w:r w:rsidRPr="00CD34C8">
        <w:rPr>
          <w:rStyle w:val="Strong"/>
        </w:rPr>
        <w:t>services</w:t>
      </w:r>
      <w:r w:rsidRPr="00061996">
        <w:rPr>
          <w:lang w:eastAsia="en-GB"/>
        </w:rPr>
        <w:t>, the way they deliver their services to you matters.</w:t>
      </w:r>
    </w:p>
    <w:p w14:paraId="5F32C34C" w14:textId="77777777" w:rsidR="006878F9" w:rsidRPr="00061996" w:rsidRDefault="006878F9" w:rsidP="006878F9">
      <w:pPr>
        <w:rPr>
          <w:lang w:eastAsia="en-GB"/>
        </w:rPr>
      </w:pPr>
      <w:r w:rsidRPr="00061996">
        <w:rPr>
          <w:lang w:eastAsia="en-GB"/>
        </w:rPr>
        <w:t>This is true whether you are dealing with a business, a public sector organisation, a voluntary or community sector organisation, or an association or club.</w:t>
      </w:r>
    </w:p>
    <w:p w14:paraId="397B1892" w14:textId="77777777" w:rsidR="006878F9" w:rsidRPr="00C110E7" w:rsidRDefault="006878F9" w:rsidP="006878F9">
      <w:pPr>
        <w:rPr>
          <w:spacing w:val="-4"/>
          <w:lang w:eastAsia="en-GB"/>
        </w:rPr>
      </w:pPr>
      <w:r w:rsidRPr="00C110E7">
        <w:rPr>
          <w:spacing w:val="-4"/>
          <w:lang w:eastAsia="en-GB"/>
        </w:rPr>
        <w:t>People and organisations providing services, including goods and facilities, (</w:t>
      </w:r>
      <w:r w:rsidRPr="00C110E7">
        <w:rPr>
          <w:rStyle w:val="Strong"/>
          <w:spacing w:val="-4"/>
        </w:rPr>
        <w:t>service</w:t>
      </w:r>
      <w:r w:rsidRPr="00C110E7">
        <w:rPr>
          <w:spacing w:val="-4"/>
          <w:lang w:eastAsia="en-GB"/>
        </w:rPr>
        <w:t xml:space="preserve"> </w:t>
      </w:r>
      <w:r w:rsidRPr="00C110E7">
        <w:rPr>
          <w:rStyle w:val="Strong"/>
          <w:spacing w:val="-4"/>
        </w:rPr>
        <w:t>providers</w:t>
      </w:r>
      <w:r w:rsidRPr="00C110E7">
        <w:rPr>
          <w:spacing w:val="-4"/>
          <w:lang w:eastAsia="en-GB"/>
        </w:rPr>
        <w:t>) must make sure that they do what equality law says they must in relation to:</w:t>
      </w:r>
    </w:p>
    <w:p w14:paraId="426A6A56" w14:textId="77777777" w:rsidR="006878F9" w:rsidRPr="00061996" w:rsidRDefault="006878F9" w:rsidP="006878F9">
      <w:pPr>
        <w:pStyle w:val="ListBullet"/>
        <w:rPr>
          <w:lang w:eastAsia="en-GB"/>
        </w:rPr>
      </w:pPr>
      <w:r w:rsidRPr="00061996">
        <w:rPr>
          <w:lang w:eastAsia="en-GB"/>
        </w:rPr>
        <w:t xml:space="preserve">the behaviour of staff who are dealing with you as a </w:t>
      </w:r>
      <w:r w:rsidRPr="000114BE">
        <w:rPr>
          <w:lang w:eastAsia="en-GB"/>
        </w:rPr>
        <w:t>customer, client, service user, club member, associate member</w:t>
      </w:r>
      <w:r w:rsidRPr="00061996">
        <w:rPr>
          <w:lang w:eastAsia="en-GB"/>
        </w:rPr>
        <w:t xml:space="preserve"> or </w:t>
      </w:r>
      <w:r w:rsidRPr="00CD34C8">
        <w:rPr>
          <w:rStyle w:val="Strong"/>
        </w:rPr>
        <w:t>guest</w:t>
      </w:r>
      <w:r w:rsidRPr="00061996">
        <w:rPr>
          <w:lang w:eastAsia="en-GB"/>
        </w:rPr>
        <w:t>, or who are taking decisions about how they provide their goods, facilities or services to the public</w:t>
      </w:r>
    </w:p>
    <w:p w14:paraId="077E4228" w14:textId="77777777" w:rsidR="006878F9" w:rsidRPr="00061996" w:rsidRDefault="006878F9" w:rsidP="006878F9">
      <w:pPr>
        <w:pStyle w:val="ListBullet"/>
        <w:rPr>
          <w:lang w:eastAsia="en-GB"/>
        </w:rPr>
      </w:pPr>
      <w:r w:rsidRPr="00061996">
        <w:rPr>
          <w:lang w:eastAsia="en-GB"/>
        </w:rPr>
        <w:t>the building or other place where the services are delivered, if this is open to the public or a section of the public</w:t>
      </w:r>
    </w:p>
    <w:p w14:paraId="11BCB500" w14:textId="77777777" w:rsidR="006878F9" w:rsidRPr="00061996" w:rsidRDefault="006878F9" w:rsidP="006878F9">
      <w:pPr>
        <w:pStyle w:val="ListBullet"/>
        <w:rPr>
          <w:lang w:eastAsia="en-GB"/>
        </w:rPr>
      </w:pPr>
      <w:r w:rsidRPr="00061996">
        <w:rPr>
          <w:lang w:eastAsia="en-GB"/>
        </w:rPr>
        <w:t>advertisements and marketing</w:t>
      </w:r>
    </w:p>
    <w:p w14:paraId="0F788AE2" w14:textId="77777777" w:rsidR="006878F9" w:rsidRPr="00061996" w:rsidRDefault="006878F9" w:rsidP="006878F9">
      <w:pPr>
        <w:pStyle w:val="ListBullet"/>
        <w:rPr>
          <w:lang w:eastAsia="en-GB"/>
        </w:rPr>
      </w:pPr>
      <w:r w:rsidRPr="00061996">
        <w:rPr>
          <w:lang w:eastAsia="en-GB"/>
        </w:rPr>
        <w:t>written materials, for example, information leaflets the person or organisation provide as part of their service</w:t>
      </w:r>
    </w:p>
    <w:p w14:paraId="1E74B753" w14:textId="77777777" w:rsidR="006878F9" w:rsidRPr="00061996" w:rsidRDefault="006878F9" w:rsidP="006878F9">
      <w:pPr>
        <w:pStyle w:val="ListBullet"/>
        <w:rPr>
          <w:lang w:eastAsia="en-GB"/>
        </w:rPr>
      </w:pPr>
      <w:r w:rsidRPr="00061996">
        <w:rPr>
          <w:lang w:eastAsia="en-GB"/>
        </w:rPr>
        <w:t>websites and internet services</w:t>
      </w:r>
    </w:p>
    <w:p w14:paraId="7EA9BFF8" w14:textId="77777777" w:rsidR="006878F9" w:rsidRPr="00061996" w:rsidRDefault="006878F9" w:rsidP="006878F9">
      <w:pPr>
        <w:pStyle w:val="ListBullet"/>
        <w:rPr>
          <w:lang w:eastAsia="en-GB"/>
        </w:rPr>
      </w:pPr>
      <w:r w:rsidRPr="00061996">
        <w:rPr>
          <w:lang w:eastAsia="en-GB"/>
        </w:rPr>
        <w:t>telephone access and call centres.</w:t>
      </w:r>
    </w:p>
    <w:p w14:paraId="51367E9C" w14:textId="083DA492" w:rsidR="006878F9" w:rsidRPr="00061996" w:rsidRDefault="006878F9" w:rsidP="00921E87">
      <w:pPr>
        <w:pStyle w:val="L2Headers"/>
        <w:rPr>
          <w:lang w:eastAsia="en-GB"/>
        </w:rPr>
      </w:pPr>
      <w:bookmarkStart w:id="54" w:name="_Toc288557210"/>
      <w:bookmarkStart w:id="55" w:name="_Toc288575876"/>
      <w:bookmarkStart w:id="56" w:name="_Toc297124717"/>
      <w:bookmarkStart w:id="57" w:name="_Toc297300500"/>
      <w:r w:rsidRPr="00061996">
        <w:rPr>
          <w:lang w:eastAsia="en-GB"/>
        </w:rPr>
        <w:t>Staff behaviour</w:t>
      </w:r>
      <w:bookmarkEnd w:id="54"/>
      <w:bookmarkEnd w:id="55"/>
      <w:bookmarkEnd w:id="56"/>
      <w:bookmarkEnd w:id="57"/>
    </w:p>
    <w:p w14:paraId="32A407B5" w14:textId="77777777" w:rsidR="006878F9" w:rsidRPr="00061996" w:rsidRDefault="006878F9" w:rsidP="006878F9">
      <w:pPr>
        <w:rPr>
          <w:lang w:eastAsia="en-GB"/>
        </w:rPr>
      </w:pPr>
      <w:r w:rsidRPr="00061996">
        <w:rPr>
          <w:lang w:eastAsia="en-GB"/>
        </w:rPr>
        <w:t xml:space="preserve">How people who work for a service provider behave towards you in relation to your </w:t>
      </w:r>
      <w:r w:rsidRPr="00871EC3">
        <w:rPr>
          <w:rStyle w:val="Strong"/>
        </w:rPr>
        <w:t>protected characteristics</w:t>
      </w:r>
      <w:r w:rsidRPr="00061996">
        <w:rPr>
          <w:lang w:eastAsia="en-GB"/>
        </w:rPr>
        <w:t xml:space="preserve"> is very important. Often what staff do (or don’t do) will make a difference to whether they deliver services to you without </w:t>
      </w:r>
      <w:r w:rsidRPr="0057589E">
        <w:rPr>
          <w:lang w:eastAsia="en-GB"/>
        </w:rPr>
        <w:t>unlawful discrimination</w:t>
      </w:r>
      <w:r w:rsidRPr="00061996">
        <w:rPr>
          <w:lang w:eastAsia="en-GB"/>
        </w:rPr>
        <w:t xml:space="preserve">, </w:t>
      </w:r>
      <w:r w:rsidRPr="00871EC3">
        <w:rPr>
          <w:rStyle w:val="Strong"/>
        </w:rPr>
        <w:t>harassment</w:t>
      </w:r>
      <w:r w:rsidRPr="00061996">
        <w:rPr>
          <w:lang w:eastAsia="en-GB"/>
        </w:rPr>
        <w:t xml:space="preserve"> or </w:t>
      </w:r>
      <w:r w:rsidRPr="00871EC3">
        <w:rPr>
          <w:rStyle w:val="Strong"/>
        </w:rPr>
        <w:t>victimisation</w:t>
      </w:r>
      <w:r w:rsidRPr="00061996">
        <w:rPr>
          <w:lang w:eastAsia="en-GB"/>
        </w:rPr>
        <w:t xml:space="preserve"> and whether they make </w:t>
      </w:r>
      <w:r w:rsidRPr="00871EC3">
        <w:rPr>
          <w:rStyle w:val="Strong"/>
        </w:rPr>
        <w:t>reasonable</w:t>
      </w:r>
      <w:r w:rsidRPr="00871EC3">
        <w:t xml:space="preserve"> </w:t>
      </w:r>
      <w:r w:rsidRPr="00871EC3">
        <w:rPr>
          <w:rStyle w:val="Strong"/>
        </w:rPr>
        <w:t>adjustments</w:t>
      </w:r>
      <w:r w:rsidRPr="00061996">
        <w:rPr>
          <w:lang w:eastAsia="en-GB"/>
        </w:rPr>
        <w:t xml:space="preserve"> for you if you are a disabled person.</w:t>
      </w:r>
    </w:p>
    <w:p w14:paraId="59C866D8" w14:textId="77777777" w:rsidR="006878F9" w:rsidRPr="00061996" w:rsidRDefault="006878F9" w:rsidP="006878F9">
      <w:pPr>
        <w:rPr>
          <w:lang w:eastAsia="en-GB"/>
        </w:rPr>
      </w:pPr>
      <w:r w:rsidRPr="00061996">
        <w:rPr>
          <w:lang w:eastAsia="en-GB"/>
        </w:rPr>
        <w:t>This does not just apply to situations where people are dealing directly with you, but also to how they plan their services.</w:t>
      </w:r>
    </w:p>
    <w:p w14:paraId="781E603B" w14:textId="77777777" w:rsidR="006878F9" w:rsidRPr="00061996" w:rsidRDefault="006878F9" w:rsidP="006878F9">
      <w:pPr>
        <w:rPr>
          <w:lang w:eastAsia="en-GB"/>
        </w:rPr>
      </w:pPr>
      <w:r w:rsidRPr="00061996">
        <w:rPr>
          <w:lang w:eastAsia="en-GB"/>
        </w:rPr>
        <w:t xml:space="preserve">When someone is planning services, they might make a decision, apply a rule or work out a way of doing things which will affect how you access their services. If this has a worse impact on you and other people with a particular protected characteristic than on people who do not share that characteristic, then it will be </w:t>
      </w:r>
      <w:r w:rsidRPr="00871EC3">
        <w:rPr>
          <w:rStyle w:val="Strong"/>
        </w:rPr>
        <w:t>indirect discrimination</w:t>
      </w:r>
      <w:r w:rsidRPr="00061996">
        <w:rPr>
          <w:lang w:eastAsia="en-GB"/>
        </w:rPr>
        <w:t xml:space="preserve"> unless they are able to </w:t>
      </w:r>
      <w:r w:rsidRPr="00871EC3">
        <w:rPr>
          <w:rStyle w:val="Strong"/>
        </w:rPr>
        <w:t>objectively justify</w:t>
      </w:r>
      <w:r w:rsidRPr="00061996">
        <w:rPr>
          <w:lang w:eastAsia="en-GB"/>
        </w:rPr>
        <w:t xml:space="preserve"> the decision, rule or way of doing things.</w:t>
      </w:r>
    </w:p>
    <w:p w14:paraId="405EA9A0" w14:textId="77777777" w:rsidR="006878F9" w:rsidRDefault="006878F9" w:rsidP="006878F9">
      <w:pPr>
        <w:rPr>
          <w:lang w:eastAsia="en-GB"/>
        </w:rPr>
      </w:pPr>
      <w:r w:rsidRPr="00061996">
        <w:rPr>
          <w:lang w:eastAsia="en-GB"/>
        </w:rPr>
        <w:t>Equality law does not say exactly how an organisation should tell staff how to behave to avoid unlawful discrimination, harassment and victimisation. But it is clear that an organisation that does not bother to do this risks being held legally responsible by a court for unlawful discrimination, harassment or victimisation carried out by its staff.</w:t>
      </w:r>
    </w:p>
    <w:tbl>
      <w:tblPr>
        <w:tblStyle w:val="TableGrid"/>
        <w:tblW w:w="5000" w:type="pct"/>
        <w:tblLook w:val="04A0" w:firstRow="1" w:lastRow="0" w:firstColumn="1" w:lastColumn="0" w:noHBand="0" w:noVBand="1"/>
      </w:tblPr>
      <w:tblGrid>
        <w:gridCol w:w="9286"/>
      </w:tblGrid>
      <w:tr w:rsidR="00871EC3" w14:paraId="449ADC42" w14:textId="77777777" w:rsidTr="001510D9">
        <w:tc>
          <w:tcPr>
            <w:tcW w:w="5000" w:type="pct"/>
            <w:tcBorders>
              <w:top w:val="single" w:sz="4" w:space="0" w:color="E2007A"/>
              <w:left w:val="single" w:sz="4" w:space="0" w:color="E2007A"/>
              <w:bottom w:val="single" w:sz="4" w:space="0" w:color="E2007A"/>
              <w:right w:val="single" w:sz="4" w:space="0" w:color="E2007A"/>
            </w:tcBorders>
          </w:tcPr>
          <w:p w14:paraId="7F22E30F" w14:textId="77777777" w:rsidR="00871EC3" w:rsidRPr="00871EC3" w:rsidRDefault="00871EC3" w:rsidP="00871EC3">
            <w:pPr>
              <w:pStyle w:val="L4Headers"/>
              <w:rPr>
                <w:color w:val="E2007A"/>
                <w:lang w:eastAsia="en-GB"/>
              </w:rPr>
            </w:pPr>
            <w:r w:rsidRPr="00871EC3">
              <w:rPr>
                <w:color w:val="E2007A"/>
                <w:lang w:eastAsia="en-GB"/>
              </w:rPr>
              <w:t>Equality good practice: what to look for</w:t>
            </w:r>
          </w:p>
          <w:p w14:paraId="6A6BCCC0" w14:textId="0D5C96D5" w:rsidR="00871EC3" w:rsidRDefault="00871EC3" w:rsidP="006878F9">
            <w:pPr>
              <w:rPr>
                <w:lang w:eastAsia="en-GB"/>
              </w:rPr>
            </w:pPr>
            <w:r w:rsidRPr="00061996">
              <w:rPr>
                <w:lang w:eastAsia="en-GB"/>
              </w:rPr>
              <w:t xml:space="preserve">If equality matters to you, look out for organisations who tell you about their </w:t>
            </w:r>
            <w:r w:rsidRPr="00871EC3">
              <w:rPr>
                <w:rStyle w:val="Strong"/>
              </w:rPr>
              <w:t>equality policy</w:t>
            </w:r>
            <w:r w:rsidRPr="00061996">
              <w:rPr>
                <w:lang w:eastAsia="en-GB"/>
              </w:rPr>
              <w:t xml:space="preserve"> and the </w:t>
            </w:r>
            <w:r w:rsidRPr="00871EC3">
              <w:rPr>
                <w:rStyle w:val="Strong"/>
              </w:rPr>
              <w:t>equality training</w:t>
            </w:r>
            <w:r w:rsidRPr="00061996">
              <w:rPr>
                <w:lang w:eastAsia="en-GB"/>
              </w:rPr>
              <w:t xml:space="preserve"> they give their staff, or other ways they set standards for their staff to meet so that they do not discriminate against customers, clients, service users, members or guests.</w:t>
            </w:r>
          </w:p>
        </w:tc>
      </w:tr>
    </w:tbl>
    <w:p w14:paraId="2E1893DE" w14:textId="77777777" w:rsidR="006878F9" w:rsidRPr="00061996" w:rsidRDefault="006878F9" w:rsidP="006878F9">
      <w:pPr>
        <w:rPr>
          <w:lang w:eastAsia="en-GB"/>
        </w:rPr>
      </w:pPr>
      <w:r w:rsidRPr="00061996">
        <w:rPr>
          <w:lang w:eastAsia="en-GB"/>
        </w:rPr>
        <w:t>The rest of this guide tells you more about the standards you can expect in particular situations or when dealing with a particular type of service provider.</w:t>
      </w:r>
    </w:p>
    <w:p w14:paraId="7FED7DD7" w14:textId="2A0ACE12" w:rsidR="006878F9" w:rsidRDefault="006878F9" w:rsidP="006878F9">
      <w:pPr>
        <w:rPr>
          <w:lang w:eastAsia="en-GB"/>
        </w:rPr>
      </w:pPr>
      <w:r w:rsidRPr="00061996">
        <w:rPr>
          <w:lang w:eastAsia="en-GB"/>
        </w:rPr>
        <w:t xml:space="preserve">You can read more about what to do if you believe you’ve been discriminated against </w:t>
      </w:r>
      <w:r>
        <w:rPr>
          <w:lang w:eastAsia="en-GB"/>
        </w:rPr>
        <w:t xml:space="preserve">in </w:t>
      </w:r>
      <w:hyperlink w:anchor="chapter5" w:history="1">
        <w:r w:rsidRPr="00AA46A5">
          <w:rPr>
            <w:rStyle w:val="Hyperlink"/>
            <w:rFonts w:cs="Times New Roman"/>
            <w:szCs w:val="24"/>
            <w:lang w:eastAsia="en-GB"/>
          </w:rPr>
          <w:t>Chapter 5</w:t>
        </w:r>
      </w:hyperlink>
      <w:r w:rsidRPr="00061996">
        <w:rPr>
          <w:lang w:eastAsia="en-GB"/>
        </w:rPr>
        <w:t>.</w:t>
      </w:r>
    </w:p>
    <w:p w14:paraId="34132DCA" w14:textId="5ED07200" w:rsidR="00871EC3" w:rsidRDefault="00871EC3">
      <w:pPr>
        <w:spacing w:before="0" w:after="0" w:line="240" w:lineRule="auto"/>
        <w:rPr>
          <w:lang w:eastAsia="en-GB"/>
        </w:rPr>
      </w:pPr>
      <w:r>
        <w:rPr>
          <w:lang w:eastAsia="en-GB"/>
        </w:rPr>
        <w:br w:type="page"/>
      </w:r>
    </w:p>
    <w:p w14:paraId="5501AB46" w14:textId="3FDF3601" w:rsidR="006878F9" w:rsidRPr="00061996" w:rsidRDefault="006878F9" w:rsidP="00921E87">
      <w:pPr>
        <w:pStyle w:val="L2Headers"/>
        <w:rPr>
          <w:lang w:eastAsia="en-GB"/>
        </w:rPr>
      </w:pPr>
      <w:bookmarkStart w:id="58" w:name="_Toc288557211"/>
      <w:bookmarkStart w:id="59" w:name="_Toc288575877"/>
      <w:bookmarkStart w:id="60" w:name="_Toc297124718"/>
      <w:bookmarkStart w:id="61" w:name="_Toc297300501"/>
      <w:r w:rsidRPr="00061996">
        <w:rPr>
          <w:lang w:eastAsia="en-GB"/>
        </w:rPr>
        <w:t>The building or other place where services are delivered</w:t>
      </w:r>
      <w:bookmarkEnd w:id="58"/>
      <w:bookmarkEnd w:id="59"/>
      <w:bookmarkEnd w:id="60"/>
      <w:bookmarkEnd w:id="61"/>
    </w:p>
    <w:p w14:paraId="3C14742C" w14:textId="71278A58" w:rsidR="006878F9" w:rsidRPr="00061996" w:rsidRDefault="006878F9" w:rsidP="006878F9">
      <w:pPr>
        <w:rPr>
          <w:lang w:eastAsia="en-GB"/>
        </w:rPr>
      </w:pPr>
      <w:r w:rsidRPr="00061996">
        <w:rPr>
          <w:lang w:eastAsia="en-GB"/>
        </w:rPr>
        <w:t>Often you will use services by going to a particular place, such as a building or an open air venue.</w:t>
      </w:r>
    </w:p>
    <w:p w14:paraId="77B98A5B" w14:textId="77777777" w:rsidR="006878F9" w:rsidRPr="00061996" w:rsidRDefault="006878F9" w:rsidP="006878F9">
      <w:pPr>
        <w:rPr>
          <w:lang w:eastAsia="en-GB"/>
        </w:rPr>
      </w:pPr>
      <w:r w:rsidRPr="00061996">
        <w:rPr>
          <w:lang w:eastAsia="en-GB"/>
        </w:rPr>
        <w:t>If their building or other place where they deliver services is open to the public or a section of the public, a service provider must make sure that:</w:t>
      </w:r>
    </w:p>
    <w:p w14:paraId="23FDC51D" w14:textId="77777777" w:rsidR="006878F9" w:rsidRPr="00061996" w:rsidRDefault="006878F9" w:rsidP="006878F9">
      <w:pPr>
        <w:pStyle w:val="ListBullet"/>
        <w:rPr>
          <w:lang w:eastAsia="en-GB"/>
        </w:rPr>
      </w:pPr>
      <w:r w:rsidRPr="00061996">
        <w:rPr>
          <w:lang w:eastAsia="en-GB"/>
        </w:rPr>
        <w:t>you are not unlawfully discriminated against</w:t>
      </w:r>
    </w:p>
    <w:p w14:paraId="597FAD58" w14:textId="77777777" w:rsidR="006878F9" w:rsidRPr="00061996" w:rsidRDefault="006878F9" w:rsidP="006878F9">
      <w:pPr>
        <w:pStyle w:val="ListBullet"/>
        <w:rPr>
          <w:lang w:eastAsia="en-GB"/>
        </w:rPr>
      </w:pPr>
      <w:r w:rsidRPr="00061996">
        <w:rPr>
          <w:lang w:eastAsia="en-GB"/>
        </w:rPr>
        <w:t>you are not harassed or victimised in using their premises, and</w:t>
      </w:r>
    </w:p>
    <w:p w14:paraId="1229F192" w14:textId="77777777" w:rsidR="006878F9" w:rsidRPr="00061996" w:rsidRDefault="006878F9" w:rsidP="006878F9">
      <w:pPr>
        <w:pStyle w:val="ListBullet"/>
        <w:rPr>
          <w:lang w:eastAsia="en-GB"/>
        </w:rPr>
      </w:pPr>
      <w:r w:rsidRPr="00061996">
        <w:rPr>
          <w:lang w:eastAsia="en-GB"/>
        </w:rPr>
        <w:t>they make reasonable adjustments for disabled people.</w:t>
      </w:r>
    </w:p>
    <w:p w14:paraId="6E253764" w14:textId="641760A1" w:rsidR="006878F9" w:rsidRPr="00061996" w:rsidRDefault="006878F9" w:rsidP="006878F9">
      <w:pPr>
        <w:rPr>
          <w:lang w:eastAsia="en-GB"/>
        </w:rPr>
      </w:pPr>
      <w:r w:rsidRPr="00061996">
        <w:rPr>
          <w:lang w:eastAsia="en-GB"/>
        </w:rPr>
        <w:t>In making reasonable adjustments, a service provider is not allowed to wait until a disabled person wants to use their services. They must think in advance about what people with a range of impairments might reasonably need. If they have not done this and a disabled person wants to use a service, then the service provider must make the reasonable adjustments as quickly as possible.</w:t>
      </w:r>
    </w:p>
    <w:p w14:paraId="24CAF0DD" w14:textId="6FE2FF44" w:rsidR="006878F9" w:rsidRPr="00061996" w:rsidRDefault="006878F9" w:rsidP="006878F9">
      <w:pPr>
        <w:rPr>
          <w:lang w:eastAsia="en-GB"/>
        </w:rPr>
      </w:pPr>
      <w:r w:rsidRPr="00061996">
        <w:rPr>
          <w:lang w:eastAsia="en-GB"/>
        </w:rPr>
        <w:t>Service providers have to think about every aspect of their building or other premises, including:</w:t>
      </w:r>
    </w:p>
    <w:p w14:paraId="188719BE" w14:textId="77777777" w:rsidR="006878F9" w:rsidRPr="00061996" w:rsidRDefault="006878F9" w:rsidP="006878F9">
      <w:pPr>
        <w:pStyle w:val="ListBullet"/>
        <w:rPr>
          <w:lang w:eastAsia="en-GB"/>
        </w:rPr>
      </w:pPr>
      <w:r w:rsidRPr="00061996">
        <w:rPr>
          <w:lang w:eastAsia="en-GB"/>
        </w:rPr>
        <w:t>how people enter</w:t>
      </w:r>
    </w:p>
    <w:p w14:paraId="11F33E21" w14:textId="77777777" w:rsidR="006878F9" w:rsidRPr="00061996" w:rsidRDefault="006878F9" w:rsidP="006878F9">
      <w:pPr>
        <w:pStyle w:val="ListBullet"/>
        <w:rPr>
          <w:lang w:eastAsia="en-GB"/>
        </w:rPr>
      </w:pPr>
      <w:r w:rsidRPr="00061996">
        <w:rPr>
          <w:lang w:eastAsia="en-GB"/>
        </w:rPr>
        <w:t>how they find their way around</w:t>
      </w:r>
    </w:p>
    <w:p w14:paraId="3BA342FE" w14:textId="77777777" w:rsidR="006878F9" w:rsidRPr="00061996" w:rsidRDefault="006878F9" w:rsidP="006878F9">
      <w:pPr>
        <w:pStyle w:val="ListBullet"/>
        <w:rPr>
          <w:lang w:eastAsia="en-GB"/>
        </w:rPr>
      </w:pPr>
      <w:r w:rsidRPr="00061996">
        <w:rPr>
          <w:lang w:eastAsia="en-GB"/>
        </w:rPr>
        <w:t>what signs they provide</w:t>
      </w:r>
    </w:p>
    <w:p w14:paraId="014DDD4C" w14:textId="77777777" w:rsidR="006878F9" w:rsidRPr="00061996" w:rsidRDefault="006878F9" w:rsidP="006878F9">
      <w:pPr>
        <w:pStyle w:val="ListBullet"/>
        <w:rPr>
          <w:lang w:eastAsia="en-GB"/>
        </w:rPr>
      </w:pPr>
      <w:r w:rsidRPr="00061996">
        <w:rPr>
          <w:lang w:eastAsia="en-GB"/>
        </w:rPr>
        <w:t>how people communicate with staff</w:t>
      </w:r>
    </w:p>
    <w:p w14:paraId="232F69FA" w14:textId="77777777" w:rsidR="006878F9" w:rsidRPr="00061996" w:rsidRDefault="006878F9" w:rsidP="006878F9">
      <w:pPr>
        <w:pStyle w:val="ListBullet"/>
        <w:rPr>
          <w:lang w:eastAsia="en-GB"/>
        </w:rPr>
      </w:pPr>
      <w:r w:rsidRPr="00061996">
        <w:rPr>
          <w:lang w:eastAsia="en-GB"/>
        </w:rPr>
        <w:t>information they provide</w:t>
      </w:r>
    </w:p>
    <w:p w14:paraId="6D016C97" w14:textId="77777777" w:rsidR="006878F9" w:rsidRPr="00061996" w:rsidRDefault="006878F9" w:rsidP="006878F9">
      <w:pPr>
        <w:pStyle w:val="ListBullet"/>
        <w:rPr>
          <w:lang w:eastAsia="en-GB"/>
        </w:rPr>
      </w:pPr>
      <w:r w:rsidRPr="00061996">
        <w:rPr>
          <w:lang w:eastAsia="en-GB"/>
        </w:rPr>
        <w:t>queuing systems, if they have them</w:t>
      </w:r>
    </w:p>
    <w:p w14:paraId="6AAFE137" w14:textId="77777777" w:rsidR="006878F9" w:rsidRPr="00061996" w:rsidRDefault="006878F9" w:rsidP="006878F9">
      <w:pPr>
        <w:pStyle w:val="ListBullet"/>
        <w:rPr>
          <w:lang w:eastAsia="en-GB"/>
        </w:rPr>
      </w:pPr>
      <w:r w:rsidRPr="00061996">
        <w:rPr>
          <w:lang w:eastAsia="en-GB"/>
        </w:rPr>
        <w:t xml:space="preserve">counters and checkouts, if they have them </w:t>
      </w:r>
    </w:p>
    <w:p w14:paraId="785FE30E" w14:textId="77777777" w:rsidR="006878F9" w:rsidRPr="00061996" w:rsidRDefault="006878F9" w:rsidP="006878F9">
      <w:pPr>
        <w:pStyle w:val="ListBullet"/>
        <w:rPr>
          <w:lang w:eastAsia="en-GB"/>
        </w:rPr>
      </w:pPr>
      <w:r w:rsidRPr="00061996">
        <w:rPr>
          <w:lang w:eastAsia="en-GB"/>
        </w:rPr>
        <w:t>accessible toilet facilities.</w:t>
      </w:r>
    </w:p>
    <w:p w14:paraId="11967564" w14:textId="05FCAD0C" w:rsidR="006878F9" w:rsidRPr="00061996" w:rsidRDefault="006878F9" w:rsidP="006878F9">
      <w:pPr>
        <w:rPr>
          <w:lang w:eastAsia="en-GB"/>
        </w:rPr>
      </w:pPr>
      <w:r w:rsidRPr="00061996">
        <w:rPr>
          <w:lang w:eastAsia="en-GB"/>
        </w:rPr>
        <w:t xml:space="preserve">You can read more about reasonable adjustments to remove barriers for disabled people </w:t>
      </w:r>
      <w:r>
        <w:rPr>
          <w:lang w:eastAsia="en-GB"/>
        </w:rPr>
        <w:t xml:space="preserve">in </w:t>
      </w:r>
      <w:hyperlink w:anchor="chapter4" w:history="1">
        <w:r w:rsidRPr="00AA46A5">
          <w:rPr>
            <w:rStyle w:val="Hyperlink"/>
            <w:rFonts w:cs="Times New Roman"/>
            <w:szCs w:val="24"/>
            <w:lang w:eastAsia="en-GB"/>
          </w:rPr>
          <w:t>Chapter 4</w:t>
        </w:r>
      </w:hyperlink>
      <w:r w:rsidRPr="00061996">
        <w:rPr>
          <w:lang w:eastAsia="en-GB"/>
        </w:rPr>
        <w:t>.</w:t>
      </w:r>
    </w:p>
    <w:p w14:paraId="675448CF" w14:textId="77777777" w:rsidR="001510D9" w:rsidRPr="001510D9" w:rsidRDefault="001510D9" w:rsidP="001510D9">
      <w:bookmarkStart w:id="62" w:name="_Toc288557212"/>
      <w:bookmarkStart w:id="63" w:name="_Toc288575878"/>
      <w:bookmarkStart w:id="64" w:name="_Toc297124719"/>
      <w:bookmarkStart w:id="65" w:name="_Toc297300502"/>
      <w:r w:rsidRPr="001510D9">
        <w:br w:type="page"/>
      </w:r>
    </w:p>
    <w:p w14:paraId="542246FB" w14:textId="6F609580" w:rsidR="006878F9" w:rsidRPr="00061996" w:rsidRDefault="006878F9" w:rsidP="00921E87">
      <w:pPr>
        <w:pStyle w:val="L2Headers"/>
        <w:rPr>
          <w:lang w:eastAsia="en-GB"/>
        </w:rPr>
      </w:pPr>
      <w:r w:rsidRPr="00061996">
        <w:rPr>
          <w:lang w:eastAsia="en-GB"/>
        </w:rPr>
        <w:t>Advertisements and marketing</w:t>
      </w:r>
      <w:bookmarkEnd w:id="62"/>
      <w:bookmarkEnd w:id="63"/>
      <w:bookmarkEnd w:id="64"/>
      <w:bookmarkEnd w:id="65"/>
    </w:p>
    <w:p w14:paraId="4209FA3A" w14:textId="77777777" w:rsidR="006878F9" w:rsidRPr="00061996" w:rsidRDefault="006878F9" w:rsidP="006878F9">
      <w:pPr>
        <w:rPr>
          <w:lang w:eastAsia="en-GB"/>
        </w:rPr>
      </w:pPr>
      <w:r w:rsidRPr="00061996">
        <w:rPr>
          <w:lang w:eastAsia="en-GB"/>
        </w:rPr>
        <w:t>An advertisement includes every form of advertisement or notice or marketing material, whether aimed at members of the public or a specialised audience, including:</w:t>
      </w:r>
    </w:p>
    <w:p w14:paraId="13D16441" w14:textId="77777777" w:rsidR="006878F9" w:rsidRPr="00061996" w:rsidRDefault="006878F9" w:rsidP="001510D9">
      <w:pPr>
        <w:pStyle w:val="ListBullet"/>
        <w:spacing w:before="100" w:after="100" w:line="288" w:lineRule="auto"/>
        <w:rPr>
          <w:lang w:eastAsia="en-GB"/>
        </w:rPr>
      </w:pPr>
      <w:r w:rsidRPr="00061996">
        <w:rPr>
          <w:lang w:eastAsia="en-GB"/>
        </w:rPr>
        <w:t>in a newspaper or other publication</w:t>
      </w:r>
    </w:p>
    <w:p w14:paraId="62FFDBA4" w14:textId="77777777" w:rsidR="006878F9" w:rsidRPr="00061996" w:rsidRDefault="006878F9" w:rsidP="001510D9">
      <w:pPr>
        <w:pStyle w:val="ListBullet"/>
        <w:spacing w:before="100" w:after="100" w:line="288" w:lineRule="auto"/>
        <w:rPr>
          <w:lang w:eastAsia="en-GB"/>
        </w:rPr>
      </w:pPr>
      <w:r w:rsidRPr="00061996">
        <w:rPr>
          <w:lang w:eastAsia="en-GB"/>
        </w:rPr>
        <w:t>by television or radio</w:t>
      </w:r>
    </w:p>
    <w:p w14:paraId="0C9A0E1B" w14:textId="77777777" w:rsidR="006878F9" w:rsidRPr="00061996" w:rsidRDefault="006878F9" w:rsidP="001510D9">
      <w:pPr>
        <w:pStyle w:val="ListBullet"/>
        <w:spacing w:before="100" w:after="100" w:line="288" w:lineRule="auto"/>
        <w:rPr>
          <w:lang w:eastAsia="en-GB"/>
        </w:rPr>
      </w:pPr>
      <w:r w:rsidRPr="00061996">
        <w:rPr>
          <w:lang w:eastAsia="en-GB"/>
        </w:rPr>
        <w:t>by display of notices</w:t>
      </w:r>
    </w:p>
    <w:p w14:paraId="0D1BC807" w14:textId="77777777" w:rsidR="006878F9" w:rsidRPr="00061996" w:rsidRDefault="006878F9" w:rsidP="001510D9">
      <w:pPr>
        <w:pStyle w:val="ListBullet"/>
        <w:spacing w:before="100" w:after="100" w:line="288" w:lineRule="auto"/>
        <w:rPr>
          <w:lang w:eastAsia="en-GB"/>
        </w:rPr>
      </w:pPr>
      <w:r w:rsidRPr="00061996">
        <w:rPr>
          <w:lang w:eastAsia="en-GB"/>
        </w:rPr>
        <w:t>signs</w:t>
      </w:r>
    </w:p>
    <w:p w14:paraId="7DD55A14" w14:textId="77777777" w:rsidR="006878F9" w:rsidRPr="00061996" w:rsidRDefault="006878F9" w:rsidP="001510D9">
      <w:pPr>
        <w:pStyle w:val="ListBullet"/>
        <w:spacing w:before="100" w:after="100" w:line="288" w:lineRule="auto"/>
        <w:rPr>
          <w:lang w:eastAsia="en-GB"/>
        </w:rPr>
      </w:pPr>
      <w:r w:rsidRPr="00061996">
        <w:rPr>
          <w:lang w:eastAsia="en-GB"/>
        </w:rPr>
        <w:t>labels</w:t>
      </w:r>
    </w:p>
    <w:p w14:paraId="7CEDB18A" w14:textId="77777777" w:rsidR="006878F9" w:rsidRPr="00061996" w:rsidRDefault="006878F9" w:rsidP="001510D9">
      <w:pPr>
        <w:pStyle w:val="ListBullet"/>
        <w:spacing w:before="100" w:after="100" w:line="288" w:lineRule="auto"/>
        <w:rPr>
          <w:lang w:eastAsia="en-GB"/>
        </w:rPr>
      </w:pPr>
      <w:r w:rsidRPr="00061996">
        <w:rPr>
          <w:lang w:eastAsia="en-GB"/>
        </w:rPr>
        <w:t>show-cards or goods</w:t>
      </w:r>
    </w:p>
    <w:p w14:paraId="45C0FA23" w14:textId="77777777" w:rsidR="006878F9" w:rsidRPr="00061996" w:rsidRDefault="006878F9" w:rsidP="001510D9">
      <w:pPr>
        <w:pStyle w:val="ListBullet"/>
        <w:spacing w:before="100" w:after="100" w:line="288" w:lineRule="auto"/>
        <w:rPr>
          <w:lang w:eastAsia="en-GB"/>
        </w:rPr>
      </w:pPr>
      <w:r w:rsidRPr="00061996">
        <w:rPr>
          <w:lang w:eastAsia="en-GB"/>
        </w:rPr>
        <w:t>by distribution of samples</w:t>
      </w:r>
    </w:p>
    <w:p w14:paraId="1748E610" w14:textId="77777777" w:rsidR="006878F9" w:rsidRPr="00061996" w:rsidRDefault="006878F9" w:rsidP="001510D9">
      <w:pPr>
        <w:pStyle w:val="ListBullet"/>
        <w:spacing w:before="100" w:after="100" w:line="288" w:lineRule="auto"/>
        <w:rPr>
          <w:lang w:eastAsia="en-GB"/>
        </w:rPr>
      </w:pPr>
      <w:r w:rsidRPr="00061996">
        <w:rPr>
          <w:lang w:eastAsia="en-GB"/>
        </w:rPr>
        <w:t>circulars</w:t>
      </w:r>
    </w:p>
    <w:p w14:paraId="62AEA304" w14:textId="77777777" w:rsidR="006878F9" w:rsidRPr="00061996" w:rsidRDefault="006878F9" w:rsidP="001510D9">
      <w:pPr>
        <w:pStyle w:val="ListBullet"/>
        <w:spacing w:before="100" w:after="100" w:line="288" w:lineRule="auto"/>
        <w:rPr>
          <w:lang w:eastAsia="en-GB"/>
        </w:rPr>
      </w:pPr>
      <w:r w:rsidRPr="00061996">
        <w:rPr>
          <w:lang w:eastAsia="en-GB"/>
        </w:rPr>
        <w:t>catalogues</w:t>
      </w:r>
    </w:p>
    <w:p w14:paraId="60B0BAED" w14:textId="77777777" w:rsidR="006878F9" w:rsidRPr="00061996" w:rsidRDefault="006878F9" w:rsidP="001510D9">
      <w:pPr>
        <w:pStyle w:val="ListBullet"/>
        <w:spacing w:before="100" w:after="100" w:line="288" w:lineRule="auto"/>
        <w:rPr>
          <w:lang w:eastAsia="en-GB"/>
        </w:rPr>
      </w:pPr>
      <w:r w:rsidRPr="00061996">
        <w:rPr>
          <w:lang w:eastAsia="en-GB"/>
        </w:rPr>
        <w:t>price lists or other material</w:t>
      </w:r>
    </w:p>
    <w:p w14:paraId="76FFF434" w14:textId="77777777" w:rsidR="006878F9" w:rsidRPr="00061996" w:rsidRDefault="006878F9" w:rsidP="001510D9">
      <w:pPr>
        <w:pStyle w:val="ListBullet"/>
        <w:spacing w:before="100" w:after="100" w:line="288" w:lineRule="auto"/>
        <w:rPr>
          <w:lang w:eastAsia="en-GB"/>
        </w:rPr>
      </w:pPr>
      <w:r w:rsidRPr="00061996">
        <w:rPr>
          <w:lang w:eastAsia="en-GB"/>
        </w:rPr>
        <w:t>by exhibition of pictures</w:t>
      </w:r>
    </w:p>
    <w:p w14:paraId="5448747D" w14:textId="77777777" w:rsidR="006878F9" w:rsidRPr="00061996" w:rsidRDefault="006878F9" w:rsidP="001510D9">
      <w:pPr>
        <w:pStyle w:val="ListBullet"/>
        <w:spacing w:before="100" w:after="100" w:line="288" w:lineRule="auto"/>
        <w:rPr>
          <w:lang w:eastAsia="en-GB"/>
        </w:rPr>
      </w:pPr>
      <w:r w:rsidRPr="00061996">
        <w:rPr>
          <w:lang w:eastAsia="en-GB"/>
        </w:rPr>
        <w:t>three-dimensional models or filmed material.</w:t>
      </w:r>
    </w:p>
    <w:p w14:paraId="7AA9B427" w14:textId="77777777" w:rsidR="006878F9" w:rsidRPr="00061996" w:rsidRDefault="006878F9" w:rsidP="006878F9">
      <w:pPr>
        <w:rPr>
          <w:lang w:eastAsia="en-GB"/>
        </w:rPr>
      </w:pPr>
      <w:r w:rsidRPr="00061996">
        <w:rPr>
          <w:lang w:eastAsia="en-GB"/>
        </w:rPr>
        <w:t>Most written and other material published by a service provider is likely to count as an advertisement if its aim is to tell customers or service users about a service.</w:t>
      </w:r>
    </w:p>
    <w:p w14:paraId="1067E901" w14:textId="457BD4E8" w:rsidR="00871EC3" w:rsidRPr="00061996" w:rsidRDefault="006878F9" w:rsidP="006878F9">
      <w:pPr>
        <w:rPr>
          <w:lang w:eastAsia="en-GB"/>
        </w:rPr>
      </w:pPr>
      <w:r w:rsidRPr="00061996">
        <w:rPr>
          <w:lang w:eastAsia="en-GB"/>
        </w:rPr>
        <w:t xml:space="preserve">A service provider is allowed to target advertising material at a particular group of people, including a group who share a particular protected characteristic. </w:t>
      </w:r>
    </w:p>
    <w:tbl>
      <w:tblPr>
        <w:tblStyle w:val="TableGrid"/>
        <w:tblW w:w="5000" w:type="pct"/>
        <w:tblLook w:val="04A0" w:firstRow="1" w:lastRow="0" w:firstColumn="1" w:lastColumn="0" w:noHBand="0" w:noVBand="1"/>
      </w:tblPr>
      <w:tblGrid>
        <w:gridCol w:w="9286"/>
      </w:tblGrid>
      <w:tr w:rsidR="00871EC3" w14:paraId="224F57E4" w14:textId="77777777" w:rsidTr="00410F92">
        <w:tc>
          <w:tcPr>
            <w:tcW w:w="5000" w:type="pct"/>
            <w:tcBorders>
              <w:top w:val="nil"/>
              <w:left w:val="nil"/>
              <w:bottom w:val="nil"/>
              <w:right w:val="nil"/>
            </w:tcBorders>
            <w:shd w:val="clear" w:color="auto" w:fill="DBE5F1" w:themeFill="accent1" w:themeFillTint="33"/>
          </w:tcPr>
          <w:p w14:paraId="3AA3AEC9" w14:textId="77777777" w:rsidR="00871EC3" w:rsidRPr="00410F92" w:rsidRDefault="00871EC3" w:rsidP="006878F9">
            <w:pPr>
              <w:rPr>
                <w:rStyle w:val="Strong"/>
              </w:rPr>
            </w:pPr>
            <w:r w:rsidRPr="00410F92">
              <w:rPr>
                <w:rStyle w:val="Strong"/>
              </w:rPr>
              <w:t>For example:</w:t>
            </w:r>
          </w:p>
          <w:p w14:paraId="011EFFA6" w14:textId="72F89500" w:rsidR="00871EC3" w:rsidRPr="00061996" w:rsidRDefault="00871EC3" w:rsidP="00410F92">
            <w:pPr>
              <w:pStyle w:val="ListBullet"/>
            </w:pPr>
            <w:r w:rsidRPr="00061996">
              <w:t xml:space="preserve">A mortgage company advertises a product as particularly suitable for women </w:t>
            </w:r>
            <w:r>
              <w:t>b</w:t>
            </w:r>
            <w:r w:rsidRPr="00061996">
              <w:t>y advertising that borrowers can take payment holidays if they take maternity leave.</w:t>
            </w:r>
          </w:p>
          <w:p w14:paraId="75B007B5" w14:textId="2EA78A2B" w:rsidR="00410F92" w:rsidRPr="00061996" w:rsidRDefault="00410F92" w:rsidP="00410F92">
            <w:pPr>
              <w:pStyle w:val="ListBullet"/>
            </w:pPr>
            <w:r w:rsidRPr="00061996">
              <w:t xml:space="preserve">A bar advertises in a newspaper mostly bought by lesbian or gay women and </w:t>
            </w:r>
            <w:r>
              <w:t>gay </w:t>
            </w:r>
            <w:r w:rsidRPr="00061996">
              <w:t>men.</w:t>
            </w:r>
          </w:p>
          <w:p w14:paraId="11D4EC8E" w14:textId="29464586" w:rsidR="00630387" w:rsidRPr="00630387" w:rsidRDefault="00410F92" w:rsidP="00630387">
            <w:pPr>
              <w:pStyle w:val="ListBullet"/>
            </w:pPr>
            <w:r w:rsidRPr="00061996">
              <w:t>A barber has flyers printed only advertising haircuts and listing prices for men.</w:t>
            </w:r>
          </w:p>
          <w:p w14:paraId="7F49F294" w14:textId="77777777" w:rsidR="00410F92" w:rsidRPr="00061996" w:rsidRDefault="00410F92" w:rsidP="00410F92">
            <w:pPr>
              <w:pStyle w:val="ListBullet"/>
            </w:pPr>
            <w:r w:rsidRPr="00061996">
              <w:t>A community organisation makes it clear on its website that the lunch club it runs is aimed at older people from a particular ethnic background.</w:t>
            </w:r>
          </w:p>
          <w:p w14:paraId="44E863F4" w14:textId="53BAD889" w:rsidR="00871EC3" w:rsidRDefault="00410F92" w:rsidP="006878F9">
            <w:pPr>
              <w:pStyle w:val="ListBullet"/>
            </w:pPr>
            <w:r w:rsidRPr="00061996">
              <w:t>A sporting club advertises that particular sessions are targeted at introducing disabled people to its sport.</w:t>
            </w:r>
          </w:p>
        </w:tc>
      </w:tr>
    </w:tbl>
    <w:p w14:paraId="42600123" w14:textId="1D58E9C7" w:rsidR="00410F92" w:rsidRPr="00061996" w:rsidRDefault="006878F9" w:rsidP="006878F9">
      <w:pPr>
        <w:rPr>
          <w:lang w:eastAsia="en-GB"/>
        </w:rPr>
      </w:pPr>
      <w:r w:rsidRPr="00061996">
        <w:rPr>
          <w:lang w:eastAsia="en-GB"/>
        </w:rPr>
        <w:t xml:space="preserve">But, unless services are covered by one of the exceptions to equality law </w:t>
      </w:r>
      <w:r w:rsidR="00163C2A">
        <w:rPr>
          <w:lang w:eastAsia="en-GB"/>
        </w:rPr>
        <w:t xml:space="preserve">(which you </w:t>
      </w:r>
      <w:r w:rsidR="00163C2A" w:rsidRPr="00590F8B">
        <w:rPr>
          <w:lang w:eastAsia="en-GB"/>
        </w:rPr>
        <w:t xml:space="preserve">will find at </w:t>
      </w:r>
      <w:hyperlink w:anchor="exceptions" w:history="1">
        <w:r w:rsidR="00B26A1E">
          <w:rPr>
            <w:rStyle w:val="Hyperlink"/>
            <w:rFonts w:cs="Times New Roman"/>
            <w:szCs w:val="24"/>
            <w:lang w:eastAsia="en-GB"/>
          </w:rPr>
          <w:t>page 17</w:t>
        </w:r>
      </w:hyperlink>
      <w:r w:rsidRPr="00590F8B">
        <w:rPr>
          <w:lang w:eastAsia="en-GB"/>
        </w:rPr>
        <w:t>), an advertisement must not tell you that, because of a particular</w:t>
      </w:r>
      <w:r w:rsidRPr="00061996">
        <w:rPr>
          <w:lang w:eastAsia="en-GB"/>
        </w:rPr>
        <w:t xml:space="preserve"> protected characteristic, you cannot use the service or would not be welcome to use the service, or would receive worse terms in using the service. </w:t>
      </w:r>
    </w:p>
    <w:tbl>
      <w:tblPr>
        <w:tblStyle w:val="TableGrid"/>
        <w:tblW w:w="5000" w:type="pct"/>
        <w:tblLook w:val="04A0" w:firstRow="1" w:lastRow="0" w:firstColumn="1" w:lastColumn="0" w:noHBand="0" w:noVBand="1"/>
      </w:tblPr>
      <w:tblGrid>
        <w:gridCol w:w="9286"/>
      </w:tblGrid>
      <w:tr w:rsidR="00410F92" w14:paraId="1F1D1CC5" w14:textId="77777777" w:rsidTr="00410F92">
        <w:tc>
          <w:tcPr>
            <w:tcW w:w="5000" w:type="pct"/>
            <w:tcBorders>
              <w:top w:val="nil"/>
              <w:left w:val="nil"/>
              <w:bottom w:val="nil"/>
              <w:right w:val="nil"/>
            </w:tcBorders>
            <w:shd w:val="clear" w:color="auto" w:fill="DBE5F1" w:themeFill="accent1" w:themeFillTint="33"/>
          </w:tcPr>
          <w:p w14:paraId="583E8EC9" w14:textId="77777777" w:rsidR="00410F92" w:rsidRPr="00410F92" w:rsidRDefault="00410F92" w:rsidP="006878F9">
            <w:pPr>
              <w:rPr>
                <w:rStyle w:val="Strong"/>
              </w:rPr>
            </w:pPr>
            <w:r w:rsidRPr="00410F92">
              <w:rPr>
                <w:rStyle w:val="Strong"/>
              </w:rPr>
              <w:t>For example:</w:t>
            </w:r>
          </w:p>
          <w:p w14:paraId="1C8F89C8" w14:textId="77777777" w:rsidR="00410F92" w:rsidRPr="00061996" w:rsidRDefault="00410F92" w:rsidP="00410F92">
            <w:pPr>
              <w:pStyle w:val="ListBullet"/>
            </w:pPr>
            <w:r w:rsidRPr="00061996">
              <w:t xml:space="preserve">If someone advertising a service (for example, by putting a notice in a shop window) makes it clear in the advert that people from a particular ethnic group are not welcome as customers, this would amount to </w:t>
            </w:r>
            <w:r w:rsidRPr="00410F92">
              <w:rPr>
                <w:rStyle w:val="Strong"/>
              </w:rPr>
              <w:t>direct discrimination</w:t>
            </w:r>
            <w:r w:rsidRPr="00061996">
              <w:t xml:space="preserve"> because of race against people who might have considered using the service but are deterred from doing so because of the advertisement.</w:t>
            </w:r>
          </w:p>
          <w:p w14:paraId="49A57088" w14:textId="77777777" w:rsidR="00410F92" w:rsidRPr="00061996" w:rsidRDefault="00410F92" w:rsidP="00410F92">
            <w:pPr>
              <w:pStyle w:val="ListBullet"/>
            </w:pPr>
            <w:r w:rsidRPr="00061996">
              <w:t>A flyer for a nightclub offering women free admission while men are charged for entry would probably be unlawful.</w:t>
            </w:r>
          </w:p>
          <w:p w14:paraId="5C6B6561" w14:textId="26DBBED9" w:rsidR="00410F92" w:rsidRDefault="00410F92" w:rsidP="006878F9">
            <w:pPr>
              <w:pStyle w:val="ListBullet"/>
            </w:pPr>
            <w:r w:rsidRPr="00061996">
              <w:t xml:space="preserve">An advertisement that said ‘unsuitable for disabled people’ would probably </w:t>
            </w:r>
            <w:r>
              <w:br/>
            </w:r>
            <w:r w:rsidRPr="00061996">
              <w:t xml:space="preserve">be unlawful. </w:t>
            </w:r>
          </w:p>
        </w:tc>
      </w:tr>
    </w:tbl>
    <w:p w14:paraId="33BAAACF" w14:textId="42377C67" w:rsidR="00410F92" w:rsidRPr="00061996" w:rsidRDefault="006878F9" w:rsidP="006878F9">
      <w:pPr>
        <w:rPr>
          <w:lang w:eastAsia="en-GB"/>
        </w:rPr>
      </w:pPr>
      <w:r w:rsidRPr="00061996">
        <w:rPr>
          <w:lang w:eastAsia="en-GB"/>
        </w:rPr>
        <w:t xml:space="preserve">However, a service provider does not have to make reasonable adjustments for disabled people in advertising its services. </w:t>
      </w:r>
    </w:p>
    <w:tbl>
      <w:tblPr>
        <w:tblStyle w:val="TableGrid"/>
        <w:tblW w:w="5000" w:type="pct"/>
        <w:tblLook w:val="04A0" w:firstRow="1" w:lastRow="0" w:firstColumn="1" w:lastColumn="0" w:noHBand="0" w:noVBand="1"/>
      </w:tblPr>
      <w:tblGrid>
        <w:gridCol w:w="9286"/>
      </w:tblGrid>
      <w:tr w:rsidR="00410F92" w:rsidRPr="00410F92" w14:paraId="370550AB" w14:textId="77777777" w:rsidTr="00410F92">
        <w:tc>
          <w:tcPr>
            <w:tcW w:w="5000" w:type="pct"/>
            <w:tcBorders>
              <w:top w:val="nil"/>
              <w:left w:val="nil"/>
              <w:bottom w:val="nil"/>
              <w:right w:val="nil"/>
            </w:tcBorders>
            <w:shd w:val="clear" w:color="auto" w:fill="DBE5F1" w:themeFill="accent1" w:themeFillTint="33"/>
          </w:tcPr>
          <w:p w14:paraId="3CFC52E8" w14:textId="13050257" w:rsidR="00410F92" w:rsidRPr="00410F92" w:rsidRDefault="00410F92" w:rsidP="00410F92">
            <w:r w:rsidRPr="00410F92">
              <w:rPr>
                <w:rStyle w:val="Strong"/>
              </w:rPr>
              <w:t>For example:</w:t>
            </w:r>
            <w:r w:rsidRPr="00410F92">
              <w:t xml:space="preserve"> If a business advertises in a newspaper, it does not have to put out an equivalent advertisement on the radio just because disabled people with a visual impairment may not have been able to read the written advertisement.</w:t>
            </w:r>
          </w:p>
        </w:tc>
      </w:tr>
    </w:tbl>
    <w:p w14:paraId="48A856E1" w14:textId="77777777" w:rsidR="006878F9" w:rsidRDefault="006878F9" w:rsidP="006878F9">
      <w:pPr>
        <w:rPr>
          <w:lang w:eastAsia="en-GB"/>
        </w:rPr>
      </w:pPr>
    </w:p>
    <w:tbl>
      <w:tblPr>
        <w:tblStyle w:val="TableGrid"/>
        <w:tblW w:w="5000" w:type="pct"/>
        <w:tblLook w:val="04A0" w:firstRow="1" w:lastRow="0" w:firstColumn="1" w:lastColumn="0" w:noHBand="0" w:noVBand="1"/>
      </w:tblPr>
      <w:tblGrid>
        <w:gridCol w:w="9286"/>
      </w:tblGrid>
      <w:tr w:rsidR="00C43C41" w14:paraId="50E818DC" w14:textId="77777777" w:rsidTr="00C43C41">
        <w:tc>
          <w:tcPr>
            <w:tcW w:w="5000" w:type="pct"/>
            <w:tcBorders>
              <w:top w:val="single" w:sz="4" w:space="0" w:color="E2007A"/>
              <w:left w:val="single" w:sz="4" w:space="0" w:color="E2007A"/>
              <w:bottom w:val="single" w:sz="4" w:space="0" w:color="E2007A"/>
              <w:right w:val="single" w:sz="4" w:space="0" w:color="E2007A"/>
            </w:tcBorders>
          </w:tcPr>
          <w:p w14:paraId="709438DB" w14:textId="77777777" w:rsidR="00C43C41" w:rsidRPr="00C43C41" w:rsidRDefault="00C43C41" w:rsidP="00C43C41">
            <w:pPr>
              <w:pStyle w:val="L4Headers"/>
              <w:rPr>
                <w:color w:val="E2007A"/>
              </w:rPr>
            </w:pPr>
            <w:r w:rsidRPr="00C43C41">
              <w:rPr>
                <w:color w:val="E2007A"/>
              </w:rPr>
              <w:t>Equality good practice: what to look for</w:t>
            </w:r>
          </w:p>
          <w:p w14:paraId="2287DAF8" w14:textId="29CED87A" w:rsidR="00C43C41" w:rsidRDefault="00C43C41" w:rsidP="006878F9">
            <w:r w:rsidRPr="00C43C41">
              <w:t>Even though organisations do not have to ma</w:t>
            </w:r>
            <w:r w:rsidR="00630387">
              <w:t>ke reasonable adjustments when they </w:t>
            </w:r>
            <w:r w:rsidRPr="00C43C41">
              <w:t>are advertising their services, they can do this</w:t>
            </w:r>
            <w:r w:rsidR="00630387">
              <w:t xml:space="preserve"> if they want to, for example, by </w:t>
            </w:r>
            <w:r w:rsidRPr="00C43C41">
              <w:t>advertising in ways that will be accessible t</w:t>
            </w:r>
            <w:r w:rsidR="00630387">
              <w:t>o disabled people with a range of </w:t>
            </w:r>
            <w:r w:rsidRPr="00C43C41">
              <w:t>impairments, such as providing Easy Read</w:t>
            </w:r>
            <w:r w:rsidR="00630387">
              <w:t xml:space="preserve"> information for people with a learning </w:t>
            </w:r>
            <w:r w:rsidRPr="00C43C41">
              <w:t>disability.</w:t>
            </w:r>
          </w:p>
        </w:tc>
      </w:tr>
    </w:tbl>
    <w:p w14:paraId="3FCB2DCE" w14:textId="77777777" w:rsidR="00C43C41" w:rsidRPr="00061996" w:rsidRDefault="00C43C41" w:rsidP="006878F9">
      <w:pPr>
        <w:rPr>
          <w:lang w:eastAsia="en-GB"/>
        </w:rPr>
      </w:pPr>
    </w:p>
    <w:p w14:paraId="4A91E190" w14:textId="77777777" w:rsidR="006878F9" w:rsidRPr="00061996" w:rsidRDefault="006878F9" w:rsidP="00921E87">
      <w:pPr>
        <w:pStyle w:val="L2Headers"/>
        <w:rPr>
          <w:lang w:eastAsia="en-GB"/>
        </w:rPr>
      </w:pPr>
      <w:bookmarkStart w:id="66" w:name="_Toc288557213"/>
      <w:bookmarkStart w:id="67" w:name="_Toc288575879"/>
      <w:bookmarkStart w:id="68" w:name="_Toc297124720"/>
      <w:bookmarkStart w:id="69" w:name="_Toc297300503"/>
      <w:r w:rsidRPr="00061996">
        <w:rPr>
          <w:lang w:eastAsia="en-GB"/>
        </w:rPr>
        <w:t>Written information</w:t>
      </w:r>
      <w:bookmarkEnd w:id="66"/>
      <w:bookmarkEnd w:id="67"/>
      <w:bookmarkEnd w:id="68"/>
      <w:bookmarkEnd w:id="69"/>
    </w:p>
    <w:p w14:paraId="598721C9" w14:textId="77777777" w:rsidR="006878F9" w:rsidRPr="00061996" w:rsidRDefault="006878F9" w:rsidP="006878F9">
      <w:pPr>
        <w:rPr>
          <w:lang w:eastAsia="en-GB"/>
        </w:rPr>
      </w:pPr>
      <w:r w:rsidRPr="00061996">
        <w:rPr>
          <w:lang w:eastAsia="en-GB"/>
        </w:rPr>
        <w:t>When a service includes providing written information, a service provider must not unlawfully discriminate against, harass or victimise you because of a protected characteristic in:</w:t>
      </w:r>
    </w:p>
    <w:p w14:paraId="3027F902" w14:textId="77777777" w:rsidR="006878F9" w:rsidRPr="00061996" w:rsidRDefault="006878F9" w:rsidP="006878F9">
      <w:pPr>
        <w:pStyle w:val="ListBullet"/>
        <w:rPr>
          <w:lang w:eastAsia="en-GB"/>
        </w:rPr>
      </w:pPr>
      <w:r w:rsidRPr="00061996">
        <w:rPr>
          <w:lang w:eastAsia="en-GB"/>
        </w:rPr>
        <w:t>what the information itself says</w:t>
      </w:r>
    </w:p>
    <w:p w14:paraId="0888852A" w14:textId="77777777" w:rsidR="006878F9" w:rsidRPr="00061996" w:rsidRDefault="006878F9" w:rsidP="006878F9">
      <w:pPr>
        <w:pStyle w:val="ListBullet"/>
        <w:rPr>
          <w:lang w:eastAsia="en-GB"/>
        </w:rPr>
      </w:pPr>
      <w:r w:rsidRPr="00061996">
        <w:rPr>
          <w:lang w:eastAsia="en-GB"/>
        </w:rPr>
        <w:t>the way it is provided.</w:t>
      </w:r>
    </w:p>
    <w:p w14:paraId="7DE21169" w14:textId="3A61F3F8" w:rsidR="006878F9" w:rsidRDefault="006878F9" w:rsidP="006878F9">
      <w:pPr>
        <w:rPr>
          <w:lang w:eastAsia="en-GB"/>
        </w:rPr>
      </w:pPr>
      <w:r w:rsidRPr="00061996">
        <w:rPr>
          <w:lang w:eastAsia="en-GB"/>
        </w:rPr>
        <w:t xml:space="preserve">When written information is part of a service, a service provider must think about providing it in </w:t>
      </w:r>
      <w:r w:rsidRPr="00C43C41">
        <w:rPr>
          <w:rStyle w:val="Strong"/>
        </w:rPr>
        <w:t>alternative formats</w:t>
      </w:r>
      <w:r w:rsidRPr="00061996">
        <w:rPr>
          <w:lang w:eastAsia="en-GB"/>
        </w:rPr>
        <w:t xml:space="preserve">, such as in Braille, on CD, or electronically, for disabled people who need the information in this form. </w:t>
      </w:r>
      <w:r>
        <w:rPr>
          <w:lang w:eastAsia="en-GB"/>
        </w:rPr>
        <w:t xml:space="preserve">Although it depends on the service provider’s circumstances, this is likely to be a </w:t>
      </w:r>
      <w:r w:rsidRPr="00C43C41">
        <w:rPr>
          <w:rStyle w:val="Strong"/>
        </w:rPr>
        <w:t>reasonable adjustment</w:t>
      </w:r>
      <w:r w:rsidRPr="00C43C41">
        <w:t xml:space="preserve"> </w:t>
      </w:r>
      <w:r>
        <w:rPr>
          <w:lang w:eastAsia="en-GB"/>
        </w:rPr>
        <w:t>which the service provider must make.</w:t>
      </w:r>
      <w:r w:rsidR="0017425B">
        <w:rPr>
          <w:lang w:eastAsia="en-GB"/>
        </w:rPr>
        <w:t xml:space="preserve"> </w:t>
      </w:r>
      <w:r w:rsidRPr="00061996">
        <w:rPr>
          <w:lang w:eastAsia="en-GB"/>
        </w:rPr>
        <w:t xml:space="preserve">In making </w:t>
      </w:r>
      <w:r w:rsidRPr="00C43C41">
        <w:rPr>
          <w:rStyle w:val="Strong"/>
        </w:rPr>
        <w:t>reasonable adjustments</w:t>
      </w:r>
      <w:r w:rsidRPr="00061996">
        <w:rPr>
          <w:lang w:eastAsia="en-GB"/>
        </w:rPr>
        <w:t xml:space="preserve">, a service provider is not allowed to wait until a disabled person wants to use their services. They must think in advance about what people with a range of impairments might reasonably need. If they have not done this and a disabled person wants to use a service, then the service provider must make the reasonable adjustments as quickly as possible. </w:t>
      </w:r>
    </w:p>
    <w:tbl>
      <w:tblPr>
        <w:tblStyle w:val="TableGrid"/>
        <w:tblW w:w="5000" w:type="pct"/>
        <w:tblLook w:val="04A0" w:firstRow="1" w:lastRow="0" w:firstColumn="1" w:lastColumn="0" w:noHBand="0" w:noVBand="1"/>
      </w:tblPr>
      <w:tblGrid>
        <w:gridCol w:w="9286"/>
      </w:tblGrid>
      <w:tr w:rsidR="00C43C41" w14:paraId="6B852AC5" w14:textId="77777777" w:rsidTr="00C43C41">
        <w:tc>
          <w:tcPr>
            <w:tcW w:w="5000" w:type="pct"/>
            <w:tcBorders>
              <w:top w:val="nil"/>
              <w:left w:val="nil"/>
              <w:bottom w:val="nil"/>
              <w:right w:val="nil"/>
            </w:tcBorders>
            <w:shd w:val="clear" w:color="auto" w:fill="DBE5F1" w:themeFill="accent1" w:themeFillTint="33"/>
          </w:tcPr>
          <w:p w14:paraId="5AD94AC8" w14:textId="77777777" w:rsidR="00C43C41" w:rsidRPr="00C43C41" w:rsidRDefault="00C43C41" w:rsidP="006878F9">
            <w:pPr>
              <w:rPr>
                <w:rStyle w:val="Strong"/>
              </w:rPr>
            </w:pPr>
            <w:r w:rsidRPr="00C43C41">
              <w:rPr>
                <w:rStyle w:val="Strong"/>
              </w:rPr>
              <w:t>For example:</w:t>
            </w:r>
          </w:p>
          <w:p w14:paraId="6A6531D9" w14:textId="77777777" w:rsidR="00C43C41" w:rsidRPr="00061996" w:rsidRDefault="00C43C41" w:rsidP="00C43C41">
            <w:pPr>
              <w:pStyle w:val="ListBullet"/>
            </w:pPr>
            <w:r w:rsidRPr="00061996">
              <w:t>A café whose menu does not often change provides menus in Braille and large print so that customers with different visual impairments can independently use the menu.</w:t>
            </w:r>
          </w:p>
          <w:p w14:paraId="47365242" w14:textId="77777777" w:rsidR="00C43C41" w:rsidRPr="00061996" w:rsidRDefault="00C43C41" w:rsidP="00C43C41">
            <w:pPr>
              <w:pStyle w:val="ListBullet"/>
            </w:pPr>
            <w:r w:rsidRPr="00061996">
              <w:t>A restaurant changes its menus daily. Because of this, it considers that it is not practicable to provide menus in alternative formats, such as Braille. However, its staff spend a little time reading aloud the menu for blind customers, and the restaurant ensures that there is a large-print copy available.</w:t>
            </w:r>
          </w:p>
          <w:p w14:paraId="24AF1353" w14:textId="4B64B5EA" w:rsidR="00C43C41" w:rsidRDefault="00C43C41" w:rsidP="006878F9">
            <w:pPr>
              <w:pStyle w:val="ListBullet"/>
            </w:pPr>
            <w:r w:rsidRPr="00061996">
              <w:t>A community organisation providing health advice produces its leaflets in a range of alternative formats.</w:t>
            </w:r>
          </w:p>
        </w:tc>
      </w:tr>
    </w:tbl>
    <w:p w14:paraId="1187A586" w14:textId="1BBF8851" w:rsidR="006878F9" w:rsidRDefault="006878F9" w:rsidP="006878F9">
      <w:pPr>
        <w:rPr>
          <w:lang w:eastAsia="en-GB"/>
        </w:rPr>
      </w:pPr>
      <w:r w:rsidRPr="00061996">
        <w:rPr>
          <w:lang w:eastAsia="en-GB"/>
        </w:rPr>
        <w:t xml:space="preserve">You can read more about reasonable adjustments to remove barriers for disabled people </w:t>
      </w:r>
      <w:r>
        <w:rPr>
          <w:lang w:eastAsia="en-GB"/>
        </w:rPr>
        <w:t xml:space="preserve">in </w:t>
      </w:r>
      <w:hyperlink w:anchor="chapter4" w:history="1">
        <w:r w:rsidRPr="00AA46A5">
          <w:rPr>
            <w:rStyle w:val="Hyperlink"/>
            <w:rFonts w:cs="Times New Roman"/>
            <w:szCs w:val="24"/>
            <w:lang w:eastAsia="en-GB"/>
          </w:rPr>
          <w:t>Chapter 4</w:t>
        </w:r>
      </w:hyperlink>
      <w:r w:rsidRPr="00061996">
        <w:rPr>
          <w:lang w:eastAsia="en-GB"/>
        </w:rPr>
        <w:t>.</w:t>
      </w:r>
    </w:p>
    <w:p w14:paraId="3C286DF0" w14:textId="77777777" w:rsidR="00C43C41" w:rsidRPr="00061996" w:rsidRDefault="00C43C41" w:rsidP="006878F9">
      <w:pPr>
        <w:rPr>
          <w:lang w:eastAsia="en-GB"/>
        </w:rPr>
      </w:pPr>
    </w:p>
    <w:p w14:paraId="1BE5B650" w14:textId="77777777" w:rsidR="006878F9" w:rsidRPr="00061996" w:rsidRDefault="006878F9" w:rsidP="00921E87">
      <w:pPr>
        <w:pStyle w:val="L2Headers"/>
        <w:rPr>
          <w:lang w:eastAsia="en-GB"/>
        </w:rPr>
      </w:pPr>
      <w:bookmarkStart w:id="70" w:name="_Toc288557214"/>
      <w:bookmarkStart w:id="71" w:name="_Toc288575880"/>
      <w:bookmarkStart w:id="72" w:name="_Toc297124721"/>
      <w:bookmarkStart w:id="73" w:name="_Toc297300504"/>
      <w:r w:rsidRPr="00061996">
        <w:rPr>
          <w:lang w:eastAsia="en-GB"/>
        </w:rPr>
        <w:t>Websites and internet services</w:t>
      </w:r>
      <w:bookmarkEnd w:id="70"/>
      <w:bookmarkEnd w:id="71"/>
      <w:bookmarkEnd w:id="72"/>
      <w:bookmarkEnd w:id="73"/>
    </w:p>
    <w:p w14:paraId="568FCA1E" w14:textId="2B3B6FCC" w:rsidR="006878F9" w:rsidRPr="00061996" w:rsidRDefault="006878F9" w:rsidP="006878F9">
      <w:pPr>
        <w:rPr>
          <w:lang w:eastAsia="en-GB"/>
        </w:rPr>
      </w:pPr>
      <w:r w:rsidRPr="00061996">
        <w:rPr>
          <w:lang w:eastAsia="en-GB"/>
        </w:rPr>
        <w:t xml:space="preserve">If someone provides services through a website – such as online shopping, direct marketing or advertising – they are known as an </w:t>
      </w:r>
      <w:r w:rsidR="00D52C2D">
        <w:rPr>
          <w:rStyle w:val="Strong"/>
        </w:rPr>
        <w:t xml:space="preserve">Information Society Service </w:t>
      </w:r>
      <w:r w:rsidRPr="00C43C41">
        <w:rPr>
          <w:rStyle w:val="Strong"/>
        </w:rPr>
        <w:t>Provider (ISSP)</w:t>
      </w:r>
      <w:r w:rsidRPr="00061996">
        <w:rPr>
          <w:lang w:eastAsia="en-GB"/>
        </w:rPr>
        <w:t>.</w:t>
      </w:r>
    </w:p>
    <w:p w14:paraId="6549BD6F" w14:textId="77777777" w:rsidR="006878F9" w:rsidRPr="00061996" w:rsidRDefault="006878F9" w:rsidP="006878F9">
      <w:pPr>
        <w:rPr>
          <w:lang w:eastAsia="en-GB"/>
        </w:rPr>
      </w:pPr>
      <w:r w:rsidRPr="00061996">
        <w:rPr>
          <w:lang w:eastAsia="en-GB"/>
        </w:rPr>
        <w:t xml:space="preserve">This applies if they have a one-page website which they maintain themselves. It also applies if they have a very sophisticated website maintained by a professional web design company. And it applies to anything in between. </w:t>
      </w:r>
    </w:p>
    <w:p w14:paraId="58F531AD" w14:textId="77777777" w:rsidR="006878F9" w:rsidRPr="00061996" w:rsidRDefault="006878F9" w:rsidP="00CF6FF9">
      <w:pPr>
        <w:rPr>
          <w:lang w:eastAsia="en-GB"/>
        </w:rPr>
      </w:pPr>
      <w:r w:rsidRPr="00061996">
        <w:rPr>
          <w:lang w:eastAsia="en-GB"/>
        </w:rPr>
        <w:t xml:space="preserve">If you believe that you have been unlawfully discriminated against by an ISSP, and the ISSP is established in the UK, you can bring a claim in the UK courts against the UK-based ISSP. You do not have to be in </w:t>
      </w:r>
      <w:r w:rsidRPr="00CF6FF9">
        <w:t>the</w:t>
      </w:r>
      <w:r w:rsidRPr="00061996">
        <w:rPr>
          <w:lang w:eastAsia="en-GB"/>
        </w:rPr>
        <w:t xml:space="preserve"> UK, so long as you are in a European Economic Area (EEA) member state.</w:t>
      </w:r>
    </w:p>
    <w:p w14:paraId="517F9855" w14:textId="77777777" w:rsidR="006878F9" w:rsidRPr="00061996" w:rsidRDefault="006878F9" w:rsidP="006878F9">
      <w:pPr>
        <w:rPr>
          <w:lang w:eastAsia="en-GB"/>
        </w:rPr>
      </w:pPr>
      <w:r w:rsidRPr="00061996">
        <w:rPr>
          <w:lang w:eastAsia="en-GB"/>
        </w:rPr>
        <w:t xml:space="preserve">An </w:t>
      </w:r>
      <w:r w:rsidRPr="00D52C2D">
        <w:t>ISSP</w:t>
      </w:r>
      <w:r w:rsidRPr="00061996">
        <w:rPr>
          <w:lang w:eastAsia="en-GB"/>
        </w:rPr>
        <w:t xml:space="preserve"> must make sure:</w:t>
      </w:r>
    </w:p>
    <w:p w14:paraId="2E13005E" w14:textId="3C58F7D5" w:rsidR="00C43C41" w:rsidRPr="00061996" w:rsidRDefault="006878F9" w:rsidP="006878F9">
      <w:pPr>
        <w:pStyle w:val="ListBullet"/>
        <w:rPr>
          <w:lang w:eastAsia="en-GB"/>
        </w:rPr>
      </w:pPr>
      <w:r w:rsidRPr="00061996">
        <w:rPr>
          <w:lang w:eastAsia="en-GB"/>
        </w:rPr>
        <w:t xml:space="preserve">That it does not allow </w:t>
      </w:r>
      <w:r w:rsidRPr="008A7DD0">
        <w:rPr>
          <w:lang w:eastAsia="en-GB"/>
        </w:rPr>
        <w:t>discriminatory</w:t>
      </w:r>
      <w:r w:rsidRPr="00061996">
        <w:rPr>
          <w:lang w:eastAsia="en-GB"/>
        </w:rPr>
        <w:t xml:space="preserve"> advertisements and information to appear on its website (whatever the advertisement is for). </w:t>
      </w:r>
    </w:p>
    <w:tbl>
      <w:tblPr>
        <w:tblStyle w:val="TableGrid"/>
        <w:tblW w:w="5000" w:type="pct"/>
        <w:tblInd w:w="425" w:type="dxa"/>
        <w:tblLook w:val="04A0" w:firstRow="1" w:lastRow="0" w:firstColumn="1" w:lastColumn="0" w:noHBand="0" w:noVBand="1"/>
      </w:tblPr>
      <w:tblGrid>
        <w:gridCol w:w="9286"/>
      </w:tblGrid>
      <w:tr w:rsidR="00C43C41" w14:paraId="307E12A5" w14:textId="77777777" w:rsidTr="00C43C41">
        <w:tc>
          <w:tcPr>
            <w:tcW w:w="5000" w:type="pct"/>
            <w:tcBorders>
              <w:top w:val="nil"/>
              <w:left w:val="nil"/>
              <w:bottom w:val="nil"/>
              <w:right w:val="nil"/>
            </w:tcBorders>
            <w:shd w:val="clear" w:color="auto" w:fill="DBE5F1" w:themeFill="accent1" w:themeFillTint="33"/>
          </w:tcPr>
          <w:p w14:paraId="27778D8D" w14:textId="6236891D" w:rsidR="00C43C41" w:rsidRDefault="00C43C41" w:rsidP="00C43C41">
            <w:r w:rsidRPr="00C43C41">
              <w:rPr>
                <w:rStyle w:val="Strong"/>
              </w:rPr>
              <w:t>For example:</w:t>
            </w:r>
            <w:r w:rsidRPr="00061996">
              <w:t xml:space="preserve"> A local newspaper accepts an advertisement which says that jobs at a particular company are only open to people of a particular ethnic or national origin. The newspaper puts it on its website. The advertisement directly discriminates because of race, and the newspaper as well as the advertiser may be liable for discrimination: the advertiser as an </w:t>
            </w:r>
            <w:r w:rsidRPr="00C43C41">
              <w:rPr>
                <w:rStyle w:val="Strong"/>
              </w:rPr>
              <w:t>employer</w:t>
            </w:r>
            <w:r w:rsidRPr="00061996">
              <w:t xml:space="preserve"> and the newspaper as an ISSP.</w:t>
            </w:r>
          </w:p>
        </w:tc>
      </w:tr>
    </w:tbl>
    <w:p w14:paraId="1EF5A386" w14:textId="273DE357" w:rsidR="00C43C41" w:rsidRPr="00061996" w:rsidRDefault="006878F9" w:rsidP="006878F9">
      <w:pPr>
        <w:pStyle w:val="ListBullet"/>
        <w:rPr>
          <w:lang w:eastAsia="en-GB"/>
        </w:rPr>
      </w:pPr>
      <w:r w:rsidRPr="00061996">
        <w:rPr>
          <w:lang w:eastAsia="en-GB"/>
        </w:rPr>
        <w:t xml:space="preserve">That it does not accept requests for the placing of information that unlawfully discriminates against people because of a protected characteristic in using a service. </w:t>
      </w:r>
    </w:p>
    <w:tbl>
      <w:tblPr>
        <w:tblStyle w:val="TableGrid"/>
        <w:tblW w:w="5000" w:type="pct"/>
        <w:tblInd w:w="425" w:type="dxa"/>
        <w:tblLook w:val="04A0" w:firstRow="1" w:lastRow="0" w:firstColumn="1" w:lastColumn="0" w:noHBand="0" w:noVBand="1"/>
      </w:tblPr>
      <w:tblGrid>
        <w:gridCol w:w="9286"/>
      </w:tblGrid>
      <w:tr w:rsidR="00C43C41" w14:paraId="17E26D92" w14:textId="77777777" w:rsidTr="00C43C41">
        <w:tc>
          <w:tcPr>
            <w:tcW w:w="5000" w:type="pct"/>
            <w:tcBorders>
              <w:top w:val="nil"/>
              <w:left w:val="nil"/>
              <w:bottom w:val="nil"/>
              <w:right w:val="nil"/>
            </w:tcBorders>
            <w:shd w:val="clear" w:color="auto" w:fill="DBE5F1" w:themeFill="accent1" w:themeFillTint="33"/>
          </w:tcPr>
          <w:p w14:paraId="1AB11E41" w14:textId="51E984C2" w:rsidR="00C43C41" w:rsidRDefault="00C43C41" w:rsidP="00C43C41">
            <w:r w:rsidRPr="00C43C41">
              <w:rPr>
                <w:rStyle w:val="Strong"/>
              </w:rPr>
              <w:t>For example:</w:t>
            </w:r>
            <w:r w:rsidRPr="00061996">
              <w:t xml:space="preserve"> An online holiday company established in the UK refuses to take bookings for shared accommodation from same-sex couples. A lesbian or gay couple could bring a claim for direct discrimination because of sexual orientation in the British courts regardless of whether the couple were in the UK or another EEA member state.</w:t>
            </w:r>
          </w:p>
        </w:tc>
      </w:tr>
    </w:tbl>
    <w:p w14:paraId="1DC67C14" w14:textId="77777777" w:rsidR="006878F9" w:rsidRPr="00061996" w:rsidRDefault="006878F9" w:rsidP="006878F9">
      <w:pPr>
        <w:pStyle w:val="ListBullet"/>
        <w:rPr>
          <w:lang w:eastAsia="en-GB"/>
        </w:rPr>
      </w:pPr>
      <w:r w:rsidRPr="00061996">
        <w:rPr>
          <w:lang w:eastAsia="en-GB"/>
        </w:rPr>
        <w:t>That it makes reasonable adjustments to make sure that its website is accessible to disabled people.</w:t>
      </w:r>
    </w:p>
    <w:p w14:paraId="691387F6" w14:textId="77777777" w:rsidR="00C43C41" w:rsidRPr="00C43C41" w:rsidRDefault="00C43C41" w:rsidP="00C43C41">
      <w:bookmarkStart w:id="74" w:name="_Toc288557215"/>
      <w:bookmarkStart w:id="75" w:name="_Toc288575881"/>
      <w:r w:rsidRPr="00C43C41">
        <w:br w:type="page"/>
      </w:r>
    </w:p>
    <w:p w14:paraId="6292CD93" w14:textId="0696FA78" w:rsidR="006878F9" w:rsidRPr="00061996" w:rsidRDefault="006878F9" w:rsidP="00921E87">
      <w:pPr>
        <w:pStyle w:val="L3Heading"/>
      </w:pPr>
      <w:bookmarkStart w:id="76" w:name="_Toc297124722"/>
      <w:bookmarkStart w:id="77" w:name="_Toc297300505"/>
      <w:r w:rsidRPr="00061996">
        <w:t>Reasonable adjustments</w:t>
      </w:r>
      <w:bookmarkEnd w:id="74"/>
      <w:bookmarkEnd w:id="75"/>
      <w:bookmarkEnd w:id="76"/>
      <w:bookmarkEnd w:id="77"/>
    </w:p>
    <w:p w14:paraId="34E57717" w14:textId="77777777" w:rsidR="006878F9" w:rsidRPr="00061996" w:rsidRDefault="006878F9" w:rsidP="006878F9">
      <w:pPr>
        <w:rPr>
          <w:lang w:eastAsia="en-GB"/>
        </w:rPr>
      </w:pPr>
      <w:r w:rsidRPr="00061996">
        <w:rPr>
          <w:lang w:eastAsia="en-GB"/>
        </w:rPr>
        <w:t>Where this is a reasonable adjustment (and, as with other written information, it is likely to be), a website must be accessible to all users – this will include, for example:</w:t>
      </w:r>
    </w:p>
    <w:p w14:paraId="62167C67" w14:textId="77777777" w:rsidR="006878F9" w:rsidRPr="00061996" w:rsidRDefault="006878F9" w:rsidP="006878F9">
      <w:pPr>
        <w:pStyle w:val="ListBullet"/>
        <w:rPr>
          <w:lang w:eastAsia="en-GB"/>
        </w:rPr>
      </w:pPr>
      <w:r w:rsidRPr="00061996">
        <w:rPr>
          <w:lang w:eastAsia="en-GB"/>
        </w:rPr>
        <w:t>people with visual impairments, who use text-to-speech software</w:t>
      </w:r>
    </w:p>
    <w:p w14:paraId="13AF6D76" w14:textId="77777777" w:rsidR="006878F9" w:rsidRPr="00061996" w:rsidRDefault="006878F9" w:rsidP="006878F9">
      <w:pPr>
        <w:pStyle w:val="ListBullet"/>
        <w:rPr>
          <w:lang w:eastAsia="en-GB"/>
        </w:rPr>
      </w:pPr>
      <w:r w:rsidRPr="00061996">
        <w:rPr>
          <w:lang w:eastAsia="en-GB"/>
        </w:rPr>
        <w:t>people with manual dexterity impairments, who cannot use a mouse</w:t>
      </w:r>
    </w:p>
    <w:p w14:paraId="4C070CE0" w14:textId="77777777" w:rsidR="006878F9" w:rsidRPr="00061996" w:rsidRDefault="006878F9" w:rsidP="006878F9">
      <w:pPr>
        <w:pStyle w:val="ListBullet"/>
        <w:rPr>
          <w:lang w:eastAsia="en-GB"/>
        </w:rPr>
      </w:pPr>
      <w:r w:rsidRPr="00061996">
        <w:rPr>
          <w:lang w:eastAsia="en-GB"/>
        </w:rPr>
        <w:t>people with dyslexia and learning difficulties.</w:t>
      </w:r>
    </w:p>
    <w:p w14:paraId="4585D261" w14:textId="77777777" w:rsidR="006878F9" w:rsidRPr="00061996" w:rsidRDefault="006878F9" w:rsidP="006878F9">
      <w:pPr>
        <w:rPr>
          <w:lang w:eastAsia="en-GB"/>
        </w:rPr>
      </w:pPr>
      <w:r w:rsidRPr="00061996">
        <w:rPr>
          <w:lang w:eastAsia="en-GB"/>
        </w:rPr>
        <w:t>In making reasonable adjustments, a service provider is not allowed to wait until a disabled person wants to use their services. They must think in advance about what people with a range of impairments might reasonably need. If they have not done this and a disabled person wants to use a service, then the service provider must make the reasonable adjustments as quickly as possible.</w:t>
      </w:r>
    </w:p>
    <w:p w14:paraId="39E4A762" w14:textId="09A7A39C" w:rsidR="006878F9" w:rsidRPr="00061996" w:rsidRDefault="006878F9" w:rsidP="006878F9">
      <w:pPr>
        <w:rPr>
          <w:lang w:eastAsia="en-GB"/>
        </w:rPr>
      </w:pPr>
      <w:r w:rsidRPr="00061996">
        <w:rPr>
          <w:lang w:eastAsia="en-GB"/>
        </w:rPr>
        <w:t>If you want to know more about how service providers can make their websites accessible for disabled people with a range of impairments, the Royal National Institute of Blind People provides information at:</w:t>
      </w:r>
      <w:r w:rsidR="00C43C41">
        <w:rPr>
          <w:lang w:eastAsia="en-GB"/>
        </w:rPr>
        <w:t xml:space="preserve"> </w:t>
      </w:r>
      <w:r>
        <w:rPr>
          <w:lang w:eastAsia="en-GB"/>
        </w:rPr>
        <w:br/>
      </w:r>
      <w:hyperlink r:id="rId14" w:history="1">
        <w:r w:rsidRPr="00C43C41">
          <w:rPr>
            <w:rStyle w:val="Hyperlink"/>
            <w:szCs w:val="24"/>
            <w:lang w:eastAsia="en-GB"/>
          </w:rPr>
          <w:t>http://www.rnib.org.uk/professionals/webaccessibility/Pages/web_accessibility.aspx</w:t>
        </w:r>
      </w:hyperlink>
    </w:p>
    <w:p w14:paraId="13F633C5" w14:textId="506EF34C" w:rsidR="006878F9" w:rsidRDefault="006878F9" w:rsidP="006878F9">
      <w:pPr>
        <w:rPr>
          <w:lang w:eastAsia="en-GB"/>
        </w:rPr>
      </w:pPr>
      <w:r w:rsidRPr="00061996">
        <w:rPr>
          <w:lang w:eastAsia="en-GB"/>
        </w:rPr>
        <w:t xml:space="preserve">You can read more about reasonable adjustments to remove barriers for disabled people </w:t>
      </w:r>
      <w:r>
        <w:rPr>
          <w:lang w:eastAsia="en-GB"/>
        </w:rPr>
        <w:t xml:space="preserve">in </w:t>
      </w:r>
      <w:hyperlink w:anchor="chapter4" w:history="1">
        <w:r w:rsidRPr="00AA46A5">
          <w:rPr>
            <w:rStyle w:val="Hyperlink"/>
            <w:rFonts w:cs="Times New Roman"/>
            <w:szCs w:val="24"/>
            <w:lang w:eastAsia="en-GB"/>
          </w:rPr>
          <w:t>Chapter 4</w:t>
        </w:r>
      </w:hyperlink>
      <w:r w:rsidRPr="00061996">
        <w:rPr>
          <w:lang w:eastAsia="en-GB"/>
        </w:rPr>
        <w:t>.</w:t>
      </w:r>
    </w:p>
    <w:tbl>
      <w:tblPr>
        <w:tblStyle w:val="TableGrid"/>
        <w:tblW w:w="5000" w:type="pct"/>
        <w:tblLook w:val="04A0" w:firstRow="1" w:lastRow="0" w:firstColumn="1" w:lastColumn="0" w:noHBand="0" w:noVBand="1"/>
      </w:tblPr>
      <w:tblGrid>
        <w:gridCol w:w="9286"/>
      </w:tblGrid>
      <w:tr w:rsidR="00C43C41" w:rsidRPr="00C43C41" w14:paraId="6206368C" w14:textId="77777777" w:rsidTr="00C43C41">
        <w:tc>
          <w:tcPr>
            <w:tcW w:w="5000" w:type="pct"/>
            <w:tcBorders>
              <w:top w:val="single" w:sz="4" w:space="0" w:color="E2007A"/>
              <w:left w:val="single" w:sz="4" w:space="0" w:color="E2007A"/>
              <w:bottom w:val="single" w:sz="4" w:space="0" w:color="E2007A"/>
              <w:right w:val="single" w:sz="4" w:space="0" w:color="E2007A"/>
            </w:tcBorders>
          </w:tcPr>
          <w:p w14:paraId="2F568E26" w14:textId="77777777" w:rsidR="00C43C41" w:rsidRPr="00C43C41" w:rsidRDefault="00C43C41" w:rsidP="00C43C41">
            <w:pPr>
              <w:pStyle w:val="L4Headers"/>
              <w:rPr>
                <w:color w:val="E2007A"/>
              </w:rPr>
            </w:pPr>
            <w:r w:rsidRPr="00C43C41">
              <w:rPr>
                <w:color w:val="E2007A"/>
              </w:rPr>
              <w:t>Equality good practice: what to look for</w:t>
            </w:r>
          </w:p>
          <w:p w14:paraId="6968515C" w14:textId="6620FE63" w:rsidR="00C43C41" w:rsidRPr="00C43C41" w:rsidRDefault="00C43C41" w:rsidP="00C43C41">
            <w:r w:rsidRPr="00C43C41">
              <w:t>Even if, in an organisation’s particular circumstances, it is not a reasonable adjustment for it to make its website fully accessible to as many people as possible, an organisation can choose to do this.</w:t>
            </w:r>
          </w:p>
        </w:tc>
      </w:tr>
    </w:tbl>
    <w:p w14:paraId="7A68B7FB" w14:textId="77777777" w:rsidR="006878F9" w:rsidRPr="00061996" w:rsidRDefault="006878F9" w:rsidP="00921E87">
      <w:pPr>
        <w:pStyle w:val="L3Heading"/>
      </w:pPr>
      <w:bookmarkStart w:id="78" w:name="_Toc288557216"/>
      <w:bookmarkStart w:id="79" w:name="_Toc288575882"/>
      <w:bookmarkStart w:id="80" w:name="_Toc297124723"/>
      <w:bookmarkStart w:id="81" w:name="_Toc297300506"/>
      <w:r w:rsidRPr="00061996">
        <w:t>Exceptions</w:t>
      </w:r>
      <w:bookmarkEnd w:id="78"/>
      <w:bookmarkEnd w:id="79"/>
      <w:bookmarkEnd w:id="80"/>
      <w:bookmarkEnd w:id="81"/>
      <w:r w:rsidRPr="00061996">
        <w:t xml:space="preserve"> </w:t>
      </w:r>
    </w:p>
    <w:p w14:paraId="1E6703A2" w14:textId="77777777" w:rsidR="006878F9" w:rsidRPr="00061996" w:rsidRDefault="006878F9" w:rsidP="006878F9">
      <w:pPr>
        <w:rPr>
          <w:lang w:eastAsia="en-GB"/>
        </w:rPr>
      </w:pPr>
      <w:r w:rsidRPr="00061996">
        <w:rPr>
          <w:lang w:eastAsia="en-GB"/>
        </w:rPr>
        <w:t xml:space="preserve">Where a service provider only has a limited role, it is excused </w:t>
      </w:r>
      <w:r w:rsidR="009547CE">
        <w:rPr>
          <w:lang w:eastAsia="en-GB"/>
        </w:rPr>
        <w:t xml:space="preserve">from </w:t>
      </w:r>
      <w:r w:rsidRPr="00061996">
        <w:rPr>
          <w:lang w:eastAsia="en-GB"/>
        </w:rPr>
        <w:t xml:space="preserve">the responsibilities of an </w:t>
      </w:r>
      <w:r w:rsidRPr="00C43C41">
        <w:rPr>
          <w:rStyle w:val="Strong"/>
        </w:rPr>
        <w:t>ISSP</w:t>
      </w:r>
      <w:r w:rsidRPr="00061996">
        <w:rPr>
          <w:lang w:eastAsia="en-GB"/>
        </w:rPr>
        <w:t>. An example of this is if it is only temporarily storing information, and does not start sending it, decide who to send it to or change the information it is sending. This covers, for example, websites that temporarily transmit or store messages between users.</w:t>
      </w:r>
    </w:p>
    <w:p w14:paraId="5EB724C5" w14:textId="358A3F6F" w:rsidR="00E64DF0" w:rsidRPr="00061996" w:rsidRDefault="006878F9" w:rsidP="00E64DF0">
      <w:pPr>
        <w:rPr>
          <w:lang w:eastAsia="en-GB"/>
        </w:rPr>
      </w:pPr>
      <w:r w:rsidRPr="00061996">
        <w:rPr>
          <w:lang w:eastAsia="en-GB"/>
        </w:rPr>
        <w:t xml:space="preserve">If an ISSP is not based in the UK, then the laws of the country where it is based will apply to it, rather than UK equality law. </w:t>
      </w:r>
    </w:p>
    <w:tbl>
      <w:tblPr>
        <w:tblStyle w:val="TableGrid"/>
        <w:tblW w:w="5000" w:type="pct"/>
        <w:tblLook w:val="04A0" w:firstRow="1" w:lastRow="0" w:firstColumn="1" w:lastColumn="0" w:noHBand="0" w:noVBand="1"/>
      </w:tblPr>
      <w:tblGrid>
        <w:gridCol w:w="9286"/>
      </w:tblGrid>
      <w:tr w:rsidR="00C43C41" w14:paraId="1C4827B9" w14:textId="77777777" w:rsidTr="00C43C41">
        <w:tc>
          <w:tcPr>
            <w:tcW w:w="5000" w:type="pct"/>
            <w:tcBorders>
              <w:top w:val="nil"/>
              <w:left w:val="nil"/>
              <w:bottom w:val="nil"/>
              <w:right w:val="nil"/>
            </w:tcBorders>
            <w:shd w:val="clear" w:color="auto" w:fill="DBE5F1" w:themeFill="accent1" w:themeFillTint="33"/>
          </w:tcPr>
          <w:p w14:paraId="3A139501" w14:textId="04DB8684" w:rsidR="00C43C41" w:rsidRDefault="00C43C41" w:rsidP="006878F9">
            <w:pPr>
              <w:rPr>
                <w:lang w:eastAsia="en-GB"/>
              </w:rPr>
            </w:pPr>
            <w:r w:rsidRPr="00C43C41">
              <w:rPr>
                <w:rStyle w:val="Strong"/>
              </w:rPr>
              <w:t>For example:</w:t>
            </w:r>
            <w:r>
              <w:rPr>
                <w:lang w:eastAsia="en-GB"/>
              </w:rPr>
              <w:t xml:space="preserve"> </w:t>
            </w:r>
            <w:r w:rsidRPr="00061996">
              <w:rPr>
                <w:lang w:eastAsia="en-GB"/>
              </w:rPr>
              <w:t>An online retailer, which provides tickets to major sporting events, offers discounts to large groups of men but not women when booking hospitality packages for a football tournament. The online retailer is established in Germany so in this instance a case of direct discrimination because of sex would have to be brought in the German courts regardless of whether the person complaining was in the UK or another EEA member state.</w:t>
            </w:r>
          </w:p>
        </w:tc>
      </w:tr>
    </w:tbl>
    <w:p w14:paraId="4DC46375" w14:textId="1C08C973" w:rsidR="006878F9" w:rsidRPr="00061996" w:rsidRDefault="006878F9" w:rsidP="00921E87">
      <w:pPr>
        <w:pStyle w:val="L2Headers"/>
        <w:rPr>
          <w:lang w:eastAsia="en-GB"/>
        </w:rPr>
      </w:pPr>
      <w:bookmarkStart w:id="82" w:name="_Toc288557217"/>
      <w:bookmarkStart w:id="83" w:name="_Toc288575883"/>
      <w:bookmarkStart w:id="84" w:name="_Toc297124724"/>
      <w:bookmarkStart w:id="85" w:name="_Toc297300507"/>
      <w:r w:rsidRPr="00061996">
        <w:rPr>
          <w:lang w:eastAsia="en-GB"/>
        </w:rPr>
        <w:t>Telephone access and call centres</w:t>
      </w:r>
      <w:bookmarkEnd w:id="82"/>
      <w:bookmarkEnd w:id="83"/>
      <w:bookmarkEnd w:id="84"/>
      <w:bookmarkEnd w:id="85"/>
    </w:p>
    <w:p w14:paraId="02285A19" w14:textId="77777777" w:rsidR="006878F9" w:rsidRPr="00061996" w:rsidRDefault="006878F9" w:rsidP="006878F9">
      <w:pPr>
        <w:rPr>
          <w:lang w:eastAsia="en-GB"/>
        </w:rPr>
      </w:pPr>
      <w:r w:rsidRPr="00061996">
        <w:rPr>
          <w:lang w:eastAsia="en-GB"/>
        </w:rPr>
        <w:t>A service provider may provide services over the telephone as a main activity – for example, you phone up to buy something. Or it may have a telephone service as part of its service, for example, if you use telephone banking, or phone enquiry lines via a call centre.</w:t>
      </w:r>
    </w:p>
    <w:p w14:paraId="61152C59" w14:textId="77777777" w:rsidR="006878F9" w:rsidRPr="00061996" w:rsidRDefault="006878F9" w:rsidP="006878F9">
      <w:pPr>
        <w:rPr>
          <w:lang w:eastAsia="en-GB"/>
        </w:rPr>
      </w:pPr>
      <w:r w:rsidRPr="00061996">
        <w:rPr>
          <w:lang w:eastAsia="en-GB"/>
        </w:rPr>
        <w:t>When a service provider offers telephone information as part of its service, it must not unlawfully discriminate against, harass or victimise you because of a protected characteristic in:</w:t>
      </w:r>
    </w:p>
    <w:p w14:paraId="0453462D" w14:textId="77777777" w:rsidR="006878F9" w:rsidRPr="00061996" w:rsidRDefault="006878F9" w:rsidP="006878F9">
      <w:pPr>
        <w:pStyle w:val="ListBullet"/>
        <w:rPr>
          <w:lang w:eastAsia="en-GB"/>
        </w:rPr>
      </w:pPr>
      <w:r w:rsidRPr="00061996">
        <w:rPr>
          <w:lang w:eastAsia="en-GB"/>
        </w:rPr>
        <w:t>what is said to you during a call, and</w:t>
      </w:r>
    </w:p>
    <w:p w14:paraId="09B7EFC9" w14:textId="77777777" w:rsidR="006878F9" w:rsidRPr="00061996" w:rsidRDefault="006878F9" w:rsidP="006878F9">
      <w:pPr>
        <w:pStyle w:val="ListBullet"/>
        <w:rPr>
          <w:lang w:eastAsia="en-GB"/>
        </w:rPr>
      </w:pPr>
      <w:r w:rsidRPr="00061996">
        <w:rPr>
          <w:lang w:eastAsia="en-GB"/>
        </w:rPr>
        <w:t>the way the service is provided.</w:t>
      </w:r>
    </w:p>
    <w:p w14:paraId="7076B7C6" w14:textId="269FFE40" w:rsidR="006878F9" w:rsidRPr="00061996" w:rsidRDefault="006878F9" w:rsidP="006878F9">
      <w:pPr>
        <w:rPr>
          <w:lang w:eastAsia="en-GB"/>
        </w:rPr>
      </w:pPr>
      <w:r w:rsidRPr="00061996">
        <w:rPr>
          <w:lang w:eastAsia="en-GB"/>
        </w:rPr>
        <w:t>When a service provider offers services over the telephone, it must make reasonable adjustments for disabled people who would otherwise face a barrier to accessing the service. If it is a reasonable adjustment to provide the s</w:t>
      </w:r>
      <w:r w:rsidR="00E64DF0">
        <w:rPr>
          <w:lang w:eastAsia="en-GB"/>
        </w:rPr>
        <w:t>ervice in a different way, then </w:t>
      </w:r>
      <w:r w:rsidRPr="00061996">
        <w:rPr>
          <w:lang w:eastAsia="en-GB"/>
        </w:rPr>
        <w:t>it must do it.</w:t>
      </w:r>
    </w:p>
    <w:p w14:paraId="7402C8C7" w14:textId="1C15256A" w:rsidR="0009435C" w:rsidRPr="00061996" w:rsidRDefault="006878F9" w:rsidP="006878F9">
      <w:pPr>
        <w:rPr>
          <w:lang w:eastAsia="en-GB"/>
        </w:rPr>
      </w:pPr>
      <w:r w:rsidRPr="00061996">
        <w:rPr>
          <w:lang w:eastAsia="en-GB"/>
        </w:rPr>
        <w:t>In making reasonable adjustments, a service provider is not allowed to wait until a disabled person wants to use their services. They must think in advance about what people with a range of impairments might reasonably need. If they have not done this and a disabled person wants to use a service, then the service provider must make the reasonable adjustments as quickly as possible.</w:t>
      </w:r>
    </w:p>
    <w:tbl>
      <w:tblPr>
        <w:tblStyle w:val="TableGrid"/>
        <w:tblW w:w="5000" w:type="pct"/>
        <w:tblLook w:val="04A0" w:firstRow="1" w:lastRow="0" w:firstColumn="1" w:lastColumn="0" w:noHBand="0" w:noVBand="1"/>
      </w:tblPr>
      <w:tblGrid>
        <w:gridCol w:w="9286"/>
      </w:tblGrid>
      <w:tr w:rsidR="0009435C" w14:paraId="4F9C9563" w14:textId="77777777" w:rsidTr="0009435C">
        <w:tc>
          <w:tcPr>
            <w:tcW w:w="5000" w:type="pct"/>
            <w:tcBorders>
              <w:top w:val="nil"/>
              <w:left w:val="nil"/>
              <w:bottom w:val="nil"/>
              <w:right w:val="nil"/>
            </w:tcBorders>
            <w:shd w:val="clear" w:color="auto" w:fill="DBE5F1" w:themeFill="accent1" w:themeFillTint="33"/>
          </w:tcPr>
          <w:p w14:paraId="239B68EE" w14:textId="77777777" w:rsidR="0009435C" w:rsidRPr="0009435C" w:rsidRDefault="0009435C" w:rsidP="006878F9">
            <w:pPr>
              <w:rPr>
                <w:rStyle w:val="Strong"/>
              </w:rPr>
            </w:pPr>
            <w:r w:rsidRPr="0009435C">
              <w:rPr>
                <w:rStyle w:val="Strong"/>
              </w:rPr>
              <w:t>For example:</w:t>
            </w:r>
          </w:p>
          <w:p w14:paraId="0CEBA570" w14:textId="77777777" w:rsidR="0009435C" w:rsidRPr="00061996" w:rsidRDefault="0009435C" w:rsidP="0009435C">
            <w:pPr>
              <w:pStyle w:val="ListBullet"/>
            </w:pPr>
            <w:r w:rsidRPr="00061996">
              <w:t xml:space="preserve">A call centre makes sure that it has a </w:t>
            </w:r>
            <w:r w:rsidRPr="0009435C">
              <w:rPr>
                <w:rStyle w:val="Strong"/>
              </w:rPr>
              <w:t>textphone</w:t>
            </w:r>
            <w:r w:rsidRPr="00061996">
              <w:t xml:space="preserve"> to accept calls from people </w:t>
            </w:r>
            <w:r>
              <w:br/>
            </w:r>
            <w:r w:rsidRPr="00061996">
              <w:t xml:space="preserve">with a hearing impairment, as well as allowing calls to be made through a </w:t>
            </w:r>
            <w:r>
              <w:br/>
            </w:r>
            <w:r w:rsidRPr="00061996">
              <w:t>third-party interpreter.</w:t>
            </w:r>
          </w:p>
          <w:p w14:paraId="473675B4" w14:textId="77777777" w:rsidR="0009435C" w:rsidRPr="00061996" w:rsidRDefault="0009435C" w:rsidP="0009435C">
            <w:pPr>
              <w:pStyle w:val="ListBullet"/>
            </w:pPr>
            <w:r w:rsidRPr="00061996">
              <w:t>A community organisation offers ‘live chat’ with its helpline via the internet.</w:t>
            </w:r>
          </w:p>
          <w:p w14:paraId="2D69D1A6" w14:textId="39121916" w:rsidR="0009435C" w:rsidRDefault="0009435C" w:rsidP="006878F9">
            <w:pPr>
              <w:pStyle w:val="ListBullet"/>
            </w:pPr>
            <w:r w:rsidRPr="00061996">
              <w:t>A small business which offers goods for sale by phone includes an email address and mobile phone number for SMS text messaging in its marketing information and makes it clear that orders will be accepted by these methods as well as by a landline phone.</w:t>
            </w:r>
          </w:p>
        </w:tc>
      </w:tr>
    </w:tbl>
    <w:p w14:paraId="13FE8206" w14:textId="77777777" w:rsidR="0009435C" w:rsidRPr="0009435C" w:rsidRDefault="0009435C" w:rsidP="0009435C">
      <w:pPr>
        <w:sectPr w:rsidR="0009435C" w:rsidRPr="0009435C" w:rsidSect="00D21EFB">
          <w:pgSz w:w="11906" w:h="16838" w:code="9"/>
          <w:pgMar w:top="1418" w:right="1418" w:bottom="1418" w:left="1418" w:header="624" w:footer="624" w:gutter="0"/>
          <w:cols w:space="720"/>
          <w:noEndnote/>
        </w:sectPr>
      </w:pPr>
      <w:bookmarkStart w:id="86" w:name="_Toc288557218"/>
      <w:bookmarkStart w:id="87" w:name="_Toc288575884"/>
    </w:p>
    <w:p w14:paraId="62FB48DF" w14:textId="2A26224C" w:rsidR="006878F9" w:rsidRPr="005E79F4" w:rsidRDefault="006878F9" w:rsidP="00921E87">
      <w:pPr>
        <w:pStyle w:val="L1Headers"/>
      </w:pPr>
      <w:bookmarkStart w:id="88" w:name="chapter3"/>
      <w:bookmarkStart w:id="89" w:name="_Toc297300508"/>
      <w:bookmarkEnd w:id="88"/>
      <w:r w:rsidRPr="005E79F4">
        <w:t>When a service provider is responsible for what other people do</w:t>
      </w:r>
      <w:bookmarkEnd w:id="86"/>
      <w:bookmarkEnd w:id="87"/>
      <w:bookmarkEnd w:id="89"/>
    </w:p>
    <w:p w14:paraId="5D278846" w14:textId="77777777" w:rsidR="006878F9" w:rsidRPr="00B41A0E" w:rsidRDefault="006878F9" w:rsidP="006878F9">
      <w:pPr>
        <w:rPr>
          <w:lang w:eastAsia="en-GB"/>
        </w:rPr>
      </w:pPr>
      <w:r w:rsidRPr="00B41A0E">
        <w:rPr>
          <w:lang w:eastAsia="en-GB"/>
        </w:rPr>
        <w:t xml:space="preserve">It is not just the people in charge of organisations providing </w:t>
      </w:r>
      <w:r w:rsidRPr="0009435C">
        <w:rPr>
          <w:rStyle w:val="Strong"/>
        </w:rPr>
        <w:t>goods, facilities</w:t>
      </w:r>
      <w:r w:rsidRPr="00B41A0E">
        <w:rPr>
          <w:lang w:eastAsia="en-GB"/>
        </w:rPr>
        <w:t xml:space="preserve"> or </w:t>
      </w:r>
      <w:r w:rsidRPr="0009435C">
        <w:rPr>
          <w:rStyle w:val="Strong"/>
        </w:rPr>
        <w:t>services</w:t>
      </w:r>
      <w:r w:rsidRPr="00B41A0E">
        <w:rPr>
          <w:lang w:eastAsia="en-GB"/>
        </w:rPr>
        <w:t xml:space="preserve"> to the public or carrying out </w:t>
      </w:r>
      <w:r w:rsidRPr="0009435C">
        <w:rPr>
          <w:rStyle w:val="Strong"/>
        </w:rPr>
        <w:t>public functions</w:t>
      </w:r>
      <w:r w:rsidRPr="00B41A0E">
        <w:rPr>
          <w:lang w:eastAsia="en-GB"/>
        </w:rPr>
        <w:t xml:space="preserve"> who must avoid </w:t>
      </w:r>
      <w:r w:rsidRPr="006B25B7">
        <w:rPr>
          <w:lang w:eastAsia="en-GB"/>
        </w:rPr>
        <w:t>unlawful discrimination</w:t>
      </w:r>
      <w:r w:rsidRPr="00B41A0E">
        <w:rPr>
          <w:lang w:eastAsia="en-GB"/>
        </w:rPr>
        <w:t xml:space="preserve">, </w:t>
      </w:r>
      <w:r w:rsidRPr="0009435C">
        <w:rPr>
          <w:rStyle w:val="Strong"/>
        </w:rPr>
        <w:t>harassment</w:t>
      </w:r>
      <w:r w:rsidRPr="00B41A0E">
        <w:rPr>
          <w:lang w:eastAsia="en-GB"/>
        </w:rPr>
        <w:t xml:space="preserve"> and </w:t>
      </w:r>
      <w:r w:rsidRPr="0009435C">
        <w:rPr>
          <w:rStyle w:val="Strong"/>
        </w:rPr>
        <w:t>victimisation</w:t>
      </w:r>
      <w:r w:rsidRPr="00B41A0E">
        <w:rPr>
          <w:lang w:eastAsia="en-GB"/>
        </w:rPr>
        <w:t>.</w:t>
      </w:r>
    </w:p>
    <w:p w14:paraId="50A3C988" w14:textId="77777777" w:rsidR="006878F9" w:rsidRPr="00B41A0E" w:rsidRDefault="006878F9" w:rsidP="006878F9">
      <w:pPr>
        <w:rPr>
          <w:lang w:eastAsia="en-GB"/>
        </w:rPr>
      </w:pPr>
      <w:r w:rsidRPr="00B41A0E">
        <w:rPr>
          <w:lang w:eastAsia="en-GB"/>
        </w:rPr>
        <w:t>If another person who is:</w:t>
      </w:r>
    </w:p>
    <w:p w14:paraId="36775A06" w14:textId="77777777" w:rsidR="006878F9" w:rsidRPr="00B41A0E" w:rsidRDefault="006878F9" w:rsidP="006878F9">
      <w:pPr>
        <w:pStyle w:val="ListBullet"/>
        <w:rPr>
          <w:lang w:eastAsia="en-GB"/>
        </w:rPr>
      </w:pPr>
      <w:r w:rsidRPr="00B41A0E">
        <w:rPr>
          <w:lang w:eastAsia="en-GB"/>
        </w:rPr>
        <w:t>employed by a service provider, or</w:t>
      </w:r>
    </w:p>
    <w:p w14:paraId="1BC55613" w14:textId="77777777" w:rsidR="006878F9" w:rsidRPr="00B41A0E" w:rsidRDefault="006878F9" w:rsidP="006878F9">
      <w:pPr>
        <w:pStyle w:val="ListBullet"/>
        <w:rPr>
          <w:lang w:eastAsia="en-GB"/>
        </w:rPr>
      </w:pPr>
      <w:r w:rsidRPr="00B41A0E">
        <w:rPr>
          <w:lang w:eastAsia="en-GB"/>
        </w:rPr>
        <w:t xml:space="preserve">carrying out a service provider’s instructions (who the law calls the service </w:t>
      </w:r>
      <w:r>
        <w:rPr>
          <w:lang w:eastAsia="en-GB"/>
        </w:rPr>
        <w:br/>
      </w:r>
      <w:r w:rsidRPr="00B41A0E">
        <w:rPr>
          <w:lang w:eastAsia="en-GB"/>
        </w:rPr>
        <w:t xml:space="preserve">provider’s agent) </w:t>
      </w:r>
    </w:p>
    <w:p w14:paraId="7C83CBB9" w14:textId="77777777" w:rsidR="006878F9" w:rsidRPr="00B41A0E" w:rsidRDefault="006878F9" w:rsidP="006878F9">
      <w:pPr>
        <w:rPr>
          <w:lang w:eastAsia="en-GB"/>
        </w:rPr>
      </w:pPr>
      <w:r w:rsidRPr="00B41A0E">
        <w:rPr>
          <w:lang w:eastAsia="en-GB"/>
        </w:rPr>
        <w:t>does something that is unlawful discrimination, harassment or victimisation, the service provider can be held legally responsible for what they have done.</w:t>
      </w:r>
    </w:p>
    <w:p w14:paraId="672B7A95" w14:textId="77777777" w:rsidR="006878F9" w:rsidRPr="00B41A0E" w:rsidRDefault="006878F9" w:rsidP="006878F9">
      <w:pPr>
        <w:rPr>
          <w:lang w:eastAsia="en-GB"/>
        </w:rPr>
      </w:pPr>
      <w:r w:rsidRPr="00B41A0E">
        <w:rPr>
          <w:lang w:eastAsia="en-GB"/>
        </w:rPr>
        <w:t>This part of the guide explains:</w:t>
      </w:r>
    </w:p>
    <w:p w14:paraId="0A0A8212" w14:textId="77777777" w:rsidR="006878F9" w:rsidRPr="00B41A0E" w:rsidRDefault="006878F9" w:rsidP="006878F9">
      <w:pPr>
        <w:pStyle w:val="ListBullet"/>
        <w:rPr>
          <w:lang w:eastAsia="en-GB"/>
        </w:rPr>
      </w:pPr>
      <w:r w:rsidRPr="00B41A0E">
        <w:rPr>
          <w:lang w:eastAsia="en-GB"/>
        </w:rPr>
        <w:t>When a service provider can be held legally responsible for someone else’s unlawful discrimination, harassment or victimisation.</w:t>
      </w:r>
    </w:p>
    <w:p w14:paraId="502C9B25" w14:textId="77777777" w:rsidR="006878F9" w:rsidRPr="00B41A0E" w:rsidRDefault="006878F9" w:rsidP="006878F9">
      <w:pPr>
        <w:pStyle w:val="ListBullet"/>
        <w:rPr>
          <w:lang w:eastAsia="en-GB"/>
        </w:rPr>
      </w:pPr>
      <w:r w:rsidRPr="00B41A0E">
        <w:rPr>
          <w:lang w:eastAsia="en-GB"/>
        </w:rPr>
        <w:t>How a service provider can reduce the risk that they will be held legally responsible.</w:t>
      </w:r>
    </w:p>
    <w:p w14:paraId="5A48B388" w14:textId="77777777" w:rsidR="006878F9" w:rsidRPr="00B41A0E" w:rsidRDefault="006878F9" w:rsidP="006878F9">
      <w:pPr>
        <w:pStyle w:val="ListBullet"/>
        <w:rPr>
          <w:lang w:eastAsia="en-GB"/>
        </w:rPr>
      </w:pPr>
      <w:r w:rsidRPr="00B41A0E">
        <w:rPr>
          <w:lang w:eastAsia="en-GB"/>
        </w:rPr>
        <w:t xml:space="preserve">When </w:t>
      </w:r>
      <w:r>
        <w:rPr>
          <w:lang w:eastAsia="en-GB"/>
        </w:rPr>
        <w:t xml:space="preserve">workers employed by the service provider or its agents </w:t>
      </w:r>
      <w:r w:rsidRPr="00B41A0E">
        <w:rPr>
          <w:lang w:eastAsia="en-GB"/>
        </w:rPr>
        <w:t>may be personally liable.</w:t>
      </w:r>
    </w:p>
    <w:p w14:paraId="321C411F" w14:textId="77777777" w:rsidR="006878F9" w:rsidRPr="00B41A0E" w:rsidRDefault="006878F9" w:rsidP="006878F9">
      <w:pPr>
        <w:pStyle w:val="ListBullet"/>
        <w:rPr>
          <w:lang w:eastAsia="en-GB"/>
        </w:rPr>
      </w:pPr>
      <w:r w:rsidRPr="00B41A0E">
        <w:rPr>
          <w:lang w:eastAsia="en-GB"/>
        </w:rPr>
        <w:t>What happens if a person instructs someone else to do something that is against equality law.</w:t>
      </w:r>
    </w:p>
    <w:p w14:paraId="00FB1E81" w14:textId="77777777" w:rsidR="006878F9" w:rsidRPr="00B41A0E" w:rsidRDefault="006878F9" w:rsidP="006878F9">
      <w:pPr>
        <w:pStyle w:val="ListBullet"/>
        <w:rPr>
          <w:lang w:eastAsia="en-GB"/>
        </w:rPr>
      </w:pPr>
      <w:r w:rsidRPr="00B41A0E">
        <w:rPr>
          <w:lang w:eastAsia="en-GB"/>
        </w:rPr>
        <w:t xml:space="preserve">What happens if a person helps someone else to do something that is against </w:t>
      </w:r>
      <w:r>
        <w:rPr>
          <w:lang w:eastAsia="en-GB"/>
        </w:rPr>
        <w:br/>
      </w:r>
      <w:r w:rsidRPr="00B41A0E">
        <w:rPr>
          <w:lang w:eastAsia="en-GB"/>
        </w:rPr>
        <w:t>equality law.</w:t>
      </w:r>
    </w:p>
    <w:p w14:paraId="3CCDDEFB" w14:textId="77777777" w:rsidR="006878F9" w:rsidRPr="00B41A0E" w:rsidRDefault="006878F9" w:rsidP="006878F9">
      <w:pPr>
        <w:pStyle w:val="ListBullet"/>
        <w:rPr>
          <w:lang w:eastAsia="en-GB"/>
        </w:rPr>
      </w:pPr>
      <w:r w:rsidRPr="00B41A0E">
        <w:rPr>
          <w:lang w:eastAsia="en-GB"/>
        </w:rPr>
        <w:t>What happens if a service provider tries to stop equality law applying to a situation.</w:t>
      </w:r>
    </w:p>
    <w:p w14:paraId="40F00BCA" w14:textId="27735FE9" w:rsidR="006878F9" w:rsidRPr="00B41A0E" w:rsidRDefault="006878F9" w:rsidP="00921E87">
      <w:pPr>
        <w:pStyle w:val="L2Headers"/>
        <w:rPr>
          <w:lang w:eastAsia="en-GB"/>
        </w:rPr>
      </w:pPr>
      <w:bookmarkStart w:id="90" w:name="_Toc288557219"/>
      <w:bookmarkStart w:id="91" w:name="_Toc288575885"/>
      <w:bookmarkStart w:id="92" w:name="_Toc297124725"/>
      <w:bookmarkStart w:id="93" w:name="_Toc297300509"/>
      <w:r w:rsidRPr="00B41A0E">
        <w:rPr>
          <w:lang w:eastAsia="en-GB"/>
        </w:rPr>
        <w:t>When a service provider can be held legally responsible for someone else’s unlawful discrimination, harassment or victimisation</w:t>
      </w:r>
      <w:bookmarkEnd w:id="90"/>
      <w:bookmarkEnd w:id="91"/>
      <w:bookmarkEnd w:id="92"/>
      <w:bookmarkEnd w:id="93"/>
    </w:p>
    <w:p w14:paraId="54012A0F" w14:textId="77777777" w:rsidR="006878F9" w:rsidRPr="00B41A0E" w:rsidRDefault="006878F9" w:rsidP="006878F9">
      <w:pPr>
        <w:rPr>
          <w:lang w:eastAsia="en-GB"/>
        </w:rPr>
      </w:pPr>
      <w:r w:rsidRPr="00B41A0E">
        <w:rPr>
          <w:lang w:eastAsia="en-GB"/>
        </w:rPr>
        <w:t xml:space="preserve">A service provider is legally responsible for acts of discrimination, harassment and victimisation carried out by </w:t>
      </w:r>
      <w:r>
        <w:rPr>
          <w:lang w:eastAsia="en-GB"/>
        </w:rPr>
        <w:t xml:space="preserve">its workers </w:t>
      </w:r>
      <w:r w:rsidRPr="00B41A0E">
        <w:rPr>
          <w:lang w:eastAsia="en-GB"/>
        </w:rPr>
        <w:t>in the course of their employment.</w:t>
      </w:r>
    </w:p>
    <w:p w14:paraId="4BB76DF2" w14:textId="77777777" w:rsidR="006878F9" w:rsidRPr="00B41A0E" w:rsidRDefault="006878F9" w:rsidP="006878F9">
      <w:pPr>
        <w:rPr>
          <w:lang w:eastAsia="en-GB"/>
        </w:rPr>
      </w:pPr>
      <w:r w:rsidRPr="00B41A0E">
        <w:rPr>
          <w:lang w:eastAsia="en-GB"/>
        </w:rPr>
        <w:t>A service provider will also be legally responsible as the ‘principal’ for the acts of their agents done with their authority. Their agent is someone a service provider has instructed to do something on their behalf, even if they do not have a formal contract with them.</w:t>
      </w:r>
    </w:p>
    <w:p w14:paraId="5701B75A" w14:textId="77777777" w:rsidR="006878F9" w:rsidRPr="00B41A0E" w:rsidRDefault="006878F9" w:rsidP="006878F9">
      <w:pPr>
        <w:rPr>
          <w:lang w:eastAsia="en-GB"/>
        </w:rPr>
      </w:pPr>
      <w:r w:rsidRPr="00B41A0E">
        <w:rPr>
          <w:lang w:eastAsia="en-GB"/>
        </w:rPr>
        <w:t>As long as:</w:t>
      </w:r>
    </w:p>
    <w:p w14:paraId="77E3DABF" w14:textId="1720A44B" w:rsidR="006878F9" w:rsidRPr="00B41A0E" w:rsidRDefault="006878F9" w:rsidP="006878F9">
      <w:pPr>
        <w:pStyle w:val="ListBullet"/>
        <w:rPr>
          <w:lang w:eastAsia="en-GB"/>
        </w:rPr>
      </w:pPr>
      <w:r w:rsidRPr="00B41A0E">
        <w:rPr>
          <w:lang w:eastAsia="en-GB"/>
        </w:rPr>
        <w:t xml:space="preserve">the </w:t>
      </w:r>
      <w:r>
        <w:rPr>
          <w:lang w:eastAsia="en-GB"/>
        </w:rPr>
        <w:t xml:space="preserve">worker </w:t>
      </w:r>
      <w:r w:rsidRPr="00B41A0E">
        <w:rPr>
          <w:lang w:eastAsia="en-GB"/>
        </w:rPr>
        <w:t>was acting in the course of their emp</w:t>
      </w:r>
      <w:r w:rsidR="004903E3">
        <w:rPr>
          <w:lang w:eastAsia="en-GB"/>
        </w:rPr>
        <w:t>loyment – in other words, while </w:t>
      </w:r>
      <w:r w:rsidRPr="00B41A0E">
        <w:rPr>
          <w:lang w:eastAsia="en-GB"/>
        </w:rPr>
        <w:t>they were doing their job, or</w:t>
      </w:r>
    </w:p>
    <w:p w14:paraId="7B4BD688" w14:textId="77777777" w:rsidR="006878F9" w:rsidRPr="00B41A0E" w:rsidRDefault="006878F9" w:rsidP="006878F9">
      <w:pPr>
        <w:pStyle w:val="ListBullet"/>
        <w:rPr>
          <w:lang w:eastAsia="en-GB"/>
        </w:rPr>
      </w:pPr>
      <w:r w:rsidRPr="00B41A0E">
        <w:rPr>
          <w:lang w:eastAsia="en-GB"/>
        </w:rPr>
        <w:t xml:space="preserve">the agent was acting within the general scope of their principal’s authority – in other words, while they were carrying out </w:t>
      </w:r>
      <w:r>
        <w:rPr>
          <w:lang w:eastAsia="en-GB"/>
        </w:rPr>
        <w:t xml:space="preserve">the service provider’s </w:t>
      </w:r>
      <w:r w:rsidRPr="00B41A0E">
        <w:rPr>
          <w:lang w:eastAsia="en-GB"/>
        </w:rPr>
        <w:t>instructions</w:t>
      </w:r>
    </w:p>
    <w:p w14:paraId="27721712" w14:textId="77777777" w:rsidR="006878F9" w:rsidRPr="00B41A0E" w:rsidRDefault="006878F9" w:rsidP="006878F9">
      <w:pPr>
        <w:rPr>
          <w:lang w:eastAsia="en-GB"/>
        </w:rPr>
      </w:pPr>
      <w:r w:rsidRPr="00B41A0E">
        <w:rPr>
          <w:lang w:eastAsia="en-GB"/>
        </w:rPr>
        <w:t>it does not matter whether or not the service provider:</w:t>
      </w:r>
    </w:p>
    <w:p w14:paraId="5EEBC429" w14:textId="77777777" w:rsidR="006878F9" w:rsidRPr="00B41A0E" w:rsidRDefault="006878F9" w:rsidP="006878F9">
      <w:pPr>
        <w:pStyle w:val="ListBullet"/>
        <w:rPr>
          <w:lang w:eastAsia="en-GB"/>
        </w:rPr>
      </w:pPr>
      <w:r w:rsidRPr="00B41A0E">
        <w:rPr>
          <w:lang w:eastAsia="en-GB"/>
        </w:rPr>
        <w:t>knew about, or</w:t>
      </w:r>
    </w:p>
    <w:p w14:paraId="15D142B2" w14:textId="77777777" w:rsidR="006878F9" w:rsidRPr="00B41A0E" w:rsidRDefault="006878F9" w:rsidP="006878F9">
      <w:pPr>
        <w:pStyle w:val="ListBullet"/>
        <w:rPr>
          <w:lang w:eastAsia="en-GB"/>
        </w:rPr>
      </w:pPr>
      <w:r w:rsidRPr="00B41A0E">
        <w:rPr>
          <w:lang w:eastAsia="en-GB"/>
        </w:rPr>
        <w:t>approved of</w:t>
      </w:r>
    </w:p>
    <w:p w14:paraId="152B6CB2" w14:textId="567A51ED" w:rsidR="0009435C" w:rsidRPr="00B41A0E" w:rsidRDefault="006878F9" w:rsidP="006878F9">
      <w:pPr>
        <w:rPr>
          <w:lang w:eastAsia="en-GB"/>
        </w:rPr>
      </w:pPr>
      <w:r w:rsidRPr="00B41A0E">
        <w:rPr>
          <w:lang w:eastAsia="en-GB"/>
        </w:rPr>
        <w:t xml:space="preserve">what their </w:t>
      </w:r>
      <w:r>
        <w:rPr>
          <w:lang w:eastAsia="en-GB"/>
        </w:rPr>
        <w:t xml:space="preserve">worker </w:t>
      </w:r>
      <w:r w:rsidRPr="00B41A0E">
        <w:rPr>
          <w:lang w:eastAsia="en-GB"/>
        </w:rPr>
        <w:t xml:space="preserve">or agent did. </w:t>
      </w:r>
    </w:p>
    <w:tbl>
      <w:tblPr>
        <w:tblStyle w:val="TableGrid"/>
        <w:tblW w:w="5000" w:type="pct"/>
        <w:tblLook w:val="04A0" w:firstRow="1" w:lastRow="0" w:firstColumn="1" w:lastColumn="0" w:noHBand="0" w:noVBand="1"/>
      </w:tblPr>
      <w:tblGrid>
        <w:gridCol w:w="9286"/>
      </w:tblGrid>
      <w:tr w:rsidR="0009435C" w14:paraId="7AF4EEAB" w14:textId="77777777" w:rsidTr="0009435C">
        <w:tc>
          <w:tcPr>
            <w:tcW w:w="5000" w:type="pct"/>
            <w:tcBorders>
              <w:top w:val="nil"/>
              <w:left w:val="nil"/>
              <w:bottom w:val="nil"/>
              <w:right w:val="nil"/>
            </w:tcBorders>
            <w:shd w:val="clear" w:color="auto" w:fill="DBE5F1" w:themeFill="accent1" w:themeFillTint="33"/>
          </w:tcPr>
          <w:p w14:paraId="2DA5C206" w14:textId="77777777" w:rsidR="0009435C" w:rsidRPr="0009435C" w:rsidRDefault="0009435C" w:rsidP="006878F9">
            <w:pPr>
              <w:rPr>
                <w:rStyle w:val="Strong"/>
              </w:rPr>
            </w:pPr>
            <w:r w:rsidRPr="0009435C">
              <w:rPr>
                <w:rStyle w:val="Strong"/>
              </w:rPr>
              <w:t>For example:</w:t>
            </w:r>
          </w:p>
          <w:p w14:paraId="19B4DF4B" w14:textId="77777777" w:rsidR="0009435C" w:rsidRPr="00B41A0E" w:rsidRDefault="0009435C" w:rsidP="0009435C">
            <w:pPr>
              <w:pStyle w:val="ListBullet"/>
            </w:pPr>
            <w:r w:rsidRPr="00B41A0E">
              <w:t>A shop assistant bars someone they know to be gay from the shop where they work because they are prejudiced against gay people. The person who has been barred can bring a case in court for unlawful discrimination because of sexual orientation against both the shop assistant and the person or company that owns the shop.</w:t>
            </w:r>
          </w:p>
          <w:p w14:paraId="124BA490" w14:textId="2756E182" w:rsidR="0009435C" w:rsidRDefault="0009435C" w:rsidP="004903E3">
            <w:pPr>
              <w:pStyle w:val="ListBullet"/>
            </w:pPr>
            <w:r w:rsidRPr="00B41A0E">
              <w:t xml:space="preserve">A community organisation hires a consultant to devise a new plan for how the organisation delivers its services. </w:t>
            </w:r>
            <w:r>
              <w:t xml:space="preserve">The consultant acts on behalf of the organisation and in its name, both when dealing with internal staff and when dealing with external organisations. </w:t>
            </w:r>
            <w:r w:rsidRPr="00B41A0E">
              <w:t xml:space="preserve">The effect of the </w:t>
            </w:r>
            <w:r>
              <w:t xml:space="preserve">consultant’s </w:t>
            </w:r>
            <w:r w:rsidRPr="00B41A0E">
              <w:t xml:space="preserve">plan is to stop some people with a particular protected characteristic accessing its services. A service user with that characteristic complains of unlawful </w:t>
            </w:r>
            <w:r w:rsidRPr="0009435C">
              <w:rPr>
                <w:rStyle w:val="Strong"/>
              </w:rPr>
              <w:t>indirect discrimination</w:t>
            </w:r>
            <w:r w:rsidRPr="00B41A0E">
              <w:t xml:space="preserve">, saying that the new approach has a worse impact on them and other people who share the protected characteristic. The organisation is unable to </w:t>
            </w:r>
            <w:r w:rsidRPr="0009435C">
              <w:rPr>
                <w:rStyle w:val="Strong"/>
              </w:rPr>
              <w:t>objectively justify</w:t>
            </w:r>
            <w:r w:rsidRPr="00B41A0E">
              <w:t xml:space="preserve"> the approach. The consultant who made the decision which has resulted in indirect discrimination would be liable, as would the principal (in this case the organisation), which would be liable for what their agent (the consultant) has done.</w:t>
            </w:r>
          </w:p>
        </w:tc>
      </w:tr>
    </w:tbl>
    <w:p w14:paraId="2627A820" w14:textId="77777777" w:rsidR="006878F9" w:rsidRPr="00B41A0E" w:rsidRDefault="006878F9" w:rsidP="006878F9">
      <w:pPr>
        <w:rPr>
          <w:lang w:eastAsia="en-GB"/>
        </w:rPr>
      </w:pPr>
      <w:r w:rsidRPr="00B41A0E">
        <w:rPr>
          <w:lang w:eastAsia="en-GB"/>
        </w:rPr>
        <w:t>However, a service provider will not be held legally responsible if they can show that:</w:t>
      </w:r>
    </w:p>
    <w:p w14:paraId="5A699D94" w14:textId="77777777" w:rsidR="006878F9" w:rsidRPr="00B41A0E" w:rsidRDefault="006878F9" w:rsidP="006878F9">
      <w:pPr>
        <w:pStyle w:val="ListBullet"/>
        <w:rPr>
          <w:lang w:eastAsia="en-GB"/>
        </w:rPr>
      </w:pPr>
      <w:r w:rsidRPr="00B41A0E">
        <w:rPr>
          <w:lang w:eastAsia="en-GB"/>
        </w:rPr>
        <w:t xml:space="preserve">they took </w:t>
      </w:r>
      <w:r w:rsidRPr="0009435C">
        <w:rPr>
          <w:rStyle w:val="Strong"/>
        </w:rPr>
        <w:t>all reasonable steps</w:t>
      </w:r>
      <w:r w:rsidRPr="00B41A0E">
        <w:rPr>
          <w:lang w:eastAsia="en-GB"/>
        </w:rPr>
        <w:t xml:space="preserve"> to </w:t>
      </w:r>
      <w:r>
        <w:rPr>
          <w:lang w:eastAsia="en-GB"/>
        </w:rPr>
        <w:t>prevent a worker employed by them</w:t>
      </w:r>
      <w:r w:rsidRPr="00B41A0E">
        <w:rPr>
          <w:lang w:eastAsia="en-GB"/>
        </w:rPr>
        <w:t xml:space="preserve"> acting unlawfully.</w:t>
      </w:r>
    </w:p>
    <w:p w14:paraId="20CF1B52" w14:textId="77777777" w:rsidR="006878F9" w:rsidRPr="00B41A0E" w:rsidRDefault="006878F9" w:rsidP="006878F9">
      <w:pPr>
        <w:pStyle w:val="ListBullet"/>
        <w:rPr>
          <w:lang w:eastAsia="en-GB"/>
        </w:rPr>
      </w:pPr>
      <w:r w:rsidRPr="00B41A0E">
        <w:rPr>
          <w:lang w:eastAsia="en-GB"/>
        </w:rPr>
        <w:t>an agent acted outside the scope of their authority (in other words, that they did something so different from what the service provider asked them to do that they could no longer be thought of as acting on the service provider’s behalf).</w:t>
      </w:r>
    </w:p>
    <w:p w14:paraId="4457E97D" w14:textId="77777777" w:rsidR="006878F9" w:rsidRPr="00B41A0E" w:rsidRDefault="006878F9" w:rsidP="00921E87">
      <w:pPr>
        <w:pStyle w:val="L2Headers"/>
        <w:rPr>
          <w:lang w:eastAsia="en-GB"/>
        </w:rPr>
      </w:pPr>
      <w:bookmarkStart w:id="94" w:name="_Toc288557220"/>
      <w:bookmarkStart w:id="95" w:name="_Toc288575886"/>
      <w:bookmarkStart w:id="96" w:name="_Toc297124726"/>
      <w:bookmarkStart w:id="97" w:name="_Toc297300510"/>
      <w:r w:rsidRPr="00B41A0E">
        <w:rPr>
          <w:lang w:eastAsia="en-GB"/>
        </w:rPr>
        <w:t>How a service provider can reduce the risk that they will be held legally responsible</w:t>
      </w:r>
      <w:bookmarkEnd w:id="94"/>
      <w:bookmarkEnd w:id="95"/>
      <w:bookmarkEnd w:id="96"/>
      <w:bookmarkEnd w:id="97"/>
    </w:p>
    <w:p w14:paraId="7BA52BEF" w14:textId="77777777" w:rsidR="006878F9" w:rsidRPr="00B41A0E" w:rsidRDefault="006878F9" w:rsidP="006878F9">
      <w:pPr>
        <w:rPr>
          <w:lang w:eastAsia="en-GB"/>
        </w:rPr>
      </w:pPr>
      <w:r w:rsidRPr="00B41A0E">
        <w:rPr>
          <w:lang w:eastAsia="en-GB"/>
        </w:rPr>
        <w:t xml:space="preserve">A service provider can reduce the risk that they will be held legally responsible for the behaviour of their </w:t>
      </w:r>
      <w:r>
        <w:rPr>
          <w:lang w:eastAsia="en-GB"/>
        </w:rPr>
        <w:t>workers</w:t>
      </w:r>
      <w:r w:rsidRPr="00B41A0E">
        <w:rPr>
          <w:lang w:eastAsia="en-GB"/>
        </w:rPr>
        <w:t xml:space="preserve"> or agents if they tell them how to behave so that they avoid unlawful discrimination, harassment or victimisation.</w:t>
      </w:r>
    </w:p>
    <w:p w14:paraId="0A9373A0" w14:textId="77777777" w:rsidR="006878F9" w:rsidRPr="00B41A0E" w:rsidRDefault="006878F9" w:rsidP="006878F9">
      <w:pPr>
        <w:rPr>
          <w:lang w:eastAsia="en-GB"/>
        </w:rPr>
      </w:pPr>
      <w:r w:rsidRPr="00B41A0E">
        <w:rPr>
          <w:lang w:eastAsia="en-GB"/>
        </w:rPr>
        <w:t>This does not just apply to situations where a service provider and their staff are dealing face-to-face with you, but also to how they plan their services.</w:t>
      </w:r>
    </w:p>
    <w:p w14:paraId="55C78815" w14:textId="77777777" w:rsidR="006878F9" w:rsidRPr="00B41A0E" w:rsidRDefault="006878F9" w:rsidP="006878F9">
      <w:pPr>
        <w:rPr>
          <w:lang w:eastAsia="en-GB"/>
        </w:rPr>
      </w:pPr>
      <w:r w:rsidRPr="00B41A0E">
        <w:rPr>
          <w:lang w:eastAsia="en-GB"/>
        </w:rPr>
        <w:t>When a service provider is planning their services, they need to make sure that their decisions, rules or ways of doing things are not:</w:t>
      </w:r>
    </w:p>
    <w:p w14:paraId="62BC67FE" w14:textId="77777777" w:rsidR="006878F9" w:rsidRPr="00B41A0E" w:rsidRDefault="006878F9" w:rsidP="006878F9">
      <w:pPr>
        <w:pStyle w:val="ListBullet"/>
        <w:rPr>
          <w:lang w:eastAsia="en-GB"/>
        </w:rPr>
      </w:pPr>
      <w:r w:rsidRPr="0009435C">
        <w:rPr>
          <w:rStyle w:val="Strong"/>
        </w:rPr>
        <w:t>direct discrimination</w:t>
      </w:r>
      <w:r w:rsidRPr="00B41A0E">
        <w:rPr>
          <w:lang w:eastAsia="en-GB"/>
        </w:rPr>
        <w:t>, or</w:t>
      </w:r>
    </w:p>
    <w:p w14:paraId="70EE575C" w14:textId="77777777" w:rsidR="006878F9" w:rsidRPr="00B41A0E" w:rsidRDefault="006878F9" w:rsidP="006878F9">
      <w:pPr>
        <w:pStyle w:val="ListBullet"/>
        <w:rPr>
          <w:lang w:eastAsia="en-GB"/>
        </w:rPr>
      </w:pPr>
      <w:r w:rsidRPr="0009435C">
        <w:rPr>
          <w:rStyle w:val="Strong"/>
        </w:rPr>
        <w:t>indirect discrimination</w:t>
      </w:r>
      <w:r w:rsidRPr="00B41A0E">
        <w:rPr>
          <w:lang w:eastAsia="en-GB"/>
        </w:rPr>
        <w:t xml:space="preserve"> that they cannot </w:t>
      </w:r>
      <w:r w:rsidRPr="0009435C">
        <w:rPr>
          <w:rStyle w:val="Strong"/>
        </w:rPr>
        <w:t>objectively justify</w:t>
      </w:r>
      <w:r w:rsidRPr="00B41A0E">
        <w:rPr>
          <w:lang w:eastAsia="en-GB"/>
        </w:rPr>
        <w:t>, or</w:t>
      </w:r>
    </w:p>
    <w:p w14:paraId="029A4755" w14:textId="77777777" w:rsidR="006878F9" w:rsidRPr="00B41A0E" w:rsidRDefault="006878F9" w:rsidP="006878F9">
      <w:pPr>
        <w:pStyle w:val="ListBullet"/>
        <w:rPr>
          <w:lang w:eastAsia="en-GB"/>
        </w:rPr>
      </w:pPr>
      <w:r w:rsidRPr="0009435C">
        <w:rPr>
          <w:rStyle w:val="Strong"/>
        </w:rPr>
        <w:t>discrimination arising from disability</w:t>
      </w:r>
      <w:r w:rsidRPr="00B41A0E">
        <w:rPr>
          <w:lang w:eastAsia="en-GB"/>
        </w:rPr>
        <w:t xml:space="preserve"> that they cannot </w:t>
      </w:r>
      <w:r w:rsidRPr="0009435C">
        <w:rPr>
          <w:rStyle w:val="Strong"/>
        </w:rPr>
        <w:t>objectively justify</w:t>
      </w:r>
      <w:r w:rsidRPr="00B41A0E">
        <w:rPr>
          <w:lang w:eastAsia="en-GB"/>
        </w:rPr>
        <w:t>, or</w:t>
      </w:r>
    </w:p>
    <w:p w14:paraId="73AF325C" w14:textId="77777777" w:rsidR="006878F9" w:rsidRPr="0009435C" w:rsidRDefault="006878F9" w:rsidP="006878F9">
      <w:pPr>
        <w:pStyle w:val="ListBullet"/>
        <w:rPr>
          <w:rStyle w:val="Strong"/>
        </w:rPr>
      </w:pPr>
      <w:r w:rsidRPr="0009435C">
        <w:rPr>
          <w:rStyle w:val="Strong"/>
        </w:rPr>
        <w:t>harassment</w:t>
      </w:r>
    </w:p>
    <w:p w14:paraId="232BF341" w14:textId="621C7602" w:rsidR="006878F9" w:rsidRPr="00B41A0E" w:rsidRDefault="006878F9" w:rsidP="006878F9">
      <w:pPr>
        <w:rPr>
          <w:lang w:eastAsia="en-GB"/>
        </w:rPr>
      </w:pPr>
      <w:r w:rsidRPr="00B41A0E">
        <w:rPr>
          <w:lang w:eastAsia="en-GB"/>
        </w:rPr>
        <w:t xml:space="preserve">and that they have made </w:t>
      </w:r>
      <w:r w:rsidRPr="0009435C">
        <w:rPr>
          <w:rStyle w:val="Strong"/>
        </w:rPr>
        <w:t>reasonable adjustments</w:t>
      </w:r>
      <w:r w:rsidRPr="00B41A0E">
        <w:rPr>
          <w:lang w:eastAsia="en-GB"/>
        </w:rPr>
        <w:t xml:space="preserve"> for disabled people, which you can read more about </w:t>
      </w:r>
      <w:r>
        <w:rPr>
          <w:lang w:eastAsia="en-GB"/>
        </w:rPr>
        <w:t xml:space="preserve">in </w:t>
      </w:r>
      <w:hyperlink w:anchor="chapter4" w:history="1">
        <w:r w:rsidRPr="00AA46A5">
          <w:rPr>
            <w:rStyle w:val="Hyperlink"/>
            <w:rFonts w:cs="Times New Roman"/>
            <w:szCs w:val="24"/>
            <w:lang w:eastAsia="en-GB"/>
          </w:rPr>
          <w:t>Chapter 4</w:t>
        </w:r>
      </w:hyperlink>
      <w:r>
        <w:rPr>
          <w:lang w:eastAsia="en-GB"/>
        </w:rPr>
        <w:t>.</w:t>
      </w:r>
    </w:p>
    <w:p w14:paraId="2764177F" w14:textId="77777777" w:rsidR="00D715EA" w:rsidRPr="00D715EA" w:rsidRDefault="00D715EA" w:rsidP="00D715EA">
      <w:bookmarkStart w:id="98" w:name="_Toc288557221"/>
      <w:bookmarkStart w:id="99" w:name="_Toc288575887"/>
      <w:bookmarkStart w:id="100" w:name="_Toc297124727"/>
      <w:bookmarkStart w:id="101" w:name="_Toc297300511"/>
      <w:r w:rsidRPr="00D715EA">
        <w:br w:type="page"/>
      </w:r>
    </w:p>
    <w:p w14:paraId="681FCA85" w14:textId="4B160900" w:rsidR="006878F9" w:rsidRPr="00B41A0E" w:rsidRDefault="006878F9" w:rsidP="00921E87">
      <w:pPr>
        <w:pStyle w:val="L2Headers"/>
        <w:rPr>
          <w:lang w:eastAsia="en-GB"/>
        </w:rPr>
      </w:pPr>
      <w:r w:rsidRPr="00B41A0E">
        <w:rPr>
          <w:lang w:eastAsia="en-GB"/>
        </w:rPr>
        <w:t xml:space="preserve">When a service provider’s </w:t>
      </w:r>
      <w:r>
        <w:rPr>
          <w:lang w:eastAsia="en-GB"/>
        </w:rPr>
        <w:t xml:space="preserve">workers </w:t>
      </w:r>
      <w:r w:rsidRPr="00B41A0E">
        <w:rPr>
          <w:lang w:eastAsia="en-GB"/>
        </w:rPr>
        <w:t>or agents may be personally liable</w:t>
      </w:r>
      <w:bookmarkEnd w:id="98"/>
      <w:bookmarkEnd w:id="99"/>
      <w:bookmarkEnd w:id="100"/>
      <w:bookmarkEnd w:id="101"/>
    </w:p>
    <w:p w14:paraId="26CFD52C" w14:textId="77777777" w:rsidR="00A65710" w:rsidRDefault="006878F9" w:rsidP="006878F9">
      <w:pPr>
        <w:rPr>
          <w:lang w:eastAsia="en-GB"/>
        </w:rPr>
      </w:pPr>
      <w:r>
        <w:rPr>
          <w:lang w:eastAsia="en-GB"/>
        </w:rPr>
        <w:t xml:space="preserve">A worker </w:t>
      </w:r>
      <w:r w:rsidRPr="00B41A0E">
        <w:rPr>
          <w:lang w:eastAsia="en-GB"/>
        </w:rPr>
        <w:t xml:space="preserve">or agent may be personally responsible for their own acts of discrimination, harassment or victimisation carried out during their employment or while acting with their principal’s authority. </w:t>
      </w:r>
    </w:p>
    <w:p w14:paraId="26A93C37" w14:textId="0E31B874" w:rsidR="006878F9" w:rsidRPr="00B41A0E" w:rsidRDefault="006878F9" w:rsidP="006878F9">
      <w:pPr>
        <w:rPr>
          <w:lang w:eastAsia="en-GB"/>
        </w:rPr>
      </w:pPr>
      <w:r w:rsidRPr="00B41A0E">
        <w:rPr>
          <w:lang w:eastAsia="en-GB"/>
        </w:rPr>
        <w:t>This applies where either:</w:t>
      </w:r>
    </w:p>
    <w:p w14:paraId="4577D309" w14:textId="77777777" w:rsidR="006878F9" w:rsidRPr="00B41A0E" w:rsidRDefault="006878F9" w:rsidP="006878F9">
      <w:pPr>
        <w:pStyle w:val="ListBullet"/>
        <w:rPr>
          <w:lang w:eastAsia="en-GB"/>
        </w:rPr>
      </w:pPr>
      <w:r w:rsidRPr="00B41A0E">
        <w:rPr>
          <w:lang w:eastAsia="en-GB"/>
        </w:rPr>
        <w:t>the service provider is also liable as their employer or principal, or</w:t>
      </w:r>
    </w:p>
    <w:p w14:paraId="20E7DDEF" w14:textId="77777777" w:rsidR="006878F9" w:rsidRPr="00B41A0E" w:rsidRDefault="006878F9" w:rsidP="006878F9">
      <w:pPr>
        <w:pStyle w:val="ListBullet"/>
        <w:rPr>
          <w:lang w:eastAsia="en-GB"/>
        </w:rPr>
      </w:pPr>
      <w:r w:rsidRPr="00B41A0E">
        <w:rPr>
          <w:lang w:eastAsia="en-GB"/>
        </w:rPr>
        <w:t>the service provider would be responsible but they show that:</w:t>
      </w:r>
    </w:p>
    <w:p w14:paraId="7A39CF3F" w14:textId="77777777" w:rsidR="006878F9" w:rsidRPr="00B41A0E" w:rsidRDefault="006878F9" w:rsidP="00921E87">
      <w:pPr>
        <w:pStyle w:val="ListBullet2"/>
      </w:pPr>
      <w:r w:rsidRPr="00B41A0E">
        <w:t xml:space="preserve">they took </w:t>
      </w:r>
      <w:r w:rsidRPr="00A65710">
        <w:rPr>
          <w:rStyle w:val="Strong"/>
        </w:rPr>
        <w:t>all reasonable steps</w:t>
      </w:r>
      <w:r w:rsidRPr="00B41A0E">
        <w:t xml:space="preserve"> to prevent their </w:t>
      </w:r>
      <w:r>
        <w:t xml:space="preserve">worker </w:t>
      </w:r>
      <w:r w:rsidRPr="00B41A0E">
        <w:t xml:space="preserve">discriminating against, harassing or victimising you, or </w:t>
      </w:r>
    </w:p>
    <w:p w14:paraId="3E1EDF57" w14:textId="43F4612C" w:rsidR="00A65710" w:rsidRPr="00B41A0E" w:rsidRDefault="006878F9" w:rsidP="00A65710">
      <w:pPr>
        <w:pStyle w:val="ListBullet2"/>
      </w:pPr>
      <w:r w:rsidRPr="00B41A0E">
        <w:t>their agent acted outside the scope of their authority.</w:t>
      </w:r>
    </w:p>
    <w:tbl>
      <w:tblPr>
        <w:tblStyle w:val="TableGrid"/>
        <w:tblW w:w="5000" w:type="pct"/>
        <w:tblLook w:val="04A0" w:firstRow="1" w:lastRow="0" w:firstColumn="1" w:lastColumn="0" w:noHBand="0" w:noVBand="1"/>
      </w:tblPr>
      <w:tblGrid>
        <w:gridCol w:w="9286"/>
      </w:tblGrid>
      <w:tr w:rsidR="00A65710" w14:paraId="47B56C2B" w14:textId="77777777" w:rsidTr="00A65710">
        <w:tc>
          <w:tcPr>
            <w:tcW w:w="5000" w:type="pct"/>
            <w:tcBorders>
              <w:top w:val="nil"/>
              <w:left w:val="nil"/>
              <w:bottom w:val="nil"/>
              <w:right w:val="nil"/>
            </w:tcBorders>
            <w:shd w:val="clear" w:color="auto" w:fill="DBE5F1" w:themeFill="accent1" w:themeFillTint="33"/>
          </w:tcPr>
          <w:p w14:paraId="44B135F8" w14:textId="77777777" w:rsidR="00A65710" w:rsidRPr="00A65710" w:rsidRDefault="00A65710" w:rsidP="006878F9">
            <w:pPr>
              <w:pStyle w:val="Indenttext"/>
              <w:tabs>
                <w:tab w:val="left" w:pos="765"/>
              </w:tabs>
              <w:ind w:left="0"/>
              <w:rPr>
                <w:rStyle w:val="Strong"/>
              </w:rPr>
            </w:pPr>
            <w:r w:rsidRPr="00A65710">
              <w:rPr>
                <w:rStyle w:val="Strong"/>
              </w:rPr>
              <w:t>For example:</w:t>
            </w:r>
          </w:p>
          <w:p w14:paraId="3E8D2446" w14:textId="71F4FAB3" w:rsidR="00A65710" w:rsidRDefault="00A65710" w:rsidP="00A65710">
            <w:pPr>
              <w:pStyle w:val="ListBullet"/>
            </w:pPr>
            <w:r w:rsidRPr="00B41A0E">
              <w:t xml:space="preserve">Unknown to their employer, the receptionist in an estate agent refuses to give details of houses for rent to a client with a mental health condition. The estate agent has issued clear instructions to its staff about their obligations under equality law, has provided equality training, and regularly checks that staff are complying with the law. It is likely that the receptionist has acted unlawfully but that their employer will have </w:t>
            </w:r>
            <w:r>
              <w:t>a defence.</w:t>
            </w:r>
          </w:p>
        </w:tc>
      </w:tr>
    </w:tbl>
    <w:p w14:paraId="5F94C527" w14:textId="77777777" w:rsidR="006878F9" w:rsidRPr="00B41A0E" w:rsidRDefault="006878F9" w:rsidP="006878F9">
      <w:pPr>
        <w:rPr>
          <w:lang w:eastAsia="en-GB"/>
        </w:rPr>
      </w:pPr>
      <w:r w:rsidRPr="00B41A0E">
        <w:rPr>
          <w:lang w:eastAsia="en-GB"/>
        </w:rPr>
        <w:t xml:space="preserve">But there is an exception to this. </w:t>
      </w:r>
      <w:r>
        <w:rPr>
          <w:lang w:eastAsia="en-GB"/>
        </w:rPr>
        <w:t xml:space="preserve">A worker </w:t>
      </w:r>
      <w:r w:rsidRPr="00B41A0E">
        <w:rPr>
          <w:lang w:eastAsia="en-GB"/>
        </w:rPr>
        <w:t xml:space="preserve">or agent will </w:t>
      </w:r>
      <w:r w:rsidRPr="0009435C">
        <w:rPr>
          <w:rStyle w:val="Emphasis"/>
        </w:rPr>
        <w:t>not</w:t>
      </w:r>
      <w:r w:rsidRPr="00B41A0E">
        <w:rPr>
          <w:lang w:eastAsia="en-GB"/>
        </w:rPr>
        <w:t xml:space="preserve"> be responsible if their employer or principal has told them that there is nothing wrong with what they are doing and the </w:t>
      </w:r>
      <w:r>
        <w:rPr>
          <w:lang w:eastAsia="en-GB"/>
        </w:rPr>
        <w:t xml:space="preserve">worker </w:t>
      </w:r>
      <w:r w:rsidRPr="00B41A0E">
        <w:rPr>
          <w:lang w:eastAsia="en-GB"/>
        </w:rPr>
        <w:t xml:space="preserve">or agent </w:t>
      </w:r>
      <w:r w:rsidRPr="000D32B1">
        <w:rPr>
          <w:lang w:eastAsia="en-GB"/>
        </w:rPr>
        <w:t>reasonably</w:t>
      </w:r>
      <w:r w:rsidRPr="00B41A0E">
        <w:rPr>
          <w:lang w:eastAsia="en-GB"/>
        </w:rPr>
        <w:t xml:space="preserve"> believes this to be true.</w:t>
      </w:r>
    </w:p>
    <w:p w14:paraId="695C5CDB" w14:textId="77777777" w:rsidR="006878F9" w:rsidRPr="00B41A0E" w:rsidRDefault="006878F9" w:rsidP="006878F9">
      <w:pPr>
        <w:rPr>
          <w:lang w:eastAsia="en-GB"/>
        </w:rPr>
      </w:pPr>
      <w:r w:rsidRPr="00B41A0E">
        <w:rPr>
          <w:lang w:eastAsia="en-GB"/>
        </w:rPr>
        <w:t>It is a criminal offence, punishable by a fine, for an employer or principal to make a false statement which a</w:t>
      </w:r>
      <w:r>
        <w:rPr>
          <w:lang w:eastAsia="en-GB"/>
        </w:rPr>
        <w:t xml:space="preserve"> worker employed by them</w:t>
      </w:r>
      <w:r w:rsidRPr="00B41A0E">
        <w:rPr>
          <w:lang w:eastAsia="en-GB"/>
        </w:rPr>
        <w:t xml:space="preserve"> or </w:t>
      </w:r>
      <w:r>
        <w:rPr>
          <w:lang w:eastAsia="en-GB"/>
        </w:rPr>
        <w:t xml:space="preserve">their </w:t>
      </w:r>
      <w:r w:rsidRPr="00B41A0E">
        <w:rPr>
          <w:lang w:eastAsia="en-GB"/>
        </w:rPr>
        <w:t>agent relies upon to carry out an unlawful act.</w:t>
      </w:r>
    </w:p>
    <w:p w14:paraId="2CA9F566" w14:textId="77777777" w:rsidR="00D715EA" w:rsidRPr="00D715EA" w:rsidRDefault="00D715EA" w:rsidP="00D715EA">
      <w:bookmarkStart w:id="102" w:name="_Toc297124728"/>
      <w:bookmarkStart w:id="103" w:name="_Toc297300512"/>
      <w:bookmarkStart w:id="104" w:name="_Toc288557222"/>
      <w:bookmarkStart w:id="105" w:name="_Toc288575888"/>
      <w:r w:rsidRPr="00D715EA">
        <w:br w:type="page"/>
      </w:r>
    </w:p>
    <w:p w14:paraId="176328C9" w14:textId="45E63C74" w:rsidR="00926D92" w:rsidRPr="00FC766C" w:rsidRDefault="00926D92" w:rsidP="00921E87">
      <w:pPr>
        <w:pStyle w:val="L2Headers"/>
        <w:rPr>
          <w:lang w:eastAsia="en-GB"/>
        </w:rPr>
      </w:pPr>
      <w:r w:rsidRPr="00FC766C">
        <w:rPr>
          <w:lang w:eastAsia="en-GB"/>
        </w:rPr>
        <w:t xml:space="preserve">What happens if </w:t>
      </w:r>
      <w:r>
        <w:rPr>
          <w:lang w:eastAsia="en-GB"/>
        </w:rPr>
        <w:t xml:space="preserve">the discrimination is done by a </w:t>
      </w:r>
      <w:r w:rsidRPr="00FC766C">
        <w:rPr>
          <w:lang w:eastAsia="en-GB"/>
        </w:rPr>
        <w:t xml:space="preserve">person </w:t>
      </w:r>
      <w:r>
        <w:rPr>
          <w:lang w:eastAsia="en-GB"/>
        </w:rPr>
        <w:t xml:space="preserve">who is not </w:t>
      </w:r>
      <w:r w:rsidR="00510AE2">
        <w:rPr>
          <w:lang w:eastAsia="en-GB"/>
        </w:rPr>
        <w:t xml:space="preserve">the service provider’s </w:t>
      </w:r>
      <w:r>
        <w:rPr>
          <w:lang w:eastAsia="en-GB"/>
        </w:rPr>
        <w:t>worker or agent</w:t>
      </w:r>
      <w:bookmarkEnd w:id="102"/>
      <w:bookmarkEnd w:id="103"/>
      <w:r>
        <w:rPr>
          <w:lang w:eastAsia="en-GB"/>
        </w:rPr>
        <w:t xml:space="preserve"> </w:t>
      </w:r>
    </w:p>
    <w:p w14:paraId="522057B9" w14:textId="77777777" w:rsidR="00FB6473" w:rsidRDefault="00FB6473" w:rsidP="00FB6473">
      <w:pPr>
        <w:ind w:left="66"/>
      </w:pPr>
      <w:r w:rsidRPr="004C39CE">
        <w:rPr>
          <w:rFonts w:cs="Arial"/>
        </w:rPr>
        <w:t>Usually</w:t>
      </w:r>
      <w:r w:rsidR="002A1957">
        <w:rPr>
          <w:rFonts w:cs="Arial"/>
        </w:rPr>
        <w:t>,</w:t>
      </w:r>
      <w:r w:rsidRPr="004C39CE">
        <w:rPr>
          <w:rFonts w:cs="Arial"/>
        </w:rPr>
        <w:t xml:space="preserve"> a service provider will not be responsible for discrimination, harassment or victimisation by someone who does not work for them and is not their agent. However, in some ci</w:t>
      </w:r>
      <w:r>
        <w:rPr>
          <w:rFonts w:cs="Arial"/>
        </w:rPr>
        <w:t xml:space="preserve">rcumstances they may be </w:t>
      </w:r>
      <w:r w:rsidRPr="004C39CE">
        <w:rPr>
          <w:rFonts w:cs="Arial"/>
        </w:rPr>
        <w:t>responsible for discrimination, harassment or victimisation done by another</w:t>
      </w:r>
      <w:r w:rsidRPr="008848B7">
        <w:t xml:space="preserve"> </w:t>
      </w:r>
      <w:r>
        <w:t>person even where that person is not employed by them and is not their agent, where they are aware of the discrimination, harassment or victimisation, have some control over the situation, it is recurring and they could do something to stop it</w:t>
      </w:r>
      <w:r w:rsidR="004579F6">
        <w:t>,</w:t>
      </w:r>
      <w:r>
        <w:t xml:space="preserve"> but do not.</w:t>
      </w:r>
    </w:p>
    <w:p w14:paraId="439F0FA2" w14:textId="23951DD8" w:rsidR="006878F9" w:rsidRPr="00B41A0E" w:rsidRDefault="006878F9" w:rsidP="00921E87">
      <w:pPr>
        <w:pStyle w:val="L2Headers"/>
        <w:rPr>
          <w:lang w:eastAsia="en-GB"/>
        </w:rPr>
      </w:pPr>
      <w:bookmarkStart w:id="106" w:name="_Toc297124729"/>
      <w:bookmarkStart w:id="107" w:name="_Toc297300513"/>
      <w:r w:rsidRPr="00B41A0E">
        <w:rPr>
          <w:lang w:eastAsia="en-GB"/>
        </w:rPr>
        <w:t>What happens if a person instructs someone else to do something that is against equality law</w:t>
      </w:r>
      <w:bookmarkEnd w:id="104"/>
      <w:bookmarkEnd w:id="105"/>
      <w:bookmarkEnd w:id="106"/>
      <w:bookmarkEnd w:id="107"/>
    </w:p>
    <w:p w14:paraId="4827A094" w14:textId="77777777" w:rsidR="006878F9" w:rsidRPr="00B41A0E" w:rsidRDefault="006878F9" w:rsidP="006878F9">
      <w:pPr>
        <w:rPr>
          <w:lang w:eastAsia="en-GB"/>
        </w:rPr>
      </w:pPr>
      <w:r w:rsidRPr="00B41A0E">
        <w:rPr>
          <w:lang w:eastAsia="en-GB"/>
        </w:rPr>
        <w:t xml:space="preserve">An employer or principal must not instruct, cause or induce </w:t>
      </w:r>
      <w:r>
        <w:rPr>
          <w:lang w:eastAsia="en-GB"/>
        </w:rPr>
        <w:t xml:space="preserve">a worker employed by them </w:t>
      </w:r>
      <w:r w:rsidRPr="00B41A0E">
        <w:rPr>
          <w:lang w:eastAsia="en-GB"/>
        </w:rPr>
        <w:t xml:space="preserve">or </w:t>
      </w:r>
      <w:r>
        <w:rPr>
          <w:lang w:eastAsia="en-GB"/>
        </w:rPr>
        <w:t xml:space="preserve">their </w:t>
      </w:r>
      <w:r w:rsidRPr="00B41A0E">
        <w:rPr>
          <w:lang w:eastAsia="en-GB"/>
        </w:rPr>
        <w:t>agent to discriminate against, harass or victimise another person, or to attempt to do so.</w:t>
      </w:r>
    </w:p>
    <w:p w14:paraId="334828BB" w14:textId="594DB0E0" w:rsidR="006878F9" w:rsidRPr="00B41A0E" w:rsidRDefault="006878F9" w:rsidP="006878F9">
      <w:pPr>
        <w:rPr>
          <w:lang w:eastAsia="en-GB"/>
        </w:rPr>
      </w:pPr>
      <w:r w:rsidRPr="00B41A0E">
        <w:rPr>
          <w:lang w:eastAsia="en-GB"/>
        </w:rPr>
        <w:t>‘Causing’ or ‘inducing’ someone to do something can include situations where someone is made to do something or persuaded to do it, even if they were not directly instructed to do it.</w:t>
      </w:r>
    </w:p>
    <w:p w14:paraId="724F550A" w14:textId="77777777" w:rsidR="006878F9" w:rsidRPr="00B41A0E" w:rsidRDefault="006878F9" w:rsidP="006878F9">
      <w:pPr>
        <w:rPr>
          <w:lang w:eastAsia="en-GB"/>
        </w:rPr>
      </w:pPr>
      <w:r w:rsidRPr="00B41A0E">
        <w:rPr>
          <w:lang w:eastAsia="en-GB"/>
        </w:rPr>
        <w:t>Both:</w:t>
      </w:r>
    </w:p>
    <w:p w14:paraId="687E48EE" w14:textId="77777777" w:rsidR="006878F9" w:rsidRPr="00B41A0E" w:rsidRDefault="006878F9" w:rsidP="006878F9">
      <w:pPr>
        <w:pStyle w:val="ListBullet"/>
        <w:rPr>
          <w:lang w:eastAsia="en-GB"/>
        </w:rPr>
      </w:pPr>
      <w:r w:rsidRPr="00B41A0E">
        <w:rPr>
          <w:lang w:eastAsia="en-GB"/>
        </w:rPr>
        <w:t>the person who receives the instruction or is caused or induced to discriminate against, harass or victimise, and</w:t>
      </w:r>
    </w:p>
    <w:p w14:paraId="4FC0CCAB" w14:textId="576D495E" w:rsidR="006878F9" w:rsidRPr="00B41A0E" w:rsidRDefault="006878F9" w:rsidP="006878F9">
      <w:pPr>
        <w:pStyle w:val="ListBullet"/>
        <w:rPr>
          <w:lang w:eastAsia="en-GB"/>
        </w:rPr>
      </w:pPr>
      <w:r w:rsidRPr="00B41A0E">
        <w:rPr>
          <w:lang w:eastAsia="en-GB"/>
        </w:rPr>
        <w:t xml:space="preserve">the person who is on the receiving end of the discrimination, harassment </w:t>
      </w:r>
      <w:r w:rsidR="008B6E48">
        <w:rPr>
          <w:lang w:eastAsia="en-GB"/>
        </w:rPr>
        <w:t>or </w:t>
      </w:r>
      <w:r w:rsidRPr="00B41A0E">
        <w:rPr>
          <w:lang w:eastAsia="en-GB"/>
        </w:rPr>
        <w:t>victimisation</w:t>
      </w:r>
    </w:p>
    <w:p w14:paraId="32789FC7" w14:textId="393C660D" w:rsidR="006878F9" w:rsidRPr="00B41A0E" w:rsidRDefault="006878F9" w:rsidP="006878F9">
      <w:pPr>
        <w:rPr>
          <w:lang w:eastAsia="en-GB"/>
        </w:rPr>
      </w:pPr>
      <w:r w:rsidRPr="00B41A0E">
        <w:rPr>
          <w:lang w:eastAsia="en-GB"/>
        </w:rPr>
        <w:t xml:space="preserve">have a claim against the person giving the instructions if they suffer loss or harm </w:t>
      </w:r>
      <w:r>
        <w:rPr>
          <w:lang w:eastAsia="en-GB"/>
        </w:rPr>
        <w:br/>
      </w:r>
      <w:r w:rsidRPr="00B41A0E">
        <w:rPr>
          <w:lang w:eastAsia="en-GB"/>
        </w:rPr>
        <w:t xml:space="preserve">as a result of the instructing or causing or inducing of the discrimination, harassment </w:t>
      </w:r>
      <w:r w:rsidR="008B6E48">
        <w:rPr>
          <w:lang w:eastAsia="en-GB"/>
        </w:rPr>
        <w:t>or </w:t>
      </w:r>
      <w:r w:rsidRPr="00B41A0E">
        <w:rPr>
          <w:lang w:eastAsia="en-GB"/>
        </w:rPr>
        <w:t>victimisation.</w:t>
      </w:r>
    </w:p>
    <w:p w14:paraId="58965F19" w14:textId="77777777" w:rsidR="006878F9" w:rsidRPr="00B41A0E" w:rsidRDefault="006878F9" w:rsidP="006878F9">
      <w:pPr>
        <w:rPr>
          <w:lang w:eastAsia="en-GB"/>
        </w:rPr>
      </w:pPr>
      <w:r w:rsidRPr="00B41A0E">
        <w:rPr>
          <w:lang w:eastAsia="en-GB"/>
        </w:rPr>
        <w:t>This applies whether or not the instruction is actually carried out.</w:t>
      </w:r>
    </w:p>
    <w:p w14:paraId="1BCB18B4" w14:textId="77777777" w:rsidR="006878F9" w:rsidRPr="00B41A0E" w:rsidRDefault="006878F9" w:rsidP="00921E87">
      <w:pPr>
        <w:pStyle w:val="L2Headers"/>
        <w:rPr>
          <w:lang w:eastAsia="en-GB"/>
        </w:rPr>
      </w:pPr>
      <w:bookmarkStart w:id="108" w:name="_Toc288557223"/>
      <w:bookmarkStart w:id="109" w:name="_Toc288575889"/>
      <w:bookmarkStart w:id="110" w:name="_Toc297124730"/>
      <w:bookmarkStart w:id="111" w:name="_Toc297300514"/>
      <w:r w:rsidRPr="00B41A0E">
        <w:rPr>
          <w:lang w:eastAsia="en-GB"/>
        </w:rPr>
        <w:t>What happens if a person helps someone else to do something that is against equality law</w:t>
      </w:r>
      <w:bookmarkEnd w:id="108"/>
      <w:bookmarkEnd w:id="109"/>
      <w:bookmarkEnd w:id="110"/>
      <w:bookmarkEnd w:id="111"/>
    </w:p>
    <w:p w14:paraId="597F63F7" w14:textId="293E82CB" w:rsidR="006878F9" w:rsidRPr="00B41A0E" w:rsidRDefault="006878F9" w:rsidP="006878F9">
      <w:pPr>
        <w:rPr>
          <w:lang w:eastAsia="en-GB"/>
        </w:rPr>
      </w:pPr>
      <w:r w:rsidRPr="00B41A0E">
        <w:rPr>
          <w:lang w:eastAsia="en-GB"/>
        </w:rPr>
        <w:t>A person must not help someone else carry out an act which the person helping knows is unlawful under equality law.</w:t>
      </w:r>
    </w:p>
    <w:p w14:paraId="072AEBE0" w14:textId="77777777" w:rsidR="006878F9" w:rsidRPr="00B41A0E" w:rsidRDefault="006878F9" w:rsidP="006878F9">
      <w:pPr>
        <w:rPr>
          <w:lang w:eastAsia="en-GB"/>
        </w:rPr>
      </w:pPr>
      <w:r w:rsidRPr="00B41A0E">
        <w:rPr>
          <w:lang w:eastAsia="en-GB"/>
        </w:rPr>
        <w:t xml:space="preserve">However, if the person helping has been told by the person they help that the act </w:t>
      </w:r>
      <w:r>
        <w:rPr>
          <w:lang w:eastAsia="en-GB"/>
        </w:rPr>
        <w:br/>
      </w:r>
      <w:r w:rsidRPr="00B41A0E">
        <w:rPr>
          <w:lang w:eastAsia="en-GB"/>
        </w:rPr>
        <w:t xml:space="preserve">is lawful and </w:t>
      </w:r>
      <w:r>
        <w:rPr>
          <w:lang w:eastAsia="en-GB"/>
        </w:rPr>
        <w:t xml:space="preserve">they </w:t>
      </w:r>
      <w:r w:rsidRPr="0035780A">
        <w:rPr>
          <w:lang w:eastAsia="en-GB"/>
        </w:rPr>
        <w:t>reasonably</w:t>
      </w:r>
      <w:r w:rsidRPr="00B41A0E">
        <w:rPr>
          <w:lang w:eastAsia="en-GB"/>
        </w:rPr>
        <w:t xml:space="preserve"> believe this to be true, </w:t>
      </w:r>
      <w:r>
        <w:rPr>
          <w:lang w:eastAsia="en-GB"/>
        </w:rPr>
        <w:t xml:space="preserve">they </w:t>
      </w:r>
      <w:r w:rsidRPr="00B41A0E">
        <w:rPr>
          <w:lang w:eastAsia="en-GB"/>
        </w:rPr>
        <w:t xml:space="preserve">will not be </w:t>
      </w:r>
      <w:r>
        <w:rPr>
          <w:lang w:eastAsia="en-GB"/>
        </w:rPr>
        <w:br/>
      </w:r>
      <w:r w:rsidRPr="00B41A0E">
        <w:rPr>
          <w:lang w:eastAsia="en-GB"/>
        </w:rPr>
        <w:t>legally responsible.</w:t>
      </w:r>
    </w:p>
    <w:p w14:paraId="14A7AE7E" w14:textId="77777777" w:rsidR="006878F9" w:rsidRPr="00B41A0E" w:rsidRDefault="006878F9" w:rsidP="006878F9">
      <w:pPr>
        <w:rPr>
          <w:lang w:eastAsia="en-GB"/>
        </w:rPr>
      </w:pPr>
      <w:r w:rsidRPr="00B41A0E">
        <w:rPr>
          <w:lang w:eastAsia="en-GB"/>
        </w:rPr>
        <w:t>It is a criminal offence, punishable by a fine, to make a false statement which another person relies on to help to carry out an unlawful act.</w:t>
      </w:r>
    </w:p>
    <w:p w14:paraId="7FDDE180" w14:textId="77777777" w:rsidR="006878F9" w:rsidRPr="00B41A0E" w:rsidRDefault="006878F9" w:rsidP="00921E87">
      <w:pPr>
        <w:pStyle w:val="L2Headers"/>
        <w:rPr>
          <w:lang w:eastAsia="en-GB"/>
        </w:rPr>
      </w:pPr>
      <w:bookmarkStart w:id="112" w:name="_Toc288557224"/>
      <w:bookmarkStart w:id="113" w:name="_Toc288575890"/>
      <w:bookmarkStart w:id="114" w:name="_Toc297124731"/>
      <w:bookmarkStart w:id="115" w:name="_Toc297300515"/>
      <w:r w:rsidRPr="00B41A0E">
        <w:rPr>
          <w:lang w:eastAsia="en-GB"/>
        </w:rPr>
        <w:t>What happens if a service provider tries to stop equality law applying to a situation</w:t>
      </w:r>
      <w:bookmarkEnd w:id="112"/>
      <w:bookmarkEnd w:id="113"/>
      <w:bookmarkEnd w:id="114"/>
      <w:bookmarkEnd w:id="115"/>
    </w:p>
    <w:p w14:paraId="0D344208" w14:textId="650DAF2E" w:rsidR="00A65710" w:rsidRPr="00B41A0E" w:rsidRDefault="006878F9" w:rsidP="006878F9">
      <w:pPr>
        <w:rPr>
          <w:lang w:eastAsia="en-GB"/>
        </w:rPr>
      </w:pPr>
      <w:r w:rsidRPr="00B41A0E">
        <w:rPr>
          <w:lang w:eastAsia="en-GB"/>
        </w:rPr>
        <w:t xml:space="preserve">A service provider cannot stop equality law applying to a situation if it does in fact apply. For example, there is no point in a service provider making a statement in a contract with a customer, client or service user that equality law does not apply. The statement will not have any legal effect. That is, it will not be possible for the service provider to enforce or rely on a term in a contract that tries to do this. This is the case even if the other person has stated they have understood the term and/or they have agreed to it. </w:t>
      </w:r>
    </w:p>
    <w:tbl>
      <w:tblPr>
        <w:tblStyle w:val="TableGrid"/>
        <w:tblW w:w="5000" w:type="pct"/>
        <w:tblLook w:val="04A0" w:firstRow="1" w:lastRow="0" w:firstColumn="1" w:lastColumn="0" w:noHBand="0" w:noVBand="1"/>
      </w:tblPr>
      <w:tblGrid>
        <w:gridCol w:w="9286"/>
      </w:tblGrid>
      <w:tr w:rsidR="00A65710" w14:paraId="6A1D1746" w14:textId="77777777" w:rsidTr="00A65710">
        <w:tc>
          <w:tcPr>
            <w:tcW w:w="5000" w:type="pct"/>
            <w:tcBorders>
              <w:top w:val="nil"/>
              <w:left w:val="nil"/>
              <w:bottom w:val="nil"/>
              <w:right w:val="nil"/>
            </w:tcBorders>
            <w:shd w:val="clear" w:color="auto" w:fill="DBE5F1" w:themeFill="accent1" w:themeFillTint="33"/>
          </w:tcPr>
          <w:p w14:paraId="318C3013" w14:textId="10C4D102" w:rsidR="00A65710" w:rsidRDefault="00A65710" w:rsidP="006878F9">
            <w:pPr>
              <w:rPr>
                <w:lang w:eastAsia="en-GB"/>
              </w:rPr>
            </w:pPr>
            <w:r w:rsidRPr="00A65710">
              <w:rPr>
                <w:rStyle w:val="Strong"/>
              </w:rPr>
              <w:t>For example:</w:t>
            </w:r>
            <w:r w:rsidRPr="00B41A0E">
              <w:rPr>
                <w:lang w:eastAsia="en-GB"/>
              </w:rPr>
              <w:t xml:space="preserve"> A business gives a client a written contract to sign which includes a term saying that they cannot bring a claim under the Equality Act 2010. The business withdraws the service in circumstances which amount </w:t>
            </w:r>
            <w:r>
              <w:rPr>
                <w:lang w:eastAsia="en-GB"/>
              </w:rPr>
              <w:t>to unlawful discrimination. The </w:t>
            </w:r>
            <w:r w:rsidRPr="00B41A0E">
              <w:rPr>
                <w:lang w:eastAsia="en-GB"/>
              </w:rPr>
              <w:t>term in the contract does not stop the client bringing a claim in court.</w:t>
            </w:r>
          </w:p>
        </w:tc>
      </w:tr>
    </w:tbl>
    <w:p w14:paraId="4E783BBA" w14:textId="247DE7D9" w:rsidR="006878F9" w:rsidRPr="00B41A0E" w:rsidRDefault="006878F9" w:rsidP="006878F9">
      <w:pPr>
        <w:rPr>
          <w:lang w:eastAsia="en-GB"/>
        </w:rPr>
      </w:pPr>
    </w:p>
    <w:p w14:paraId="6811244C" w14:textId="77777777" w:rsidR="006878F9" w:rsidRPr="00A65710" w:rsidRDefault="006878F9" w:rsidP="00A65710"/>
    <w:p w14:paraId="061BCD42" w14:textId="77777777" w:rsidR="00A65710" w:rsidRPr="00A65710" w:rsidRDefault="00A65710" w:rsidP="00A65710">
      <w:pPr>
        <w:sectPr w:rsidR="00A65710" w:rsidRPr="00A65710" w:rsidSect="00D21EFB">
          <w:pgSz w:w="11906" w:h="16838" w:code="9"/>
          <w:pgMar w:top="1418" w:right="1418" w:bottom="1418" w:left="1418" w:header="624" w:footer="624" w:gutter="0"/>
          <w:cols w:space="720"/>
          <w:noEndnote/>
        </w:sectPr>
      </w:pPr>
      <w:bookmarkStart w:id="116" w:name="_Toc288557225"/>
      <w:bookmarkStart w:id="117" w:name="_Toc288575891"/>
    </w:p>
    <w:p w14:paraId="74AA78B5" w14:textId="7E971C0B" w:rsidR="006878F9" w:rsidRPr="005E79F4" w:rsidRDefault="006878F9" w:rsidP="00921E87">
      <w:pPr>
        <w:pStyle w:val="L1Headers"/>
      </w:pPr>
      <w:bookmarkStart w:id="118" w:name="chapter4"/>
      <w:bookmarkStart w:id="119" w:name="_Toc297300516"/>
      <w:bookmarkEnd w:id="118"/>
      <w:r w:rsidRPr="005E79F4">
        <w:t>The duty to make reasonable adjustments to remove barriers for disabled people</w:t>
      </w:r>
      <w:bookmarkEnd w:id="116"/>
      <w:bookmarkEnd w:id="117"/>
      <w:bookmarkEnd w:id="119"/>
    </w:p>
    <w:p w14:paraId="4AE5B6AF" w14:textId="77777777" w:rsidR="006878F9" w:rsidRPr="00FF4395" w:rsidRDefault="006878F9" w:rsidP="006878F9">
      <w:pPr>
        <w:rPr>
          <w:lang w:eastAsia="en-GB"/>
        </w:rPr>
      </w:pPr>
      <w:r w:rsidRPr="00FF4395">
        <w:rPr>
          <w:lang w:eastAsia="en-GB"/>
        </w:rPr>
        <w:t xml:space="preserve">Equality law recognises that bringing about equality for disabled people may mean changing the way in which services are delivered, providing extra equipment and/or the removal of </w:t>
      </w:r>
      <w:r w:rsidRPr="006844DF">
        <w:rPr>
          <w:rStyle w:val="Strong"/>
        </w:rPr>
        <w:t>physical barriers</w:t>
      </w:r>
      <w:r w:rsidRPr="00FF4395">
        <w:rPr>
          <w:lang w:eastAsia="en-GB"/>
        </w:rPr>
        <w:t>.</w:t>
      </w:r>
    </w:p>
    <w:p w14:paraId="699E2606" w14:textId="77777777" w:rsidR="006878F9" w:rsidRPr="00FF4395" w:rsidRDefault="006878F9" w:rsidP="006878F9">
      <w:pPr>
        <w:rPr>
          <w:lang w:eastAsia="en-GB"/>
        </w:rPr>
      </w:pPr>
      <w:r w:rsidRPr="00FF4395">
        <w:rPr>
          <w:lang w:eastAsia="en-GB"/>
        </w:rPr>
        <w:t xml:space="preserve">This is the </w:t>
      </w:r>
      <w:r w:rsidRPr="006844DF">
        <w:rPr>
          <w:rStyle w:val="Strong"/>
        </w:rPr>
        <w:t>‘duty to make reasonable adjustments’</w:t>
      </w:r>
      <w:r w:rsidRPr="00FF4395">
        <w:rPr>
          <w:lang w:eastAsia="en-GB"/>
        </w:rPr>
        <w:t>. A duty is something someone must do, in this case because the law says they must.</w:t>
      </w:r>
    </w:p>
    <w:p w14:paraId="732594D6" w14:textId="77777777" w:rsidR="006878F9" w:rsidRPr="00FF4395" w:rsidRDefault="006878F9" w:rsidP="006878F9">
      <w:pPr>
        <w:rPr>
          <w:lang w:eastAsia="en-GB"/>
        </w:rPr>
      </w:pPr>
      <w:r w:rsidRPr="00FF4395">
        <w:rPr>
          <w:lang w:eastAsia="en-GB"/>
        </w:rPr>
        <w:t>The duty to make reasonable adjustments aims to make sure that if you are a disabled person, you can use an organisation’s services as close as it is reasonably possible to get to the standard usually offered to non-disabled people.</w:t>
      </w:r>
    </w:p>
    <w:p w14:paraId="03CBBBB9" w14:textId="77777777" w:rsidR="006878F9" w:rsidRPr="00FF4395" w:rsidRDefault="006878F9" w:rsidP="006878F9">
      <w:pPr>
        <w:rPr>
          <w:lang w:eastAsia="en-GB"/>
        </w:rPr>
      </w:pPr>
      <w:r w:rsidRPr="00FF4395">
        <w:rPr>
          <w:lang w:eastAsia="en-GB"/>
        </w:rPr>
        <w:t xml:space="preserve">If an organisation providing </w:t>
      </w:r>
      <w:r w:rsidRPr="006844DF">
        <w:rPr>
          <w:rStyle w:val="Strong"/>
        </w:rPr>
        <w:t>goods, facilities</w:t>
      </w:r>
      <w:r w:rsidRPr="00FF4395">
        <w:rPr>
          <w:lang w:eastAsia="en-GB"/>
        </w:rPr>
        <w:t xml:space="preserve"> or </w:t>
      </w:r>
      <w:r w:rsidRPr="006844DF">
        <w:rPr>
          <w:rStyle w:val="Strong"/>
        </w:rPr>
        <w:t>services</w:t>
      </w:r>
      <w:r w:rsidRPr="00FF4395">
        <w:rPr>
          <w:lang w:eastAsia="en-GB"/>
        </w:rPr>
        <w:t xml:space="preserve"> to the public or a section of the public, or carrying out </w:t>
      </w:r>
      <w:r w:rsidRPr="006844DF">
        <w:rPr>
          <w:rStyle w:val="Strong"/>
        </w:rPr>
        <w:t>public functions</w:t>
      </w:r>
      <w:r w:rsidRPr="00FF4395">
        <w:rPr>
          <w:lang w:eastAsia="en-GB"/>
        </w:rPr>
        <w:t xml:space="preserve">, or running an </w:t>
      </w:r>
      <w:r w:rsidRPr="006844DF">
        <w:rPr>
          <w:rStyle w:val="Strong"/>
        </w:rPr>
        <w:t>association</w:t>
      </w:r>
      <w:r w:rsidRPr="00FF4395">
        <w:rPr>
          <w:lang w:eastAsia="en-GB"/>
        </w:rPr>
        <w:t xml:space="preserve"> finds there are barriers to disabled people in the way it does things, then it must consider making adjustments (in other words, changes). If those adjustments are reasonable for that organisation to make, then it must make them.</w:t>
      </w:r>
    </w:p>
    <w:p w14:paraId="39ED63ED" w14:textId="11A56E01" w:rsidR="006878F9" w:rsidRPr="00FF4395" w:rsidRDefault="006878F9" w:rsidP="006878F9">
      <w:pPr>
        <w:rPr>
          <w:lang w:eastAsia="en-GB"/>
        </w:rPr>
      </w:pPr>
      <w:r w:rsidRPr="00FF4395">
        <w:rPr>
          <w:lang w:eastAsia="en-GB"/>
        </w:rPr>
        <w:t xml:space="preserve">The duty is ‘anticipatory’. This means an organisation cannot wait until a disabled person wants to use its services, but must think in advance (and on an ongoing basis) about what disabled people with a range of </w:t>
      </w:r>
      <w:r w:rsidRPr="006844DF">
        <w:rPr>
          <w:rStyle w:val="Strong"/>
        </w:rPr>
        <w:t>impairments</w:t>
      </w:r>
      <w:r w:rsidRPr="00FF4395">
        <w:rPr>
          <w:lang w:eastAsia="en-GB"/>
        </w:rPr>
        <w:t xml:space="preserve"> might reasonably need, such as people who have a visual impairment, a hearing impairment, a mobility impairment or a learning disability.</w:t>
      </w:r>
    </w:p>
    <w:p w14:paraId="631F4C05" w14:textId="77777777" w:rsidR="006878F9" w:rsidRPr="00FF4395" w:rsidRDefault="006878F9" w:rsidP="006878F9">
      <w:pPr>
        <w:rPr>
          <w:lang w:eastAsia="en-GB"/>
        </w:rPr>
      </w:pPr>
      <w:r w:rsidRPr="00FF4395">
        <w:rPr>
          <w:lang w:eastAsia="en-GB"/>
        </w:rPr>
        <w:t>An organisation is not required to do more than it is reasonable for it to do. What is reasonable for an organisation to do depends, among other factors, on its size and nature, and the nature of the goods, facilities or services it provides, or the public functions it carries out, or the association it runs.</w:t>
      </w:r>
    </w:p>
    <w:p w14:paraId="42B43C40" w14:textId="77777777" w:rsidR="006878F9" w:rsidRPr="00FF4395" w:rsidRDefault="006878F9" w:rsidP="006878F9">
      <w:pPr>
        <w:rPr>
          <w:lang w:eastAsia="en-GB"/>
        </w:rPr>
      </w:pPr>
      <w:r w:rsidRPr="00FF4395">
        <w:rPr>
          <w:lang w:eastAsia="en-GB"/>
        </w:rPr>
        <w:t>If you are a disabled person and can show that there were barriers an organisation should have identified and reasonable adjustments it could have made, you can bring a claim against it in court. If you win your case, the organisation may be told to pay compensation and make the reasonable adjustments.</w:t>
      </w:r>
    </w:p>
    <w:p w14:paraId="17783453" w14:textId="77777777" w:rsidR="006878F9" w:rsidRPr="00FF4395" w:rsidRDefault="006878F9" w:rsidP="006878F9">
      <w:pPr>
        <w:rPr>
          <w:lang w:eastAsia="en-GB"/>
        </w:rPr>
      </w:pPr>
      <w:r w:rsidRPr="00FF4395">
        <w:rPr>
          <w:lang w:eastAsia="en-GB"/>
        </w:rPr>
        <w:t>The rest of this section looks at the duty in more detail and gives examples of the sorts of adjustments organisations could make. It looks at:</w:t>
      </w:r>
    </w:p>
    <w:p w14:paraId="797C1C28" w14:textId="77777777" w:rsidR="006878F9" w:rsidRPr="00FF4395" w:rsidRDefault="006878F9" w:rsidP="006878F9">
      <w:pPr>
        <w:pStyle w:val="ListBullet"/>
        <w:rPr>
          <w:lang w:eastAsia="en-GB"/>
        </w:rPr>
      </w:pPr>
      <w:r w:rsidRPr="00FF4395">
        <w:rPr>
          <w:lang w:eastAsia="en-GB"/>
        </w:rPr>
        <w:t>The three requirements of the duty</w:t>
      </w:r>
    </w:p>
    <w:p w14:paraId="295119BA" w14:textId="77777777" w:rsidR="006878F9" w:rsidRPr="00FF4395" w:rsidRDefault="006878F9" w:rsidP="006878F9">
      <w:pPr>
        <w:pStyle w:val="ListBullet"/>
        <w:rPr>
          <w:lang w:eastAsia="en-GB"/>
        </w:rPr>
      </w:pPr>
      <w:r w:rsidRPr="00FF4395">
        <w:rPr>
          <w:lang w:eastAsia="en-GB"/>
        </w:rPr>
        <w:t>Are disabled people at a substantial disadvantage?</w:t>
      </w:r>
    </w:p>
    <w:p w14:paraId="2754BD54" w14:textId="77777777" w:rsidR="006878F9" w:rsidRPr="00FF4395" w:rsidRDefault="006878F9" w:rsidP="006878F9">
      <w:pPr>
        <w:pStyle w:val="ListBullet"/>
        <w:rPr>
          <w:lang w:eastAsia="en-GB"/>
        </w:rPr>
      </w:pPr>
      <w:r w:rsidRPr="00FF4395">
        <w:rPr>
          <w:lang w:eastAsia="en-GB"/>
        </w:rPr>
        <w:t>What is meant by ‘reasonable’</w:t>
      </w:r>
    </w:p>
    <w:p w14:paraId="78F0014D" w14:textId="77777777" w:rsidR="006878F9" w:rsidRPr="00FF4395" w:rsidRDefault="006878F9" w:rsidP="006878F9">
      <w:pPr>
        <w:pStyle w:val="ListBullet"/>
        <w:rPr>
          <w:lang w:eastAsia="en-GB"/>
        </w:rPr>
      </w:pPr>
      <w:r w:rsidRPr="00FF4395">
        <w:rPr>
          <w:lang w:eastAsia="en-GB"/>
        </w:rPr>
        <w:t>The continuing duty on organisations</w:t>
      </w:r>
    </w:p>
    <w:p w14:paraId="2A6ED33F" w14:textId="77777777" w:rsidR="006878F9" w:rsidRPr="00FF4395" w:rsidRDefault="006878F9" w:rsidP="006878F9">
      <w:pPr>
        <w:pStyle w:val="ListBullet"/>
        <w:rPr>
          <w:lang w:eastAsia="en-GB"/>
        </w:rPr>
      </w:pPr>
      <w:r w:rsidRPr="00FF4395">
        <w:rPr>
          <w:lang w:eastAsia="en-GB"/>
        </w:rPr>
        <w:t>Who pays for an adjustment?</w:t>
      </w:r>
    </w:p>
    <w:p w14:paraId="78AADD7E" w14:textId="77777777" w:rsidR="006878F9" w:rsidRPr="00FF4395" w:rsidRDefault="006878F9" w:rsidP="006878F9">
      <w:pPr>
        <w:pStyle w:val="ListBullet"/>
        <w:rPr>
          <w:lang w:eastAsia="en-GB"/>
        </w:rPr>
      </w:pPr>
      <w:r w:rsidRPr="00FF4395">
        <w:rPr>
          <w:lang w:eastAsia="en-GB"/>
        </w:rPr>
        <w:t>What you can do if you think an organisation has not made reasonable adjustments</w:t>
      </w:r>
    </w:p>
    <w:p w14:paraId="4E002129" w14:textId="77777777" w:rsidR="006878F9" w:rsidRPr="00FF4395" w:rsidRDefault="006878F9" w:rsidP="006878F9">
      <w:pPr>
        <w:pStyle w:val="ListBullet"/>
        <w:rPr>
          <w:lang w:eastAsia="en-GB"/>
        </w:rPr>
      </w:pPr>
      <w:r w:rsidRPr="00FF4395">
        <w:rPr>
          <w:lang w:eastAsia="en-GB"/>
        </w:rPr>
        <w:t>When the duty is different</w:t>
      </w:r>
    </w:p>
    <w:p w14:paraId="7604FB6E" w14:textId="77777777" w:rsidR="006878F9" w:rsidRPr="00FF4395" w:rsidRDefault="006878F9" w:rsidP="00921E87">
      <w:pPr>
        <w:pStyle w:val="ListBullet2"/>
      </w:pPr>
      <w:r w:rsidRPr="00FF4395">
        <w:t>Associations</w:t>
      </w:r>
    </w:p>
    <w:p w14:paraId="382EAD7D" w14:textId="77777777" w:rsidR="006878F9" w:rsidRPr="00FF4395" w:rsidRDefault="006878F9" w:rsidP="00921E87">
      <w:pPr>
        <w:pStyle w:val="ListBullet2"/>
      </w:pPr>
      <w:r w:rsidRPr="00FF4395">
        <w:t>Rented premises or premises available to rent</w:t>
      </w:r>
    </w:p>
    <w:p w14:paraId="71C25811" w14:textId="77777777" w:rsidR="006878F9" w:rsidRPr="00FF4395" w:rsidRDefault="006878F9" w:rsidP="00921E87">
      <w:pPr>
        <w:pStyle w:val="ListBullet2"/>
      </w:pPr>
      <w:r w:rsidRPr="00FF4395">
        <w:t>Transport</w:t>
      </w:r>
    </w:p>
    <w:p w14:paraId="47B98534" w14:textId="77777777" w:rsidR="006878F9" w:rsidRPr="00FF4395" w:rsidRDefault="006878F9" w:rsidP="00921E87">
      <w:pPr>
        <w:pStyle w:val="L2Headers"/>
        <w:rPr>
          <w:lang w:eastAsia="en-GB"/>
        </w:rPr>
      </w:pPr>
      <w:bookmarkStart w:id="120" w:name="_Toc288557226"/>
      <w:bookmarkStart w:id="121" w:name="_Toc288575892"/>
      <w:bookmarkStart w:id="122" w:name="_Toc297124732"/>
      <w:bookmarkStart w:id="123" w:name="_Toc297300517"/>
      <w:r w:rsidRPr="00FF4395">
        <w:rPr>
          <w:lang w:eastAsia="en-GB"/>
        </w:rPr>
        <w:t>The three requirements of the duty</w:t>
      </w:r>
      <w:bookmarkEnd w:id="120"/>
      <w:bookmarkEnd w:id="121"/>
      <w:bookmarkEnd w:id="122"/>
      <w:bookmarkEnd w:id="123"/>
    </w:p>
    <w:p w14:paraId="3337EDA3" w14:textId="6480C6CA" w:rsidR="006878F9" w:rsidRPr="00FF4395" w:rsidRDefault="006878F9" w:rsidP="006878F9">
      <w:pPr>
        <w:rPr>
          <w:lang w:eastAsia="en-GB"/>
        </w:rPr>
      </w:pPr>
      <w:r w:rsidRPr="00FF4395">
        <w:rPr>
          <w:lang w:eastAsia="en-GB"/>
        </w:rPr>
        <w:t xml:space="preserve">The duty contains three requirements that apply in situations where a disabled person would otherwise be placed at a </w:t>
      </w:r>
      <w:r w:rsidRPr="006844DF">
        <w:rPr>
          <w:rStyle w:val="Strong"/>
        </w:rPr>
        <w:t>substantial disadvantage</w:t>
      </w:r>
      <w:r w:rsidRPr="00FF4395">
        <w:rPr>
          <w:lang w:eastAsia="en-GB"/>
        </w:rPr>
        <w:t xml:space="preserve"> compared with people who are not disabled. The duty is slightly different for associations, in relation to management of premises, and for transport services. These differences are explained at the end of this section.</w:t>
      </w:r>
    </w:p>
    <w:p w14:paraId="03A46694" w14:textId="77777777" w:rsidR="006878F9" w:rsidRPr="00FF4395" w:rsidRDefault="006878F9" w:rsidP="006878F9">
      <w:pPr>
        <w:rPr>
          <w:lang w:eastAsia="en-GB"/>
        </w:rPr>
      </w:pPr>
      <w:r w:rsidRPr="00FF4395">
        <w:rPr>
          <w:lang w:eastAsia="en-GB"/>
        </w:rPr>
        <w:t>For most organisations and in most situations:</w:t>
      </w:r>
    </w:p>
    <w:p w14:paraId="54FFDF81" w14:textId="77777777" w:rsidR="006878F9" w:rsidRPr="00EA218B" w:rsidRDefault="006878F9" w:rsidP="006878F9">
      <w:pPr>
        <w:pStyle w:val="ListBullet"/>
      </w:pPr>
      <w:r w:rsidRPr="00FF4395">
        <w:rPr>
          <w:lang w:eastAsia="en-GB"/>
        </w:rPr>
        <w:t xml:space="preserve">The first requirement involves changing the way things are done </w:t>
      </w:r>
      <w:r w:rsidRPr="0034693D">
        <w:t>(equality law talks about where the dis</w:t>
      </w:r>
      <w:r>
        <w:t>abled service user</w:t>
      </w:r>
      <w:r w:rsidRPr="0034693D">
        <w:t xml:space="preserve"> is put at a substantial disadvantage by a </w:t>
      </w:r>
      <w:r w:rsidRPr="006844DF">
        <w:rPr>
          <w:rStyle w:val="Strong"/>
        </w:rPr>
        <w:t>provision, criterion or practice</w:t>
      </w:r>
      <w:r w:rsidRPr="0034693D">
        <w:t xml:space="preserve"> of </w:t>
      </w:r>
      <w:r>
        <w:t>the service provider</w:t>
      </w:r>
      <w:r w:rsidRPr="0034693D">
        <w:t>)</w:t>
      </w:r>
      <w:r w:rsidRPr="0079100A">
        <w:rPr>
          <w:lang w:eastAsia="en-GB"/>
        </w:rPr>
        <w:t xml:space="preserve">. </w:t>
      </w:r>
    </w:p>
    <w:p w14:paraId="772E4A5A" w14:textId="276BD005" w:rsidR="006878F9" w:rsidRPr="00FF4395" w:rsidRDefault="006878F9" w:rsidP="008B6E48">
      <w:pPr>
        <w:pStyle w:val="Indenttext"/>
      </w:pPr>
      <w:r w:rsidRPr="00FF4395">
        <w:t>An organisation may have rules or ways of doing things, whether written or unwritten,</w:t>
      </w:r>
      <w:r w:rsidR="00D438E0">
        <w:t xml:space="preserve"> </w:t>
      </w:r>
      <w:r w:rsidRPr="00FF4395">
        <w:t>that present barriers to you as a disabled person.</w:t>
      </w:r>
    </w:p>
    <w:p w14:paraId="45E74D84" w14:textId="77777777" w:rsidR="006878F9" w:rsidRPr="00FF4395" w:rsidRDefault="006878F9" w:rsidP="00EE280E">
      <w:pPr>
        <w:pStyle w:val="Indenttext"/>
      </w:pPr>
      <w:r w:rsidRPr="00FF4395">
        <w:t>They may stop you using the service altogether, or make it unreasonably difficult for you to use it.</w:t>
      </w:r>
    </w:p>
    <w:p w14:paraId="55958D4E" w14:textId="77777777" w:rsidR="006878F9" w:rsidRDefault="006878F9" w:rsidP="00EE280E">
      <w:pPr>
        <w:pStyle w:val="Indenttext"/>
      </w:pPr>
      <w:r w:rsidRPr="00FF4395">
        <w:t xml:space="preserve">Unless the practice can be justified, it might be reasonable for the organisation to drop it completely, or to change it so that it no longer has that effect. </w:t>
      </w:r>
    </w:p>
    <w:p w14:paraId="4F797681" w14:textId="012B3B23" w:rsidR="00EE280E" w:rsidRPr="00FF4395" w:rsidRDefault="00EE280E" w:rsidP="00EE280E"/>
    <w:tbl>
      <w:tblPr>
        <w:tblStyle w:val="TableGrid"/>
        <w:tblW w:w="5000" w:type="pct"/>
        <w:tblInd w:w="425" w:type="dxa"/>
        <w:tblLook w:val="04A0" w:firstRow="1" w:lastRow="0" w:firstColumn="1" w:lastColumn="0" w:noHBand="0" w:noVBand="1"/>
      </w:tblPr>
      <w:tblGrid>
        <w:gridCol w:w="9286"/>
      </w:tblGrid>
      <w:tr w:rsidR="00EE280E" w14:paraId="34E667CF" w14:textId="77777777" w:rsidTr="00EE280E">
        <w:tc>
          <w:tcPr>
            <w:tcW w:w="5000" w:type="pct"/>
            <w:tcBorders>
              <w:top w:val="nil"/>
              <w:left w:val="nil"/>
              <w:bottom w:val="nil"/>
              <w:right w:val="nil"/>
            </w:tcBorders>
            <w:shd w:val="clear" w:color="auto" w:fill="DBE5F1" w:themeFill="accent1" w:themeFillTint="33"/>
          </w:tcPr>
          <w:p w14:paraId="7666F690" w14:textId="77777777" w:rsidR="00EE280E" w:rsidRPr="00EE280E" w:rsidRDefault="00EE280E" w:rsidP="00EE280E">
            <w:pPr>
              <w:rPr>
                <w:rStyle w:val="Strong"/>
              </w:rPr>
            </w:pPr>
            <w:r w:rsidRPr="00EE280E">
              <w:rPr>
                <w:rStyle w:val="Strong"/>
              </w:rPr>
              <w:t>For example:</w:t>
            </w:r>
          </w:p>
          <w:p w14:paraId="67E73E46" w14:textId="77777777" w:rsidR="00EE280E" w:rsidRPr="00FF4395" w:rsidRDefault="00EE280E" w:rsidP="00EE280E">
            <w:pPr>
              <w:pStyle w:val="ListBullet"/>
            </w:pPr>
            <w:r w:rsidRPr="00FF4395">
              <w:t>A private club has a policy of refusing entry during the evening to male members who do not wear a shirt and tie. A disabled member who wishes to attend in the evening is unable to wear a tie because he has psoriasis (a severe skin complaint) of the face and neck. Unless the club is prepared to change its policy at least for this member, its effect is to exclude the disabled member from the club. This is likely to be an unlawful failure to make a reasonable adjustment.</w:t>
            </w:r>
          </w:p>
          <w:p w14:paraId="5C47431C" w14:textId="176684F0" w:rsidR="00EE280E" w:rsidRDefault="00EE280E" w:rsidP="00EE280E">
            <w:pPr>
              <w:pStyle w:val="ListBullet"/>
            </w:pPr>
            <w:r w:rsidRPr="00FF4395">
              <w:t>A shop receives feedback from a customer with facial scars from severe burns that the ways in which its staff interact with her have made her feel uncomfortable and failed to provide a helpful service. The retailer decides to introduce disability awareness training, with a particular emphasis on issues around disfigurement, to improve the customer service of its staff. This is likely to be a reasonable adjustment to make.</w:t>
            </w:r>
          </w:p>
        </w:tc>
      </w:tr>
    </w:tbl>
    <w:p w14:paraId="4E87ED02" w14:textId="77777777" w:rsidR="006878F9" w:rsidRPr="00FF4395" w:rsidRDefault="006878F9" w:rsidP="00EE280E">
      <w:pPr>
        <w:pStyle w:val="ListBullet"/>
      </w:pPr>
      <w:r w:rsidRPr="00FF4395">
        <w:t xml:space="preserve">The second requirement involves making changes to overcome barriers created by the </w:t>
      </w:r>
      <w:r w:rsidRPr="00EE280E">
        <w:rPr>
          <w:rStyle w:val="Strong"/>
        </w:rPr>
        <w:t>physical features</w:t>
      </w:r>
      <w:r w:rsidRPr="00FF4395">
        <w:t xml:space="preserve"> of an organisation’s premises, if these are open to the public or a section of the public.</w:t>
      </w:r>
    </w:p>
    <w:p w14:paraId="4F9C4BC7" w14:textId="77777777" w:rsidR="006878F9" w:rsidRPr="00FF4395" w:rsidRDefault="006878F9" w:rsidP="00EE280E">
      <w:pPr>
        <w:pStyle w:val="Indenttext"/>
      </w:pPr>
      <w:r w:rsidRPr="00FF4395">
        <w:t>Where a physical feature puts disabled people using a service at substantial disadvantage, an organisation must take reasonable steps to:</w:t>
      </w:r>
    </w:p>
    <w:p w14:paraId="3A13FA45" w14:textId="77777777" w:rsidR="006878F9" w:rsidRPr="00FF4395" w:rsidRDefault="006878F9" w:rsidP="00921E87">
      <w:pPr>
        <w:pStyle w:val="ListBullet2"/>
      </w:pPr>
      <w:r w:rsidRPr="00FF4395">
        <w:t>remove the feature</w:t>
      </w:r>
    </w:p>
    <w:p w14:paraId="2B74EEE7" w14:textId="77777777" w:rsidR="006878F9" w:rsidRPr="00FF4395" w:rsidRDefault="006878F9" w:rsidP="00921E87">
      <w:pPr>
        <w:pStyle w:val="ListBullet2"/>
      </w:pPr>
      <w:r w:rsidRPr="00FF4395">
        <w:t>alter it so that it no longer has that effect</w:t>
      </w:r>
    </w:p>
    <w:p w14:paraId="3FFDD27C" w14:textId="77777777" w:rsidR="006878F9" w:rsidRPr="00FF4395" w:rsidRDefault="006878F9" w:rsidP="00921E87">
      <w:pPr>
        <w:pStyle w:val="ListBullet2"/>
      </w:pPr>
      <w:r w:rsidRPr="00FF4395">
        <w:t>provide a reasonable means of avoiding the feature, or</w:t>
      </w:r>
    </w:p>
    <w:p w14:paraId="0780AC3A" w14:textId="77777777" w:rsidR="006878F9" w:rsidRPr="00FF4395" w:rsidRDefault="006878F9" w:rsidP="00921E87">
      <w:pPr>
        <w:pStyle w:val="ListBullet2"/>
      </w:pPr>
      <w:r w:rsidRPr="00FF4395">
        <w:t>provide a reasonable alternative method of making the service available to disabled people.</w:t>
      </w:r>
    </w:p>
    <w:p w14:paraId="6E5BE3FE" w14:textId="77777777" w:rsidR="006878F9" w:rsidRPr="00FF4395" w:rsidRDefault="006878F9" w:rsidP="006878F9">
      <w:pPr>
        <w:pStyle w:val="Indenttext"/>
      </w:pPr>
      <w:r w:rsidRPr="00FF4395">
        <w:t>It is better for an organisation to look at removing or altering the physical feature or finding a way of avoiding it (such as replacing steps with a ramp or, if it is reasonable for it to do this, a lift) before it looks at providing an alternative service. An alternative service may not give you a similar level of service.</w:t>
      </w:r>
    </w:p>
    <w:p w14:paraId="2D1D014F" w14:textId="7EB5A1AE" w:rsidR="00EE280E" w:rsidRDefault="006878F9" w:rsidP="006878F9">
      <w:pPr>
        <w:pStyle w:val="Indenttext"/>
      </w:pPr>
      <w:r w:rsidRPr="00FF4395">
        <w:t xml:space="preserve">Exactly what kind of changes are needed will depend on the kind of barriers the premises present. An organisation needs to look at the whole of the premises that are open to the public or a section of the public, and may have to make more than one change. </w:t>
      </w:r>
    </w:p>
    <w:p w14:paraId="79CEEC27" w14:textId="77777777" w:rsidR="00EE280E" w:rsidRDefault="00EE280E" w:rsidP="006878F9">
      <w:pPr>
        <w:pStyle w:val="Indenttext"/>
      </w:pPr>
    </w:p>
    <w:p w14:paraId="6F86BCAA" w14:textId="77777777" w:rsidR="00EE280E" w:rsidRPr="00FF4395" w:rsidRDefault="00EE280E" w:rsidP="006878F9">
      <w:pPr>
        <w:pStyle w:val="Indenttext"/>
      </w:pPr>
    </w:p>
    <w:tbl>
      <w:tblPr>
        <w:tblStyle w:val="TableGrid"/>
        <w:tblW w:w="5000" w:type="pct"/>
        <w:tblInd w:w="425" w:type="dxa"/>
        <w:tblLook w:val="04A0" w:firstRow="1" w:lastRow="0" w:firstColumn="1" w:lastColumn="0" w:noHBand="0" w:noVBand="1"/>
      </w:tblPr>
      <w:tblGrid>
        <w:gridCol w:w="9286"/>
      </w:tblGrid>
      <w:tr w:rsidR="00EE280E" w:rsidRPr="00EE280E" w14:paraId="5E0DBC78" w14:textId="77777777" w:rsidTr="00EE280E">
        <w:tc>
          <w:tcPr>
            <w:tcW w:w="5000" w:type="pct"/>
            <w:tcBorders>
              <w:top w:val="nil"/>
              <w:left w:val="nil"/>
              <w:bottom w:val="nil"/>
              <w:right w:val="nil"/>
            </w:tcBorders>
            <w:shd w:val="clear" w:color="auto" w:fill="DBE5F1" w:themeFill="accent1" w:themeFillTint="33"/>
          </w:tcPr>
          <w:p w14:paraId="2EDD446C" w14:textId="77777777" w:rsidR="00EE280E" w:rsidRPr="00EE280E" w:rsidRDefault="00EE280E" w:rsidP="00EE280E">
            <w:pPr>
              <w:rPr>
                <w:rStyle w:val="Strong"/>
              </w:rPr>
            </w:pPr>
            <w:r w:rsidRPr="00EE280E">
              <w:rPr>
                <w:rStyle w:val="Strong"/>
              </w:rPr>
              <w:t>For example:</w:t>
            </w:r>
          </w:p>
          <w:p w14:paraId="7996B62D" w14:textId="77777777" w:rsidR="00EE280E" w:rsidRPr="00EE280E" w:rsidRDefault="00EE280E" w:rsidP="00EE280E">
            <w:pPr>
              <w:pStyle w:val="ListBullet"/>
            </w:pPr>
            <w:r w:rsidRPr="00EE280E">
              <w:t>A pub improves the paths in its beer garden so that the outside space can be accessed by disabled customers with a mobility impairment or a visual impairment.</w:t>
            </w:r>
          </w:p>
          <w:p w14:paraId="25D7DF79" w14:textId="6D8C8F85" w:rsidR="00EE280E" w:rsidRPr="00EE280E" w:rsidRDefault="00EE280E" w:rsidP="00EE280E">
            <w:pPr>
              <w:pStyle w:val="ListBullet"/>
            </w:pPr>
            <w:r w:rsidRPr="00EE280E">
              <w:t xml:space="preserve">A small shop paints its doorframe in a contrasting </w:t>
            </w:r>
            <w:r w:rsidR="008B6E48">
              <w:t>colour to assist customers with </w:t>
            </w:r>
            <w:r w:rsidRPr="00EE280E">
              <w:t>a visual impairment.</w:t>
            </w:r>
          </w:p>
          <w:p w14:paraId="307A474A" w14:textId="680E3E5E" w:rsidR="00EE280E" w:rsidRPr="00EE280E" w:rsidRDefault="00EE280E" w:rsidP="00EE280E">
            <w:pPr>
              <w:pStyle w:val="ListBullet"/>
            </w:pPr>
            <w:r w:rsidRPr="00EE280E">
              <w:t>A hairdressing salon moves product display stands from just inside its door to create a wider aisle which means that wheelchair user</w:t>
            </w:r>
            <w:r w:rsidR="008B6E48">
              <w:t>s can use its services more </w:t>
            </w:r>
            <w:r w:rsidRPr="00EE280E">
              <w:t>easily.</w:t>
            </w:r>
          </w:p>
        </w:tc>
      </w:tr>
    </w:tbl>
    <w:p w14:paraId="6FB4487C" w14:textId="77777777" w:rsidR="006878F9" w:rsidRPr="00FF4395" w:rsidRDefault="006878F9" w:rsidP="00C647D1">
      <w:pPr>
        <w:pStyle w:val="Indenttext"/>
      </w:pPr>
      <w:r w:rsidRPr="00FF4395">
        <w:t>Physical features include: steps, stairways, kerbs, exterior surfaces and paving, parking areas, building entrances and exits (including emergency escape routes), internal and external doors, gates, toilet and washing facilities, public facilities (such as telephones, counters or service desks), lighting and ventilation, lifts and escalators, floor coverings, signs, furniture, and temporary or movable items (such as equipment and display racks).</w:t>
      </w:r>
    </w:p>
    <w:p w14:paraId="724DAB90" w14:textId="77777777" w:rsidR="006878F9" w:rsidRPr="00FF4395" w:rsidRDefault="006878F9" w:rsidP="006878F9">
      <w:pPr>
        <w:pStyle w:val="Indenttext"/>
      </w:pPr>
      <w:r w:rsidRPr="00FF4395">
        <w:t>Physical features also include the size of premises (for example, the size of an airport where a clearly signed short route to departures might enable people with a mobility impairment to use the airport more easily, or of a shopping centre, where wheelchairs, buggies and extra staff to help shoppers find their way around are made available). This is not an exhaustive list.</w:t>
      </w:r>
    </w:p>
    <w:p w14:paraId="28BBB085" w14:textId="77777777" w:rsidR="006878F9" w:rsidRPr="00FF4395" w:rsidRDefault="006878F9" w:rsidP="006878F9">
      <w:pPr>
        <w:pStyle w:val="ListBullet"/>
        <w:rPr>
          <w:lang w:eastAsia="en-GB"/>
        </w:rPr>
      </w:pPr>
      <w:r w:rsidRPr="00FF4395">
        <w:rPr>
          <w:lang w:eastAsia="en-GB"/>
        </w:rPr>
        <w:t xml:space="preserve">The third requirement involves providing extra aids and services like providing extra equipment or providing a different or additional service (which equality law calls </w:t>
      </w:r>
      <w:r w:rsidRPr="00EE280E">
        <w:rPr>
          <w:rStyle w:val="Strong"/>
        </w:rPr>
        <w:t>auxiliary aids</w:t>
      </w:r>
      <w:r w:rsidRPr="00FF4395">
        <w:rPr>
          <w:lang w:eastAsia="en-GB"/>
        </w:rPr>
        <w:t xml:space="preserve"> or </w:t>
      </w:r>
      <w:r w:rsidRPr="00EE280E">
        <w:rPr>
          <w:rStyle w:val="Strong"/>
        </w:rPr>
        <w:t>auxiliary services</w:t>
      </w:r>
      <w:r w:rsidRPr="00FF4395">
        <w:rPr>
          <w:lang w:eastAsia="en-GB"/>
        </w:rPr>
        <w:t>).</w:t>
      </w:r>
    </w:p>
    <w:p w14:paraId="7885889B" w14:textId="7FA7E1A8" w:rsidR="00EE280E" w:rsidRPr="00FF4395" w:rsidRDefault="006878F9" w:rsidP="006878F9">
      <w:pPr>
        <w:pStyle w:val="Indenttext"/>
      </w:pPr>
      <w:r w:rsidRPr="00FF4395">
        <w:t xml:space="preserve">An organisation must take reasonable steps to provide auxiliary aids or services if this would enable (or make it easier for) disabled people to make use of any of its services. </w:t>
      </w:r>
    </w:p>
    <w:tbl>
      <w:tblPr>
        <w:tblStyle w:val="TableGrid"/>
        <w:tblW w:w="5000" w:type="pct"/>
        <w:tblInd w:w="425" w:type="dxa"/>
        <w:tblLook w:val="04A0" w:firstRow="1" w:lastRow="0" w:firstColumn="1" w:lastColumn="0" w:noHBand="0" w:noVBand="1"/>
      </w:tblPr>
      <w:tblGrid>
        <w:gridCol w:w="9286"/>
      </w:tblGrid>
      <w:tr w:rsidR="00EE280E" w14:paraId="52C48027" w14:textId="77777777" w:rsidTr="00EE280E">
        <w:tc>
          <w:tcPr>
            <w:tcW w:w="5000" w:type="pct"/>
            <w:tcBorders>
              <w:top w:val="nil"/>
              <w:left w:val="nil"/>
              <w:bottom w:val="nil"/>
              <w:right w:val="nil"/>
            </w:tcBorders>
            <w:shd w:val="clear" w:color="auto" w:fill="DBE5F1" w:themeFill="accent1" w:themeFillTint="33"/>
          </w:tcPr>
          <w:p w14:paraId="6688DE8B" w14:textId="1D520B43" w:rsidR="00EE280E" w:rsidRPr="00EE280E" w:rsidRDefault="00EE280E" w:rsidP="00EE280E">
            <w:pPr>
              <w:rPr>
                <w:rStyle w:val="Strong"/>
              </w:rPr>
            </w:pPr>
            <w:r w:rsidRPr="00EE280E">
              <w:rPr>
                <w:rStyle w:val="Strong"/>
              </w:rPr>
              <w:t>For example:</w:t>
            </w:r>
          </w:p>
          <w:p w14:paraId="7896DA54" w14:textId="77777777" w:rsidR="00EE280E" w:rsidRPr="00FF4395" w:rsidRDefault="00EE280E" w:rsidP="00EE280E">
            <w:pPr>
              <w:pStyle w:val="ListBullet"/>
            </w:pPr>
            <w:r w:rsidRPr="00FF4395">
              <w:t>A shop keeps a portable induction loop on its counter so conversations with staff can be heard more easily by disabled people who use hearing aids.</w:t>
            </w:r>
          </w:p>
          <w:p w14:paraId="4E42C7BE" w14:textId="77777777" w:rsidR="00EE280E" w:rsidRDefault="00EE280E" w:rsidP="00EE280E">
            <w:pPr>
              <w:pStyle w:val="ListBullet"/>
            </w:pPr>
            <w:r w:rsidRPr="00FF4395">
              <w:t>A club records its handbook onto audio CD for members with a visual impairment, and sends out its newsletters by email as an audio file if members ask for this.</w:t>
            </w:r>
          </w:p>
          <w:p w14:paraId="6609786B" w14:textId="77777777" w:rsidR="00FC70A9" w:rsidRPr="00FC70A9" w:rsidRDefault="00FC70A9" w:rsidP="00FC70A9"/>
          <w:p w14:paraId="72F5AE58" w14:textId="77777777" w:rsidR="00EE280E" w:rsidRPr="00FF4395" w:rsidRDefault="00EE280E" w:rsidP="00EE280E">
            <w:pPr>
              <w:pStyle w:val="ListBullet"/>
            </w:pPr>
            <w:r w:rsidRPr="00FF4395">
              <w:t xml:space="preserve">An accountant offers to make a home visit to a client with a mobility impairment when usually clients would come to </w:t>
            </w:r>
            <w:r>
              <w:t>the accountant’s</w:t>
            </w:r>
            <w:r w:rsidRPr="00FF4395">
              <w:t xml:space="preserve"> premises.</w:t>
            </w:r>
          </w:p>
          <w:p w14:paraId="0350EDEE" w14:textId="7992746D" w:rsidR="00EE280E" w:rsidRDefault="00EE280E" w:rsidP="00EE280E">
            <w:pPr>
              <w:pStyle w:val="ListBullet"/>
            </w:pPr>
            <w:r w:rsidRPr="00FF4395">
              <w:t>A leisure centre has a regular booking by a group of deaf people. The leisure centre makes sure that the members of staff who have had basic training in Briti</w:t>
            </w:r>
            <w:r>
              <w:t>sh Sign Language (BSL) are rostered</w:t>
            </w:r>
            <w:r w:rsidRPr="00FF4395">
              <w:t xml:space="preserve"> to work on that day to make sure that the deaf customers get the same level of service that other people would expect. </w:t>
            </w:r>
          </w:p>
        </w:tc>
      </w:tr>
    </w:tbl>
    <w:p w14:paraId="44603E56" w14:textId="77777777" w:rsidR="006878F9" w:rsidRPr="00FF4395" w:rsidRDefault="006878F9" w:rsidP="006878F9">
      <w:pPr>
        <w:pStyle w:val="Indenttext"/>
      </w:pPr>
      <w:r w:rsidRPr="00FF4395">
        <w:t>The kind of equipment or service will depend very much on the individual disabled person and what the organisation does. However</w:t>
      </w:r>
      <w:r w:rsidR="004579F6">
        <w:t>,</w:t>
      </w:r>
      <w:r w:rsidRPr="00FF4395">
        <w:t xml:space="preserve"> organisations may be able to think in advance about some things that will help particular groups of disabled people.</w:t>
      </w:r>
    </w:p>
    <w:p w14:paraId="1B7C3C2B" w14:textId="58FCEAF7" w:rsidR="00EE280E" w:rsidRPr="00FF4395" w:rsidRDefault="006878F9" w:rsidP="006878F9">
      <w:pPr>
        <w:pStyle w:val="Indenttext"/>
      </w:pPr>
      <w:r w:rsidRPr="00FF4395">
        <w:t xml:space="preserve">Technological solutions may be useful in overcoming communication barriers, but sometimes a person offering assistance will be what is needed. </w:t>
      </w:r>
    </w:p>
    <w:tbl>
      <w:tblPr>
        <w:tblStyle w:val="TableGrid"/>
        <w:tblW w:w="5000" w:type="pct"/>
        <w:tblInd w:w="425" w:type="dxa"/>
        <w:tblLook w:val="04A0" w:firstRow="1" w:lastRow="0" w:firstColumn="1" w:lastColumn="0" w:noHBand="0" w:noVBand="1"/>
      </w:tblPr>
      <w:tblGrid>
        <w:gridCol w:w="9286"/>
      </w:tblGrid>
      <w:tr w:rsidR="00EE280E" w14:paraId="6329636A" w14:textId="77777777" w:rsidTr="00FC70A9">
        <w:tc>
          <w:tcPr>
            <w:tcW w:w="5000" w:type="pct"/>
            <w:tcBorders>
              <w:top w:val="nil"/>
              <w:left w:val="nil"/>
              <w:bottom w:val="nil"/>
              <w:right w:val="nil"/>
            </w:tcBorders>
            <w:shd w:val="clear" w:color="auto" w:fill="DBE5F1" w:themeFill="accent1" w:themeFillTint="33"/>
          </w:tcPr>
          <w:p w14:paraId="7F0AB634" w14:textId="77777777" w:rsidR="00EE280E" w:rsidRPr="00FC70A9" w:rsidRDefault="00EE280E" w:rsidP="006878F9">
            <w:pPr>
              <w:pStyle w:val="Indenttext"/>
              <w:ind w:left="0"/>
              <w:rPr>
                <w:rStyle w:val="Strong"/>
              </w:rPr>
            </w:pPr>
            <w:r w:rsidRPr="00FC70A9">
              <w:rPr>
                <w:rStyle w:val="Strong"/>
              </w:rPr>
              <w:t>For example:</w:t>
            </w:r>
          </w:p>
          <w:p w14:paraId="35972487" w14:textId="77777777" w:rsidR="00FC70A9" w:rsidRPr="00FF4395" w:rsidRDefault="00FC70A9" w:rsidP="00FC70A9">
            <w:pPr>
              <w:pStyle w:val="ListBullet"/>
            </w:pPr>
            <w:r w:rsidRPr="00FF4395">
              <w:t>Asking a disabled person with a visual impairment if they would like assistance in finding goods in a shop or having information read to them.</w:t>
            </w:r>
          </w:p>
          <w:p w14:paraId="02612464" w14:textId="77777777" w:rsidR="00FC70A9" w:rsidRPr="00FF4395" w:rsidRDefault="00FC70A9" w:rsidP="00FC70A9">
            <w:pPr>
              <w:pStyle w:val="ListBullet"/>
            </w:pPr>
            <w:r w:rsidRPr="00FF4395">
              <w:t>Taking the time to explain services to a disabled person with a learning disability.</w:t>
            </w:r>
          </w:p>
          <w:p w14:paraId="5AE6CBE8" w14:textId="6DD14E1C" w:rsidR="00EE280E" w:rsidRDefault="00FC70A9" w:rsidP="00FC70A9">
            <w:pPr>
              <w:pStyle w:val="ListBullet"/>
            </w:pPr>
            <w:r w:rsidRPr="00FF4395">
              <w:t xml:space="preserve">If someone is being asked to make a major decision, providing a disabled person who uses British Sign Language (BSL) with a BSL to English interpreter, </w:t>
            </w:r>
            <w:r>
              <w:t xml:space="preserve">if </w:t>
            </w:r>
            <w:r w:rsidRPr="00FF4395">
              <w:t>it is reasonable for the organisation to do this.</w:t>
            </w:r>
          </w:p>
        </w:tc>
      </w:tr>
    </w:tbl>
    <w:p w14:paraId="062981B0" w14:textId="77777777" w:rsidR="006878F9" w:rsidRPr="00FF4395" w:rsidRDefault="006878F9" w:rsidP="008B6E48">
      <w:pPr>
        <w:pStyle w:val="Indenttext"/>
      </w:pPr>
      <w:r w:rsidRPr="00FF4395">
        <w:t>If an organisation does provide equipment, the equipment must work and be maintained. It is also important that staff know how to use the equipment</w:t>
      </w:r>
    </w:p>
    <w:p w14:paraId="0160F118" w14:textId="77777777" w:rsidR="006878F9" w:rsidRPr="00FF4395" w:rsidRDefault="006878F9" w:rsidP="006878F9">
      <w:pPr>
        <w:rPr>
          <w:lang w:eastAsia="en-GB"/>
        </w:rPr>
      </w:pPr>
      <w:r w:rsidRPr="00FF4395">
        <w:rPr>
          <w:lang w:eastAsia="en-GB"/>
        </w:rPr>
        <w:t>The duty is slightly different for associations, in relation to management of premises, and for transport services. These differences are explained at the end of this section of the guide.</w:t>
      </w:r>
    </w:p>
    <w:p w14:paraId="7F0DCE82" w14:textId="77777777" w:rsidR="006878F9" w:rsidRPr="00FF4395" w:rsidRDefault="006878F9" w:rsidP="00921E87">
      <w:pPr>
        <w:pStyle w:val="L2Headers"/>
        <w:rPr>
          <w:lang w:eastAsia="en-GB"/>
        </w:rPr>
      </w:pPr>
      <w:bookmarkStart w:id="124" w:name="_Toc288557227"/>
      <w:bookmarkStart w:id="125" w:name="_Toc288575893"/>
      <w:bookmarkStart w:id="126" w:name="_Toc297124733"/>
      <w:bookmarkStart w:id="127" w:name="_Toc297300518"/>
      <w:r w:rsidRPr="00FF4395">
        <w:rPr>
          <w:lang w:eastAsia="en-GB"/>
        </w:rPr>
        <w:t>Are disabled people at a substantial disadvantage?</w:t>
      </w:r>
      <w:bookmarkEnd w:id="124"/>
      <w:bookmarkEnd w:id="125"/>
      <w:bookmarkEnd w:id="126"/>
      <w:bookmarkEnd w:id="127"/>
    </w:p>
    <w:p w14:paraId="4FB85946" w14:textId="77777777" w:rsidR="006878F9" w:rsidRPr="00FF4395" w:rsidRDefault="006878F9" w:rsidP="006878F9">
      <w:pPr>
        <w:rPr>
          <w:lang w:eastAsia="en-GB"/>
        </w:rPr>
      </w:pPr>
      <w:r w:rsidRPr="00FF4395">
        <w:rPr>
          <w:lang w:eastAsia="en-GB"/>
        </w:rPr>
        <w:t>The question for an organisation is whether:</w:t>
      </w:r>
    </w:p>
    <w:p w14:paraId="6E45B2B6" w14:textId="77777777" w:rsidR="006878F9" w:rsidRPr="00FF4395" w:rsidRDefault="006878F9" w:rsidP="006878F9">
      <w:pPr>
        <w:pStyle w:val="ListBullet"/>
        <w:rPr>
          <w:lang w:eastAsia="en-GB"/>
        </w:rPr>
      </w:pPr>
      <w:r w:rsidRPr="00FF4395">
        <w:rPr>
          <w:lang w:eastAsia="en-GB"/>
        </w:rPr>
        <w:t>the way it does things</w:t>
      </w:r>
    </w:p>
    <w:p w14:paraId="02E5D99F" w14:textId="77777777" w:rsidR="006878F9" w:rsidRPr="00FF4395" w:rsidRDefault="006878F9" w:rsidP="006878F9">
      <w:pPr>
        <w:pStyle w:val="ListBullet"/>
        <w:rPr>
          <w:lang w:eastAsia="en-GB"/>
        </w:rPr>
      </w:pPr>
      <w:r w:rsidRPr="00FF4395">
        <w:rPr>
          <w:lang w:eastAsia="en-GB"/>
        </w:rPr>
        <w:t>any physical feature of its premises, or</w:t>
      </w:r>
    </w:p>
    <w:p w14:paraId="46DA52A6" w14:textId="77777777" w:rsidR="006878F9" w:rsidRPr="00FF4395" w:rsidRDefault="006878F9" w:rsidP="006878F9">
      <w:pPr>
        <w:pStyle w:val="ListBullet"/>
        <w:rPr>
          <w:lang w:eastAsia="en-GB"/>
        </w:rPr>
      </w:pPr>
      <w:r w:rsidRPr="00FF4395">
        <w:rPr>
          <w:lang w:eastAsia="en-GB"/>
        </w:rPr>
        <w:t>the absence of an auxiliary aid or service</w:t>
      </w:r>
    </w:p>
    <w:p w14:paraId="40A17263" w14:textId="77777777" w:rsidR="006878F9" w:rsidRPr="00FF4395" w:rsidRDefault="006878F9" w:rsidP="006878F9">
      <w:pPr>
        <w:rPr>
          <w:lang w:eastAsia="en-GB"/>
        </w:rPr>
      </w:pPr>
      <w:r w:rsidRPr="00FF4395">
        <w:rPr>
          <w:lang w:eastAsia="en-GB"/>
        </w:rPr>
        <w:t>puts disabled people at a substantial disadvantage compared with people who are not disabled.</w:t>
      </w:r>
    </w:p>
    <w:p w14:paraId="0CAE26C5" w14:textId="77777777" w:rsidR="006878F9" w:rsidRPr="00FF4395" w:rsidRDefault="006878F9" w:rsidP="006878F9">
      <w:pPr>
        <w:rPr>
          <w:lang w:eastAsia="en-GB"/>
        </w:rPr>
      </w:pPr>
      <w:r w:rsidRPr="00FF4395">
        <w:rPr>
          <w:lang w:eastAsia="en-GB"/>
        </w:rPr>
        <w:t>Anything that is more than minor or trivial is a substantial disadvantage.</w:t>
      </w:r>
    </w:p>
    <w:p w14:paraId="10120F23" w14:textId="77777777" w:rsidR="006878F9" w:rsidRPr="00FF4395" w:rsidRDefault="006878F9" w:rsidP="006878F9">
      <w:pPr>
        <w:rPr>
          <w:lang w:eastAsia="en-GB"/>
        </w:rPr>
      </w:pPr>
      <w:r w:rsidRPr="00FF4395">
        <w:rPr>
          <w:lang w:eastAsia="en-GB"/>
        </w:rPr>
        <w:t>If a substantial disadvantage does exist, then the duty to make reasonable adjustments applies.</w:t>
      </w:r>
    </w:p>
    <w:p w14:paraId="1FDB74B4" w14:textId="77777777" w:rsidR="006878F9" w:rsidRPr="00FF4395" w:rsidRDefault="006878F9" w:rsidP="006878F9">
      <w:pPr>
        <w:rPr>
          <w:lang w:eastAsia="en-GB"/>
        </w:rPr>
      </w:pPr>
      <w:r w:rsidRPr="00FF4395">
        <w:rPr>
          <w:lang w:eastAsia="en-GB"/>
        </w:rPr>
        <w:t>The aim of the adjustments an organisation makes is to remove the substantial disadvantage.</w:t>
      </w:r>
    </w:p>
    <w:p w14:paraId="4118DFB4" w14:textId="77777777" w:rsidR="006878F9" w:rsidRPr="00FF4395" w:rsidRDefault="006878F9" w:rsidP="006878F9">
      <w:pPr>
        <w:rPr>
          <w:lang w:eastAsia="en-GB"/>
        </w:rPr>
      </w:pPr>
      <w:r w:rsidRPr="00FF4395">
        <w:rPr>
          <w:lang w:eastAsia="en-GB"/>
        </w:rPr>
        <w:t>But an organisation only has to make adjustments that are reasonable for it to make.</w:t>
      </w:r>
    </w:p>
    <w:p w14:paraId="724ACCB6" w14:textId="3F4EFA4D" w:rsidR="006878F9" w:rsidRPr="00FF4395" w:rsidRDefault="006878F9" w:rsidP="00921E87">
      <w:pPr>
        <w:pStyle w:val="L2Headers"/>
        <w:rPr>
          <w:lang w:eastAsia="en-GB"/>
        </w:rPr>
      </w:pPr>
      <w:bookmarkStart w:id="128" w:name="_Toc288557228"/>
      <w:bookmarkStart w:id="129" w:name="_Toc288575894"/>
      <w:bookmarkStart w:id="130" w:name="_Toc297124734"/>
      <w:bookmarkStart w:id="131" w:name="_Toc297300519"/>
      <w:r w:rsidRPr="00FF4395">
        <w:rPr>
          <w:lang w:eastAsia="en-GB"/>
        </w:rPr>
        <w:t>What is meant by ‘reasonable’</w:t>
      </w:r>
      <w:bookmarkEnd w:id="128"/>
      <w:bookmarkEnd w:id="129"/>
      <w:bookmarkEnd w:id="130"/>
      <w:bookmarkEnd w:id="131"/>
    </w:p>
    <w:p w14:paraId="3A9C5788" w14:textId="77777777" w:rsidR="006878F9" w:rsidRPr="00FF4395" w:rsidRDefault="006878F9" w:rsidP="006878F9">
      <w:pPr>
        <w:rPr>
          <w:lang w:eastAsia="en-GB"/>
        </w:rPr>
      </w:pPr>
      <w:r w:rsidRPr="00FF4395">
        <w:rPr>
          <w:lang w:eastAsia="en-GB"/>
        </w:rPr>
        <w:t xml:space="preserve">When deciding whether an adjustment is reasonable an organisation can consider: </w:t>
      </w:r>
    </w:p>
    <w:p w14:paraId="1AD6C829" w14:textId="77777777" w:rsidR="006878F9" w:rsidRPr="00FF4395" w:rsidRDefault="006878F9" w:rsidP="006878F9">
      <w:pPr>
        <w:pStyle w:val="ListBullet"/>
        <w:rPr>
          <w:lang w:eastAsia="en-GB"/>
        </w:rPr>
      </w:pPr>
      <w:r w:rsidRPr="00FF4395">
        <w:rPr>
          <w:lang w:eastAsia="en-GB"/>
        </w:rPr>
        <w:t>how effective the change will be in assisting disabled people in general or a particular customer, client, service user or member</w:t>
      </w:r>
    </w:p>
    <w:p w14:paraId="3CC998DF" w14:textId="77777777" w:rsidR="006878F9" w:rsidRPr="00FF4395" w:rsidRDefault="006878F9" w:rsidP="006878F9">
      <w:pPr>
        <w:pStyle w:val="ListBullet"/>
        <w:rPr>
          <w:lang w:eastAsia="en-GB"/>
        </w:rPr>
      </w:pPr>
      <w:r w:rsidRPr="00FF4395">
        <w:rPr>
          <w:lang w:eastAsia="en-GB"/>
        </w:rPr>
        <w:t>whether it can actually be done</w:t>
      </w:r>
    </w:p>
    <w:p w14:paraId="1CFA83E5" w14:textId="77777777" w:rsidR="006878F9" w:rsidRPr="00FF4395" w:rsidRDefault="006878F9" w:rsidP="006878F9">
      <w:pPr>
        <w:pStyle w:val="ListBullet"/>
        <w:rPr>
          <w:lang w:eastAsia="en-GB"/>
        </w:rPr>
      </w:pPr>
      <w:r w:rsidRPr="00FF4395">
        <w:rPr>
          <w:lang w:eastAsia="en-GB"/>
        </w:rPr>
        <w:t>the cost, and</w:t>
      </w:r>
    </w:p>
    <w:p w14:paraId="51A2BCB6" w14:textId="77777777" w:rsidR="006878F9" w:rsidRPr="00FF4395" w:rsidRDefault="006878F9" w:rsidP="006878F9">
      <w:pPr>
        <w:pStyle w:val="ListBullet"/>
        <w:rPr>
          <w:lang w:eastAsia="en-GB"/>
        </w:rPr>
      </w:pPr>
      <w:r w:rsidRPr="00FF4395">
        <w:rPr>
          <w:lang w:eastAsia="en-GB"/>
        </w:rPr>
        <w:t>the organisation’s resources and size.</w:t>
      </w:r>
    </w:p>
    <w:p w14:paraId="6B2E67C2" w14:textId="77777777" w:rsidR="006878F9" w:rsidRPr="00FF4395" w:rsidRDefault="006878F9" w:rsidP="006878F9">
      <w:pPr>
        <w:rPr>
          <w:lang w:eastAsia="en-GB"/>
        </w:rPr>
      </w:pPr>
      <w:r w:rsidRPr="00FF4395">
        <w:rPr>
          <w:lang w:eastAsia="en-GB"/>
        </w:rPr>
        <w:t>The aim of making adjustments is, as far as possible, to remove any disadvantage faced by disabled people.</w:t>
      </w:r>
    </w:p>
    <w:p w14:paraId="6E4F6EEA" w14:textId="1C369974" w:rsidR="006878F9" w:rsidRPr="00FF4395" w:rsidRDefault="006878F9" w:rsidP="006878F9">
      <w:pPr>
        <w:rPr>
          <w:lang w:eastAsia="en-GB"/>
        </w:rPr>
      </w:pPr>
      <w:r w:rsidRPr="00FF4395">
        <w:rPr>
          <w:lang w:eastAsia="en-GB"/>
        </w:rPr>
        <w:t xml:space="preserve">An organisation can consider whether an adjustment is practicable. The easier an adjustment is, the more likely it is to be reasonable. However, just because something is difficult doesn’t mean it can’t also be reasonable. This has to be balanced against other factors. </w:t>
      </w:r>
    </w:p>
    <w:p w14:paraId="785F0782" w14:textId="77777777" w:rsidR="006878F9" w:rsidRPr="00FF4395" w:rsidRDefault="006878F9" w:rsidP="006878F9">
      <w:pPr>
        <w:rPr>
          <w:lang w:eastAsia="en-GB"/>
        </w:rPr>
      </w:pPr>
      <w:r w:rsidRPr="00FF4395">
        <w:rPr>
          <w:lang w:eastAsia="en-GB"/>
        </w:rPr>
        <w:t>If an adjustment costs little or nothing and is not disruptive, it would be reasonable unless some other factor (such as impracticality or lack of effectiveness) made it unreasonable.</w:t>
      </w:r>
    </w:p>
    <w:p w14:paraId="70AFF3D8" w14:textId="77777777" w:rsidR="006878F9" w:rsidRPr="00FF4395" w:rsidRDefault="006878F9" w:rsidP="006878F9">
      <w:pPr>
        <w:rPr>
          <w:lang w:eastAsia="en-GB"/>
        </w:rPr>
      </w:pPr>
      <w:r w:rsidRPr="00FF4395">
        <w:rPr>
          <w:lang w:eastAsia="en-GB"/>
        </w:rPr>
        <w:t>An organisation’s size and resources are another factor. If an adjustment costs a significant amount, it is more likely to be reasonable for an organisation to make it if it has substantial financial resources. The organisation’s resources must be looked at across the whole organisation, not just the branch or section that provides the particular service.</w:t>
      </w:r>
    </w:p>
    <w:p w14:paraId="292A9BC8" w14:textId="77777777" w:rsidR="006878F9" w:rsidRPr="00FF4395" w:rsidRDefault="006878F9" w:rsidP="006878F9">
      <w:pPr>
        <w:rPr>
          <w:lang w:eastAsia="en-GB"/>
        </w:rPr>
      </w:pPr>
      <w:r w:rsidRPr="00FF4395">
        <w:rPr>
          <w:lang w:eastAsia="en-GB"/>
        </w:rPr>
        <w:t>This is an issue which has to be balanced against the other factors.</w:t>
      </w:r>
    </w:p>
    <w:p w14:paraId="3FA8E339" w14:textId="79314BBB" w:rsidR="006878F9" w:rsidRDefault="006878F9" w:rsidP="006878F9">
      <w:pPr>
        <w:rPr>
          <w:lang w:eastAsia="en-GB"/>
        </w:rPr>
      </w:pPr>
      <w:r w:rsidRPr="00FF4395">
        <w:rPr>
          <w:lang w:eastAsia="en-GB"/>
        </w:rPr>
        <w:t xml:space="preserve">In changing policies, criteria or practices, an organisation does not have to change the basic nature of the service it offers. </w:t>
      </w:r>
    </w:p>
    <w:tbl>
      <w:tblPr>
        <w:tblStyle w:val="TableGrid"/>
        <w:tblW w:w="5000" w:type="pct"/>
        <w:tblLook w:val="04A0" w:firstRow="1" w:lastRow="0" w:firstColumn="1" w:lastColumn="0" w:noHBand="0" w:noVBand="1"/>
      </w:tblPr>
      <w:tblGrid>
        <w:gridCol w:w="9286"/>
      </w:tblGrid>
      <w:tr w:rsidR="00FC70A9" w:rsidRPr="00FC70A9" w14:paraId="654B2895" w14:textId="77777777" w:rsidTr="00FC70A9">
        <w:tc>
          <w:tcPr>
            <w:tcW w:w="5000" w:type="pct"/>
            <w:tcBorders>
              <w:top w:val="nil"/>
              <w:left w:val="nil"/>
              <w:bottom w:val="nil"/>
              <w:right w:val="nil"/>
            </w:tcBorders>
            <w:shd w:val="clear" w:color="auto" w:fill="DBE5F1" w:themeFill="accent1" w:themeFillTint="33"/>
          </w:tcPr>
          <w:p w14:paraId="4AA6E125" w14:textId="77777777" w:rsidR="00FC70A9" w:rsidRPr="00FC70A9" w:rsidRDefault="00FC70A9" w:rsidP="00FC70A9">
            <w:pPr>
              <w:rPr>
                <w:rStyle w:val="Strong"/>
              </w:rPr>
            </w:pPr>
            <w:r w:rsidRPr="00FC70A9">
              <w:rPr>
                <w:rStyle w:val="Strong"/>
              </w:rPr>
              <w:t xml:space="preserve">For example: </w:t>
            </w:r>
          </w:p>
          <w:p w14:paraId="1789B3DD" w14:textId="7F181BAF" w:rsidR="00FC70A9" w:rsidRPr="00FC70A9" w:rsidRDefault="00FC70A9" w:rsidP="00FC70A9">
            <w:pPr>
              <w:pStyle w:val="ListBullet"/>
            </w:pPr>
            <w:r w:rsidRPr="00FC70A9">
              <w:t>An association which exists to taste wine does not have to hold soft drink tastings when a member’s disability prevents them drinking alcohol.</w:t>
            </w:r>
          </w:p>
          <w:p w14:paraId="7D5FF51C" w14:textId="1E90826D" w:rsidR="00FC70A9" w:rsidRPr="00FC70A9" w:rsidRDefault="00FC70A9" w:rsidP="00FC70A9">
            <w:pPr>
              <w:pStyle w:val="ListBullet"/>
            </w:pPr>
            <w:r w:rsidRPr="00FC70A9">
              <w:t>Just because some of its treatments may be unsuitable for some disabled people, such as people undergoing chemotherapy for cancer, a beauty salon does not have to stop offering certain treatments altogether.</w:t>
            </w:r>
          </w:p>
        </w:tc>
      </w:tr>
    </w:tbl>
    <w:p w14:paraId="444FFCF5" w14:textId="77777777" w:rsidR="006878F9" w:rsidRPr="00FF4395" w:rsidRDefault="006878F9" w:rsidP="006878F9">
      <w:pPr>
        <w:rPr>
          <w:lang w:eastAsia="en-GB"/>
        </w:rPr>
      </w:pPr>
      <w:r w:rsidRPr="00FF4395">
        <w:rPr>
          <w:lang w:eastAsia="en-GB"/>
        </w:rPr>
        <w:t>If, having taken all of the relevant issues into account, an organisation decides an adjustment is reasonable, then it must make the adjustment.</w:t>
      </w:r>
    </w:p>
    <w:p w14:paraId="4BA8248F" w14:textId="6806415A" w:rsidR="006878F9" w:rsidRPr="00FF4395" w:rsidRDefault="006878F9" w:rsidP="00921E87">
      <w:pPr>
        <w:pStyle w:val="L2Headers"/>
        <w:rPr>
          <w:lang w:eastAsia="en-GB"/>
        </w:rPr>
      </w:pPr>
      <w:bookmarkStart w:id="132" w:name="_Toc288557229"/>
      <w:bookmarkStart w:id="133" w:name="_Toc288575895"/>
      <w:bookmarkStart w:id="134" w:name="_Toc297124735"/>
      <w:bookmarkStart w:id="135" w:name="_Toc297300520"/>
      <w:r w:rsidRPr="00FF4395">
        <w:rPr>
          <w:lang w:eastAsia="en-GB"/>
        </w:rPr>
        <w:t>The continuing duty on organisations</w:t>
      </w:r>
      <w:bookmarkEnd w:id="132"/>
      <w:bookmarkEnd w:id="133"/>
      <w:bookmarkEnd w:id="134"/>
      <w:bookmarkEnd w:id="135"/>
    </w:p>
    <w:p w14:paraId="0C8F6ED3" w14:textId="77777777" w:rsidR="006878F9" w:rsidRPr="00FF4395" w:rsidRDefault="006878F9" w:rsidP="006878F9">
      <w:pPr>
        <w:rPr>
          <w:lang w:eastAsia="en-GB"/>
        </w:rPr>
      </w:pPr>
      <w:r w:rsidRPr="00FF4395">
        <w:rPr>
          <w:lang w:eastAsia="en-GB"/>
        </w:rPr>
        <w:t>The duty to make reasonable adjustments is a continuing duty. It is not something that needs simply to be considered once and once only, and then forgotten.</w:t>
      </w:r>
    </w:p>
    <w:p w14:paraId="759B4534" w14:textId="77777777" w:rsidR="006878F9" w:rsidRPr="00FF4395" w:rsidRDefault="006878F9" w:rsidP="006878F9">
      <w:pPr>
        <w:rPr>
          <w:lang w:eastAsia="en-GB"/>
        </w:rPr>
      </w:pPr>
      <w:r w:rsidRPr="00FF4395">
        <w:rPr>
          <w:lang w:eastAsia="en-GB"/>
        </w:rPr>
        <w:t>If a disabled person wants to use an organisation’s services but finds barriers, then the organisation needs to think about reasonable adjustments. This applies whether or not it has already made any adjustments.</w:t>
      </w:r>
    </w:p>
    <w:p w14:paraId="2DFFF815" w14:textId="7A654D5A" w:rsidR="00970AEA" w:rsidRPr="00FF4395" w:rsidRDefault="006878F9" w:rsidP="006878F9">
      <w:pPr>
        <w:rPr>
          <w:lang w:eastAsia="en-GB"/>
        </w:rPr>
      </w:pPr>
      <w:r w:rsidRPr="00FF4395">
        <w:rPr>
          <w:lang w:eastAsia="en-GB"/>
        </w:rPr>
        <w:t xml:space="preserve">If the organisation changes what it does, the way that it does it or moves premises or makes changes to its existing premises, then it needs to review the adjustments it has made. What was originally a reasonable step to take might no longer be enough. </w:t>
      </w:r>
    </w:p>
    <w:tbl>
      <w:tblPr>
        <w:tblStyle w:val="TableGrid"/>
        <w:tblW w:w="5000" w:type="pct"/>
        <w:tblLook w:val="04A0" w:firstRow="1" w:lastRow="0" w:firstColumn="1" w:lastColumn="0" w:noHBand="0" w:noVBand="1"/>
      </w:tblPr>
      <w:tblGrid>
        <w:gridCol w:w="9286"/>
      </w:tblGrid>
      <w:tr w:rsidR="00970AEA" w:rsidRPr="00970AEA" w14:paraId="603B041F" w14:textId="77777777" w:rsidTr="008209B3">
        <w:tc>
          <w:tcPr>
            <w:tcW w:w="5000" w:type="pct"/>
            <w:tcBorders>
              <w:top w:val="nil"/>
              <w:left w:val="nil"/>
              <w:bottom w:val="nil"/>
              <w:right w:val="nil"/>
            </w:tcBorders>
            <w:shd w:val="clear" w:color="auto" w:fill="DBE5F1" w:themeFill="accent1" w:themeFillTint="33"/>
          </w:tcPr>
          <w:p w14:paraId="700DE5EF" w14:textId="52EF9065" w:rsidR="00970AEA" w:rsidRPr="00970AEA" w:rsidRDefault="00970AEA" w:rsidP="00970AEA">
            <w:r w:rsidRPr="008209B3">
              <w:rPr>
                <w:rStyle w:val="Strong"/>
              </w:rPr>
              <w:t>For example:</w:t>
            </w:r>
            <w:r w:rsidRPr="00970AEA">
              <w:t xml:space="preserve"> A large sports complex amends its ‘no dogs’ policy to allow entry to assistance dogs. It offers assistance dog users a tour of the complex to acquaint them with routes. This is likely to be a reasonable step for it to have to take at this stage. However, the complex then starts building work and this encroaches on paths within the complex, making it difficult for assistance dog users to negotiate their way around. Offering an initial tour is therefore no longer an effective adjustment as it does not make the complex accessible to assistance dog users. The service provider therefore decides to offer assistance dog users appropriate additional assistance from staff while the building work is being undertaken. This is likely to be a reasonable step for the service provider to have to take in the circumstances then existing.</w:t>
            </w:r>
          </w:p>
        </w:tc>
      </w:tr>
    </w:tbl>
    <w:p w14:paraId="79E56A1F" w14:textId="2413FDE5" w:rsidR="006878F9" w:rsidRPr="00FF4395" w:rsidRDefault="006878F9" w:rsidP="006878F9">
      <w:pPr>
        <w:rPr>
          <w:lang w:eastAsia="en-GB"/>
        </w:rPr>
      </w:pPr>
    </w:p>
    <w:p w14:paraId="2784B31F" w14:textId="450320F4" w:rsidR="00970AEA" w:rsidRPr="00FF4395" w:rsidRDefault="006878F9" w:rsidP="006878F9">
      <w:pPr>
        <w:rPr>
          <w:lang w:eastAsia="en-GB"/>
        </w:rPr>
      </w:pPr>
      <w:r w:rsidRPr="00FF4395">
        <w:rPr>
          <w:lang w:eastAsia="en-GB"/>
        </w:rPr>
        <w:t xml:space="preserve">Equally, a step that might previously have been an unreasonable one for an organisation to have to take could become a reasonable step because circumstances have changed. For example, technological developments may provide new or better solutions to the problems of inaccessible services. </w:t>
      </w:r>
    </w:p>
    <w:tbl>
      <w:tblPr>
        <w:tblStyle w:val="TableGrid"/>
        <w:tblW w:w="5000" w:type="pct"/>
        <w:tblLook w:val="04A0" w:firstRow="1" w:lastRow="0" w:firstColumn="1" w:lastColumn="0" w:noHBand="0" w:noVBand="1"/>
      </w:tblPr>
      <w:tblGrid>
        <w:gridCol w:w="9286"/>
      </w:tblGrid>
      <w:tr w:rsidR="00970AEA" w:rsidRPr="00970AEA" w14:paraId="0582E78E" w14:textId="77777777" w:rsidTr="00970AEA">
        <w:tc>
          <w:tcPr>
            <w:tcW w:w="5000" w:type="pct"/>
            <w:tcBorders>
              <w:top w:val="nil"/>
              <w:left w:val="nil"/>
              <w:bottom w:val="nil"/>
              <w:right w:val="nil"/>
            </w:tcBorders>
            <w:shd w:val="clear" w:color="auto" w:fill="DBE5F1" w:themeFill="accent1" w:themeFillTint="33"/>
          </w:tcPr>
          <w:p w14:paraId="152D4A2A" w14:textId="52734332" w:rsidR="00970AEA" w:rsidRPr="00970AEA" w:rsidRDefault="00970AEA" w:rsidP="00970AEA">
            <w:r w:rsidRPr="00970AEA">
              <w:rPr>
                <w:rStyle w:val="Strong"/>
              </w:rPr>
              <w:t>For example:</w:t>
            </w:r>
            <w:r w:rsidRPr="00970AEA">
              <w:t xml:space="preserve"> A library has a small number of comput</w:t>
            </w:r>
            <w:r w:rsidR="00AE1969">
              <w:t>ers for the public to use. When </w:t>
            </w:r>
            <w:r w:rsidRPr="00970AEA">
              <w:t xml:space="preserve">the computers were originally installed, the library investigated the option of incorporating text-to-speech software for people with a visual impairment. It rejected the option because the software was very expensive and </w:t>
            </w:r>
            <w:r w:rsidR="00AE1969">
              <w:t>not particularly effective. It </w:t>
            </w:r>
            <w:r w:rsidRPr="00970AEA">
              <w:t>would not have been a reasonable step for the library to have to take at that stage. The library proposes to replace the computers. It makes enquiries and establishes that text-to-speech software is now efficient and within t</w:t>
            </w:r>
            <w:r w:rsidR="00AE1969">
              <w:t>he library’s budget. The </w:t>
            </w:r>
            <w:r w:rsidRPr="00970AEA">
              <w:t>library decides to install the software on the replacement computers. This is likely to be a reasonable step for the library to have to take at this time.</w:t>
            </w:r>
          </w:p>
        </w:tc>
      </w:tr>
    </w:tbl>
    <w:p w14:paraId="12513C51" w14:textId="6C356534" w:rsidR="006878F9" w:rsidRPr="00FF4395" w:rsidRDefault="006878F9" w:rsidP="00921E87">
      <w:pPr>
        <w:pStyle w:val="L2Headers"/>
        <w:rPr>
          <w:lang w:eastAsia="en-GB"/>
        </w:rPr>
      </w:pPr>
      <w:bookmarkStart w:id="136" w:name="_Toc288557230"/>
      <w:bookmarkStart w:id="137" w:name="_Toc288575896"/>
      <w:bookmarkStart w:id="138" w:name="_Toc297124736"/>
      <w:bookmarkStart w:id="139" w:name="_Toc297300521"/>
      <w:r w:rsidRPr="00FF4395">
        <w:rPr>
          <w:lang w:eastAsia="en-GB"/>
        </w:rPr>
        <w:t>Who pays for an adjustment?</w:t>
      </w:r>
      <w:bookmarkEnd w:id="136"/>
      <w:bookmarkEnd w:id="137"/>
      <w:bookmarkEnd w:id="138"/>
      <w:bookmarkEnd w:id="139"/>
      <w:r w:rsidRPr="00FF4395">
        <w:rPr>
          <w:lang w:eastAsia="en-GB"/>
        </w:rPr>
        <w:t xml:space="preserve"> </w:t>
      </w:r>
    </w:p>
    <w:p w14:paraId="1979DC86" w14:textId="37A59DF4" w:rsidR="007212D3" w:rsidRPr="00FF4395" w:rsidRDefault="006878F9" w:rsidP="006878F9">
      <w:pPr>
        <w:rPr>
          <w:lang w:eastAsia="en-GB"/>
        </w:rPr>
      </w:pPr>
      <w:r w:rsidRPr="00FF4395">
        <w:rPr>
          <w:lang w:eastAsia="en-GB"/>
        </w:rPr>
        <w:t xml:space="preserve">If an adjustment is reasonable, the person or organisation providing it must pay for it. As a disabled person, even if you have asked for the adjustment, you must not be asked to pay for it. </w:t>
      </w:r>
    </w:p>
    <w:tbl>
      <w:tblPr>
        <w:tblStyle w:val="TableGrid"/>
        <w:tblW w:w="5000" w:type="pct"/>
        <w:tblLook w:val="04A0" w:firstRow="1" w:lastRow="0" w:firstColumn="1" w:lastColumn="0" w:noHBand="0" w:noVBand="1"/>
      </w:tblPr>
      <w:tblGrid>
        <w:gridCol w:w="9286"/>
      </w:tblGrid>
      <w:tr w:rsidR="007212D3" w14:paraId="00E6FA43" w14:textId="77777777" w:rsidTr="007212D3">
        <w:tc>
          <w:tcPr>
            <w:tcW w:w="5000" w:type="pct"/>
            <w:tcBorders>
              <w:top w:val="nil"/>
              <w:left w:val="nil"/>
              <w:bottom w:val="nil"/>
              <w:right w:val="nil"/>
            </w:tcBorders>
            <w:shd w:val="clear" w:color="auto" w:fill="DBE5F1" w:themeFill="accent1" w:themeFillTint="33"/>
          </w:tcPr>
          <w:p w14:paraId="7271556C" w14:textId="3AB1223E" w:rsidR="007212D3" w:rsidRDefault="007212D3" w:rsidP="007212D3">
            <w:pPr>
              <w:rPr>
                <w:lang w:eastAsia="en-GB"/>
              </w:rPr>
            </w:pPr>
            <w:r w:rsidRPr="007212D3">
              <w:rPr>
                <w:rStyle w:val="Strong"/>
              </w:rPr>
              <w:t>For example:</w:t>
            </w:r>
            <w:r w:rsidRPr="00FF4395">
              <w:rPr>
                <w:lang w:eastAsia="en-GB"/>
              </w:rPr>
              <w:t xml:space="preserve"> A guest house has installed an audio-visual fire alarm in one of its guest bedrooms in order to accommodate visitors with a sensory impairment. In order to recover the costs of this installation, the landlady charges disabled guests a higher daily charge for that room, although it is otherwise identical to other bedrooms. This increased charge is unlikely to be within the law.</w:t>
            </w:r>
          </w:p>
        </w:tc>
      </w:tr>
    </w:tbl>
    <w:p w14:paraId="359F3413" w14:textId="18B7BCE3" w:rsidR="00000CB7" w:rsidRPr="00FF4395" w:rsidRDefault="006878F9" w:rsidP="006878F9">
      <w:pPr>
        <w:rPr>
          <w:lang w:eastAsia="en-GB"/>
        </w:rPr>
      </w:pPr>
      <w:r w:rsidRPr="00FF4395">
        <w:rPr>
          <w:lang w:eastAsia="en-GB"/>
        </w:rPr>
        <w:t xml:space="preserve">Even if the person or organisation charges other people for a service, such as delivering something, if the reason they are providing the service to you is as a reasonable adjustment, they must not charge you for it. But if you are using the service in exactly the same way as other customers, clients, service users or members, then they can charge you the same as they charge other people. </w:t>
      </w:r>
    </w:p>
    <w:tbl>
      <w:tblPr>
        <w:tblStyle w:val="TableGrid"/>
        <w:tblW w:w="5000" w:type="pct"/>
        <w:tblLook w:val="04A0" w:firstRow="1" w:lastRow="0" w:firstColumn="1" w:lastColumn="0" w:noHBand="0" w:noVBand="1"/>
      </w:tblPr>
      <w:tblGrid>
        <w:gridCol w:w="9286"/>
      </w:tblGrid>
      <w:tr w:rsidR="00000CB7" w:rsidRPr="00000CB7" w14:paraId="484A4EBA" w14:textId="77777777" w:rsidTr="00000CB7">
        <w:tc>
          <w:tcPr>
            <w:tcW w:w="5000" w:type="pct"/>
            <w:tcBorders>
              <w:top w:val="nil"/>
              <w:left w:val="nil"/>
              <w:bottom w:val="nil"/>
              <w:right w:val="nil"/>
            </w:tcBorders>
            <w:shd w:val="clear" w:color="auto" w:fill="DBE5F1" w:themeFill="accent1" w:themeFillTint="33"/>
          </w:tcPr>
          <w:p w14:paraId="23067BA8" w14:textId="28CE1472" w:rsidR="00000CB7" w:rsidRPr="00000CB7" w:rsidRDefault="00000CB7" w:rsidP="00000CB7">
            <w:r w:rsidRPr="00000CB7">
              <w:rPr>
                <w:rStyle w:val="Strong"/>
              </w:rPr>
              <w:t>For example:</w:t>
            </w:r>
            <w:r w:rsidRPr="00000CB7">
              <w:t xml:space="preserve"> A wine merchant runs an online shopping service and charges all customers for home delivery. Its customers include disabled people with mobility impairments. Since this online service does not create a substantial disadvantage for disabled people with mobility impairments wishing to use it, home delivery, in these circumstances, will not be a reasonable adjustment that the wine merchant has to make. Therefore, the wine merchant can charge disabled customers in the same way as other customers for this service.</w:t>
            </w:r>
          </w:p>
          <w:p w14:paraId="2F7F78CE" w14:textId="04F32F36" w:rsidR="00000CB7" w:rsidRPr="00000CB7" w:rsidRDefault="00000CB7" w:rsidP="00000CB7">
            <w:r w:rsidRPr="00000CB7">
              <w:t>However, another wine merchant has a shop which is inaccessible to disabled people with mobility impairments. Home delivery in these circumstances might be a reasonable adjustment for the wine merchant to have to make for these customers. The wine merchant could not then charge such customers for home delivery, even though it charges other customers for home delivery.</w:t>
            </w:r>
          </w:p>
        </w:tc>
      </w:tr>
    </w:tbl>
    <w:p w14:paraId="763E6C97" w14:textId="0066DD46" w:rsidR="006878F9" w:rsidRPr="00FF4395" w:rsidRDefault="006878F9" w:rsidP="00921E87">
      <w:pPr>
        <w:pStyle w:val="L2Headers"/>
        <w:rPr>
          <w:lang w:eastAsia="en-GB"/>
        </w:rPr>
      </w:pPr>
      <w:bookmarkStart w:id="140" w:name="_Toc288557231"/>
      <w:bookmarkStart w:id="141" w:name="_Toc288575897"/>
      <w:bookmarkStart w:id="142" w:name="_Toc297124737"/>
      <w:bookmarkStart w:id="143" w:name="_Toc297300522"/>
      <w:r w:rsidRPr="00FF4395">
        <w:rPr>
          <w:lang w:eastAsia="en-GB"/>
        </w:rPr>
        <w:t>What you can do if you think an organisation has not made reasonable adjustments</w:t>
      </w:r>
      <w:bookmarkEnd w:id="140"/>
      <w:bookmarkEnd w:id="141"/>
      <w:bookmarkEnd w:id="142"/>
      <w:bookmarkEnd w:id="143"/>
    </w:p>
    <w:p w14:paraId="53D8D1BE" w14:textId="77777777" w:rsidR="006878F9" w:rsidRPr="00FF4395" w:rsidRDefault="006878F9" w:rsidP="006878F9">
      <w:pPr>
        <w:rPr>
          <w:lang w:eastAsia="en-GB"/>
        </w:rPr>
      </w:pPr>
      <w:r w:rsidRPr="00FF4395">
        <w:rPr>
          <w:lang w:eastAsia="en-GB"/>
        </w:rPr>
        <w:t>If you look at the definition of disability, you will immediately realise that disabled people are a diverse group with different requirements. Different things about the way an organisation delivers its services may create different barriers for disabled people with different impairments.</w:t>
      </w:r>
    </w:p>
    <w:p w14:paraId="3FF34DA6" w14:textId="77777777" w:rsidR="006878F9" w:rsidRPr="00FF4395" w:rsidRDefault="006878F9" w:rsidP="006878F9">
      <w:pPr>
        <w:rPr>
          <w:lang w:eastAsia="en-GB"/>
        </w:rPr>
      </w:pPr>
      <w:r w:rsidRPr="00FF4395">
        <w:rPr>
          <w:lang w:eastAsia="en-GB"/>
        </w:rPr>
        <w:t>An organisation providing goods, facilities or services to the public or a section of the public, carrying out public functions or running an association must think about disabled people in general. It must make reasonable adjustments even if it does not know that a particular customer, client, service user or member is a disabled person. It must make reasonable adjustments even if it believes it currently has no disabled customers, clients, service users or members.</w:t>
      </w:r>
    </w:p>
    <w:p w14:paraId="73F6BB28" w14:textId="77777777" w:rsidR="006878F9" w:rsidRPr="00FF4395" w:rsidRDefault="006878F9" w:rsidP="006878F9">
      <w:pPr>
        <w:rPr>
          <w:lang w:eastAsia="en-GB"/>
        </w:rPr>
      </w:pPr>
      <w:r w:rsidRPr="00FF4395">
        <w:rPr>
          <w:lang w:eastAsia="en-GB"/>
        </w:rPr>
        <w:t>But organisations are not expected to anticipate the needs of every person who may use their service.</w:t>
      </w:r>
    </w:p>
    <w:p w14:paraId="5B76F646" w14:textId="77777777" w:rsidR="006878F9" w:rsidRPr="00FF4395" w:rsidRDefault="006878F9" w:rsidP="006878F9">
      <w:pPr>
        <w:rPr>
          <w:lang w:eastAsia="en-GB"/>
        </w:rPr>
      </w:pPr>
      <w:r w:rsidRPr="00FF4395">
        <w:rPr>
          <w:lang w:eastAsia="en-GB"/>
        </w:rPr>
        <w:t>If you are a disabled person and try to use a service but find there is a barrier which someone who did not have your impairment would not face, the organisation must consider reasonable adjustments to remove that barrier.</w:t>
      </w:r>
    </w:p>
    <w:p w14:paraId="7DD2C84C" w14:textId="77777777" w:rsidR="006878F9" w:rsidRPr="00FF4395" w:rsidRDefault="006878F9" w:rsidP="006878F9">
      <w:pPr>
        <w:rPr>
          <w:lang w:eastAsia="en-GB"/>
        </w:rPr>
      </w:pPr>
      <w:r w:rsidRPr="00FF4395">
        <w:rPr>
          <w:lang w:eastAsia="en-GB"/>
        </w:rPr>
        <w:t>You should point out the difficulty you face in accessing the services, or receiving the public function, or joining or belonging to the association. You could even suggest a reasonable way to overcome the barrier, although you do not have to. It is up to the organisation to find the answer and decide if it is reasonable for them. But if you know about something that has removed a similar barrier, it would obviously be helpful for you to tell the organisation about it.</w:t>
      </w:r>
    </w:p>
    <w:p w14:paraId="1A5B08E4" w14:textId="6CF6424F" w:rsidR="006878F9" w:rsidRPr="00FF4395" w:rsidRDefault="006878F9" w:rsidP="006878F9">
      <w:pPr>
        <w:rPr>
          <w:lang w:eastAsia="en-GB"/>
        </w:rPr>
      </w:pPr>
      <w:r w:rsidRPr="00FF4395">
        <w:rPr>
          <w:lang w:eastAsia="en-GB"/>
        </w:rPr>
        <w:t xml:space="preserve">You can read more about what to do if you believe you’ve been discriminated against </w:t>
      </w:r>
      <w:r>
        <w:rPr>
          <w:lang w:eastAsia="en-GB"/>
        </w:rPr>
        <w:t xml:space="preserve">in </w:t>
      </w:r>
      <w:hyperlink w:anchor="chapter5" w:history="1">
        <w:r w:rsidRPr="00AA46A5">
          <w:rPr>
            <w:rStyle w:val="Hyperlink"/>
            <w:rFonts w:cs="Times New Roman"/>
            <w:szCs w:val="24"/>
            <w:lang w:eastAsia="en-GB"/>
          </w:rPr>
          <w:t>Chapter 5</w:t>
        </w:r>
      </w:hyperlink>
      <w:r>
        <w:rPr>
          <w:lang w:eastAsia="en-GB"/>
        </w:rPr>
        <w:t xml:space="preserve">. </w:t>
      </w:r>
      <w:r w:rsidRPr="00FF4395">
        <w:rPr>
          <w:lang w:eastAsia="en-GB"/>
        </w:rPr>
        <w:t>This includes what to do if you believe an organisation has failed to make reasonable adjustments.</w:t>
      </w:r>
    </w:p>
    <w:p w14:paraId="3170E147" w14:textId="57BE5A73" w:rsidR="006878F9" w:rsidRPr="00FF4395" w:rsidRDefault="006878F9" w:rsidP="00921E87">
      <w:pPr>
        <w:pStyle w:val="L2Headers"/>
        <w:rPr>
          <w:lang w:eastAsia="en-GB"/>
        </w:rPr>
      </w:pPr>
      <w:bookmarkStart w:id="144" w:name="_Toc288557232"/>
      <w:bookmarkStart w:id="145" w:name="_Toc288575898"/>
      <w:bookmarkStart w:id="146" w:name="_Toc297124738"/>
      <w:bookmarkStart w:id="147" w:name="_Toc297300523"/>
      <w:r w:rsidRPr="00FF4395">
        <w:rPr>
          <w:lang w:eastAsia="en-GB"/>
        </w:rPr>
        <w:t>When the duty is different</w:t>
      </w:r>
      <w:bookmarkEnd w:id="144"/>
      <w:bookmarkEnd w:id="145"/>
      <w:bookmarkEnd w:id="146"/>
      <w:bookmarkEnd w:id="147"/>
    </w:p>
    <w:p w14:paraId="527F4173" w14:textId="77777777" w:rsidR="006878F9" w:rsidRPr="00FF4395" w:rsidRDefault="006878F9" w:rsidP="00921E87">
      <w:pPr>
        <w:pStyle w:val="L3Heading"/>
      </w:pPr>
      <w:bookmarkStart w:id="148" w:name="_Toc288557233"/>
      <w:bookmarkStart w:id="149" w:name="_Toc288575899"/>
      <w:bookmarkStart w:id="150" w:name="_Toc297124739"/>
      <w:bookmarkStart w:id="151" w:name="_Toc297300524"/>
      <w:r w:rsidRPr="00FF4395">
        <w:t>Associations</w:t>
      </w:r>
      <w:bookmarkEnd w:id="148"/>
      <w:bookmarkEnd w:id="149"/>
      <w:bookmarkEnd w:id="150"/>
      <w:bookmarkEnd w:id="151"/>
    </w:p>
    <w:p w14:paraId="76FEBEC0" w14:textId="77777777" w:rsidR="006878F9" w:rsidRPr="00FF4395" w:rsidRDefault="006878F9" w:rsidP="006878F9">
      <w:pPr>
        <w:rPr>
          <w:lang w:eastAsia="en-GB"/>
        </w:rPr>
      </w:pPr>
      <w:r w:rsidRPr="00FF4395">
        <w:rPr>
          <w:lang w:eastAsia="en-GB"/>
        </w:rPr>
        <w:t xml:space="preserve">What associations must do under equality law is explained in the Equality and Human Rights Commission guide </w:t>
      </w:r>
      <w:r w:rsidRPr="00000CB7">
        <w:rPr>
          <w:rStyle w:val="Emphasis"/>
        </w:rPr>
        <w:t>Your Rights to Equality: Associations, clubs and societies</w:t>
      </w:r>
      <w:r w:rsidRPr="00FF4395">
        <w:rPr>
          <w:lang w:eastAsia="en-GB"/>
        </w:rPr>
        <w:t xml:space="preserve">. </w:t>
      </w:r>
    </w:p>
    <w:p w14:paraId="25E8D41F" w14:textId="77777777" w:rsidR="006878F9" w:rsidRPr="00FF4395" w:rsidRDefault="006878F9" w:rsidP="006878F9">
      <w:pPr>
        <w:rPr>
          <w:lang w:eastAsia="en-GB"/>
        </w:rPr>
      </w:pPr>
      <w:r w:rsidRPr="00FF4395">
        <w:rPr>
          <w:lang w:eastAsia="en-GB"/>
        </w:rPr>
        <w:t>Associations must make reasonable adjustments for disabled people in their selection processes and in how members, associate members and guests (and prospective members and guests) access their services and enjoy their benefits and facilities.</w:t>
      </w:r>
    </w:p>
    <w:p w14:paraId="701E7337" w14:textId="77777777" w:rsidR="006878F9" w:rsidRPr="00FF4395" w:rsidRDefault="006878F9" w:rsidP="006878F9">
      <w:pPr>
        <w:rPr>
          <w:lang w:eastAsia="en-GB"/>
        </w:rPr>
      </w:pPr>
      <w:r w:rsidRPr="00FF4395">
        <w:rPr>
          <w:lang w:eastAsia="en-GB"/>
        </w:rPr>
        <w:t>The aim of reasonable adjustments is to make sure that disabled people are able to join an association or use its services as far as is reasonably possible to the same standard usually offered to non-disabled people.</w:t>
      </w:r>
    </w:p>
    <w:p w14:paraId="5B36E988" w14:textId="77777777" w:rsidR="006878F9" w:rsidRPr="00FF4395" w:rsidRDefault="006878F9" w:rsidP="006878F9">
      <w:pPr>
        <w:rPr>
          <w:lang w:eastAsia="en-GB"/>
        </w:rPr>
      </w:pPr>
      <w:r w:rsidRPr="00FF4395">
        <w:rPr>
          <w:lang w:eastAsia="en-GB"/>
        </w:rPr>
        <w:t>An association does not just have to think about reasonable adjustments for disabled people who are already members, associate members or guests, but also to disabled people who are:</w:t>
      </w:r>
    </w:p>
    <w:p w14:paraId="64A9FD9E" w14:textId="77777777" w:rsidR="006878F9" w:rsidRPr="00FF4395" w:rsidRDefault="006878F9" w:rsidP="006878F9">
      <w:pPr>
        <w:pStyle w:val="ListBullet"/>
        <w:rPr>
          <w:lang w:eastAsia="en-GB"/>
        </w:rPr>
      </w:pPr>
      <w:r w:rsidRPr="00FF4395">
        <w:rPr>
          <w:lang w:eastAsia="en-GB"/>
        </w:rPr>
        <w:t>seeking or might wish to become members, or</w:t>
      </w:r>
    </w:p>
    <w:p w14:paraId="68736FDC" w14:textId="77777777" w:rsidR="006878F9" w:rsidRPr="00FF4395" w:rsidRDefault="006878F9" w:rsidP="006878F9">
      <w:pPr>
        <w:pStyle w:val="ListBullet"/>
        <w:rPr>
          <w:lang w:eastAsia="en-GB"/>
        </w:rPr>
      </w:pPr>
      <w:r w:rsidRPr="00FF4395">
        <w:rPr>
          <w:lang w:eastAsia="en-GB"/>
        </w:rPr>
        <w:t>are likely to become guests.</w:t>
      </w:r>
    </w:p>
    <w:p w14:paraId="2F97467B" w14:textId="77777777" w:rsidR="006878F9" w:rsidRPr="00FF4395" w:rsidRDefault="006878F9" w:rsidP="006878F9">
      <w:pPr>
        <w:rPr>
          <w:lang w:eastAsia="en-GB"/>
        </w:rPr>
      </w:pPr>
      <w:r w:rsidRPr="00FF4395">
        <w:rPr>
          <w:lang w:eastAsia="en-GB"/>
        </w:rPr>
        <w:t xml:space="preserve">This means </w:t>
      </w:r>
      <w:r>
        <w:rPr>
          <w:lang w:eastAsia="en-GB"/>
        </w:rPr>
        <w:t>the association</w:t>
      </w:r>
      <w:r w:rsidRPr="00FF4395">
        <w:rPr>
          <w:lang w:eastAsia="en-GB"/>
        </w:rPr>
        <w:t xml:space="preserve"> must think in advance about what disabled people with a range of impairments might reasonably need, such as people who have a visual impairment, a hearing impairment, a mobility impairment or a learning disability.</w:t>
      </w:r>
    </w:p>
    <w:p w14:paraId="5977A450" w14:textId="77777777" w:rsidR="006878F9" w:rsidRPr="00FF4395" w:rsidRDefault="006878F9" w:rsidP="006878F9">
      <w:pPr>
        <w:rPr>
          <w:lang w:eastAsia="en-GB"/>
        </w:rPr>
      </w:pPr>
      <w:r w:rsidRPr="00FF4395">
        <w:rPr>
          <w:lang w:eastAsia="en-GB"/>
        </w:rPr>
        <w:t xml:space="preserve">If it is the </w:t>
      </w:r>
      <w:r w:rsidRPr="00000CB7">
        <w:rPr>
          <w:rStyle w:val="Strong"/>
        </w:rPr>
        <w:t>physical features</w:t>
      </w:r>
      <w:r w:rsidRPr="00FF4395">
        <w:rPr>
          <w:lang w:eastAsia="en-GB"/>
        </w:rPr>
        <w:t xml:space="preserve"> of a building the association occupies or is using that put disabled people at a substantial disadvantage, the association must either:</w:t>
      </w:r>
    </w:p>
    <w:p w14:paraId="5DE783C7" w14:textId="77777777" w:rsidR="006878F9" w:rsidRPr="00FF4395" w:rsidRDefault="006878F9" w:rsidP="006878F9">
      <w:pPr>
        <w:pStyle w:val="ListBullet"/>
        <w:rPr>
          <w:lang w:eastAsia="en-GB"/>
        </w:rPr>
      </w:pPr>
      <w:r w:rsidRPr="00FF4395">
        <w:rPr>
          <w:lang w:eastAsia="en-GB"/>
        </w:rPr>
        <w:t xml:space="preserve">make reasonable adjustments to avoid the disadvantage, or </w:t>
      </w:r>
    </w:p>
    <w:p w14:paraId="15B746A8" w14:textId="77777777" w:rsidR="006878F9" w:rsidRPr="00FF4395" w:rsidRDefault="006878F9" w:rsidP="006878F9">
      <w:pPr>
        <w:pStyle w:val="ListBullet"/>
        <w:rPr>
          <w:lang w:eastAsia="en-GB"/>
        </w:rPr>
      </w:pPr>
      <w:r w:rsidRPr="00FF4395">
        <w:rPr>
          <w:lang w:eastAsia="en-GB"/>
        </w:rPr>
        <w:t xml:space="preserve">find a reasonable alternative way of providing members, associate members and guests (and </w:t>
      </w:r>
      <w:r>
        <w:rPr>
          <w:lang w:eastAsia="en-GB"/>
        </w:rPr>
        <w:t>prospective</w:t>
      </w:r>
      <w:r w:rsidRPr="00FF4395">
        <w:rPr>
          <w:lang w:eastAsia="en-GB"/>
        </w:rPr>
        <w:t xml:space="preserve"> members and guests) with the same access to membership and to its services.</w:t>
      </w:r>
    </w:p>
    <w:p w14:paraId="331E5AF2" w14:textId="77777777" w:rsidR="006878F9" w:rsidRDefault="006878F9" w:rsidP="006878F9">
      <w:pPr>
        <w:rPr>
          <w:lang w:eastAsia="en-GB"/>
        </w:rPr>
      </w:pPr>
      <w:r>
        <w:rPr>
          <w:lang w:eastAsia="en-GB"/>
        </w:rPr>
        <w:t xml:space="preserve">Sometimes a reasonable adjustment may involve providing disabled people with an alternative way of using the service, which involves some level of inconvenience or segregation. However, the best kind of reasonable adjustment is one which enables </w:t>
      </w:r>
      <w:r w:rsidRPr="00836A23">
        <w:rPr>
          <w:lang w:eastAsia="en-GB"/>
        </w:rPr>
        <w:t>disabled people to access the service in much the same way as non-disabled people.</w:t>
      </w:r>
      <w:r>
        <w:rPr>
          <w:lang w:eastAsia="en-GB"/>
        </w:rPr>
        <w:t xml:space="preserve"> </w:t>
      </w:r>
      <w:r w:rsidRPr="00836A23">
        <w:rPr>
          <w:lang w:eastAsia="en-GB"/>
        </w:rPr>
        <w:t xml:space="preserve"> </w:t>
      </w:r>
      <w:r>
        <w:rPr>
          <w:lang w:eastAsia="en-GB"/>
        </w:rPr>
        <w:t>Indeed, if there is an adjustment which can reasonably be made which avoids segregation or inconvenience, then an adjustment which entails segregation or inconvenience may not be considered a reasonable adjustment at all.</w:t>
      </w:r>
    </w:p>
    <w:p w14:paraId="2E93CD6F" w14:textId="3CA0D81A" w:rsidR="006878F9" w:rsidRPr="00FF4395" w:rsidRDefault="006878F9" w:rsidP="006878F9">
      <w:pPr>
        <w:rPr>
          <w:lang w:eastAsia="en-GB"/>
        </w:rPr>
      </w:pPr>
      <w:r w:rsidRPr="00FF4395">
        <w:rPr>
          <w:lang w:eastAsia="en-GB"/>
        </w:rPr>
        <w:t xml:space="preserve">Where meetings take place in a member’s or associate member’s home, then reasonable adjustments do not have to be made to </w:t>
      </w:r>
      <w:r w:rsidRPr="000E28BE">
        <w:rPr>
          <w:rStyle w:val="Strong"/>
        </w:rPr>
        <w:t>physical features</w:t>
      </w:r>
      <w:r w:rsidRPr="00FF4395">
        <w:rPr>
          <w:lang w:eastAsia="en-GB"/>
        </w:rPr>
        <w:t xml:space="preserve"> to make it accessible for a member who is a disabled person and for whom the physical features of the meeting place present a barrier to their attending the meeting.</w:t>
      </w:r>
    </w:p>
    <w:p w14:paraId="66137E4B" w14:textId="20408495" w:rsidR="00000CB7" w:rsidRPr="00FF4395" w:rsidRDefault="006878F9" w:rsidP="006878F9">
      <w:pPr>
        <w:rPr>
          <w:lang w:eastAsia="en-GB"/>
        </w:rPr>
      </w:pPr>
      <w:r w:rsidRPr="00FF4395">
        <w:rPr>
          <w:lang w:eastAsia="en-GB"/>
        </w:rPr>
        <w:t xml:space="preserve">But it may be a reasonable adjustment to hold the meeting at an </w:t>
      </w:r>
      <w:r w:rsidRPr="000E28BE">
        <w:rPr>
          <w:rStyle w:val="Strong"/>
        </w:rPr>
        <w:t>accessible venue</w:t>
      </w:r>
      <w:r w:rsidRPr="00FF4395">
        <w:rPr>
          <w:lang w:eastAsia="en-GB"/>
        </w:rPr>
        <w:t xml:space="preserve">. </w:t>
      </w:r>
    </w:p>
    <w:tbl>
      <w:tblPr>
        <w:tblStyle w:val="TableGrid"/>
        <w:tblW w:w="5000" w:type="pct"/>
        <w:tblLook w:val="04A0" w:firstRow="1" w:lastRow="0" w:firstColumn="1" w:lastColumn="0" w:noHBand="0" w:noVBand="1"/>
      </w:tblPr>
      <w:tblGrid>
        <w:gridCol w:w="9286"/>
      </w:tblGrid>
      <w:tr w:rsidR="00000CB7" w:rsidRPr="00000CB7" w14:paraId="72FDBBD1" w14:textId="77777777" w:rsidTr="00000CB7">
        <w:tc>
          <w:tcPr>
            <w:tcW w:w="5000" w:type="pct"/>
            <w:tcBorders>
              <w:top w:val="nil"/>
              <w:left w:val="nil"/>
              <w:bottom w:val="nil"/>
              <w:right w:val="nil"/>
            </w:tcBorders>
            <w:shd w:val="clear" w:color="auto" w:fill="DBE5F1" w:themeFill="accent1" w:themeFillTint="33"/>
          </w:tcPr>
          <w:p w14:paraId="15CCF5C8" w14:textId="0F435127" w:rsidR="00000CB7" w:rsidRPr="00000CB7" w:rsidRDefault="00000CB7" w:rsidP="00000CB7">
            <w:r w:rsidRPr="00000CB7">
              <w:rPr>
                <w:rStyle w:val="Strong"/>
              </w:rPr>
              <w:t>For example:</w:t>
            </w:r>
            <w:r w:rsidRPr="00000CB7">
              <w:t xml:space="preserve"> A cycling club has 30 members and no premises of its own. Instead members meet in the leader’s house once a year for their AGM. This has no suitable access for a disabled member of the club, an ampu</w:t>
            </w:r>
            <w:r>
              <w:t>tee who uses a wheelchair. (The </w:t>
            </w:r>
            <w:r w:rsidRPr="00000CB7">
              <w:t>member uses a specially adapted tandem when cycling.) As a reasonable adjustment, the club decides to hold its meetings in a local sports hall which has suitable access.</w:t>
            </w:r>
          </w:p>
        </w:tc>
      </w:tr>
    </w:tbl>
    <w:p w14:paraId="42C33DA4" w14:textId="77777777" w:rsidR="006878F9" w:rsidRPr="00FF4395" w:rsidRDefault="006878F9" w:rsidP="006878F9">
      <w:pPr>
        <w:rPr>
          <w:lang w:eastAsia="en-GB"/>
        </w:rPr>
      </w:pPr>
      <w:r w:rsidRPr="00FF4395">
        <w:rPr>
          <w:lang w:eastAsia="en-GB"/>
        </w:rPr>
        <w:t>Even if this is not a reasonable adjustment taking into account all the circumstances of the association, such as its size and resources, the association may want to consider whether as a matter of good practice it should change where it meets to an accessible venue.</w:t>
      </w:r>
    </w:p>
    <w:p w14:paraId="5720A03B" w14:textId="77777777" w:rsidR="006878F9" w:rsidRPr="00FF4395" w:rsidRDefault="006878F9" w:rsidP="00921E87">
      <w:pPr>
        <w:pStyle w:val="L3Heading"/>
      </w:pPr>
      <w:bookmarkStart w:id="152" w:name="_Toc288557234"/>
      <w:bookmarkStart w:id="153" w:name="_Toc288575900"/>
      <w:bookmarkStart w:id="154" w:name="_Toc297124740"/>
      <w:bookmarkStart w:id="155" w:name="_Toc297300525"/>
      <w:r w:rsidRPr="00FF4395">
        <w:t>Rented premises or premises available to rent</w:t>
      </w:r>
      <w:bookmarkEnd w:id="152"/>
      <w:bookmarkEnd w:id="153"/>
      <w:bookmarkEnd w:id="154"/>
      <w:bookmarkEnd w:id="155"/>
    </w:p>
    <w:p w14:paraId="19AFE79B" w14:textId="30FE8081" w:rsidR="006878F9" w:rsidRPr="00FF4395" w:rsidRDefault="006878F9" w:rsidP="006878F9">
      <w:pPr>
        <w:rPr>
          <w:lang w:eastAsia="en-GB"/>
        </w:rPr>
      </w:pPr>
      <w:r w:rsidRPr="00FF4395">
        <w:rPr>
          <w:lang w:eastAsia="en-GB"/>
        </w:rPr>
        <w:t>The duty to make reasonable adjustments applies to landlords and managers of rented premises or premises which are available to rent. This may include a landlord, a letting agency, a property management company, a management or residents’ committee of a block of flats, and any other person who, in practice, has control over how the premises are let or managed. In this guide, these people are referred to as ‘controllers of the premises’.</w:t>
      </w:r>
    </w:p>
    <w:p w14:paraId="0C54D591" w14:textId="60536C78" w:rsidR="006878F9" w:rsidRPr="00FF4395" w:rsidRDefault="006878F9" w:rsidP="006878F9">
      <w:pPr>
        <w:rPr>
          <w:lang w:eastAsia="en-GB"/>
        </w:rPr>
      </w:pPr>
      <w:r w:rsidRPr="00FF4395">
        <w:rPr>
          <w:lang w:eastAsia="en-GB"/>
        </w:rPr>
        <w:t>The letting of both commercial premises and houses for domestic use (subject to some exceptions) are covered. Letting includes sub-letting, and the granting of contractual licences to occupy premises (as opposed to an interest in the property which is granted by a lease). However, it does not include private sales (called</w:t>
      </w:r>
      <w:r w:rsidR="000E28BE">
        <w:rPr>
          <w:lang w:eastAsia="en-GB"/>
        </w:rPr>
        <w:t> </w:t>
      </w:r>
      <w:r w:rsidRPr="00000CB7">
        <w:rPr>
          <w:rStyle w:val="Strong"/>
        </w:rPr>
        <w:t>private disposals</w:t>
      </w:r>
      <w:r w:rsidRPr="00FF4395">
        <w:rPr>
          <w:lang w:eastAsia="en-GB"/>
        </w:rPr>
        <w:t xml:space="preserve"> in the Act) provided that an estate agent has not been used and no advert published. Similarly, it does not </w:t>
      </w:r>
      <w:r w:rsidR="008B6E48">
        <w:rPr>
          <w:lang w:eastAsia="en-GB"/>
        </w:rPr>
        <w:t xml:space="preserve">apply if the landlord is simply </w:t>
      </w:r>
      <w:r w:rsidRPr="00FF4395">
        <w:rPr>
          <w:lang w:eastAsia="en-GB"/>
        </w:rPr>
        <w:t xml:space="preserve">renting a room or rooms in a house with room for six people or less where </w:t>
      </w:r>
      <w:r>
        <w:rPr>
          <w:lang w:eastAsia="en-GB"/>
        </w:rPr>
        <w:t>the landlord</w:t>
      </w:r>
      <w:r w:rsidRPr="00FF4395">
        <w:rPr>
          <w:lang w:eastAsia="en-GB"/>
        </w:rPr>
        <w:t xml:space="preserve"> or a relative or partner are still living. This is called the </w:t>
      </w:r>
      <w:r w:rsidRPr="00000CB7">
        <w:rPr>
          <w:rStyle w:val="Strong"/>
        </w:rPr>
        <w:t>small premises</w:t>
      </w:r>
      <w:r w:rsidRPr="00FF4395">
        <w:rPr>
          <w:lang w:eastAsia="en-GB"/>
        </w:rPr>
        <w:t xml:space="preserve"> exemption.</w:t>
      </w:r>
    </w:p>
    <w:p w14:paraId="2D91CE41" w14:textId="77777777" w:rsidR="006878F9" w:rsidRPr="00FF4395" w:rsidRDefault="006878F9" w:rsidP="006878F9">
      <w:pPr>
        <w:rPr>
          <w:lang w:eastAsia="en-GB"/>
        </w:rPr>
      </w:pPr>
      <w:r w:rsidRPr="00FF4395">
        <w:rPr>
          <w:lang w:eastAsia="en-GB"/>
        </w:rPr>
        <w:t>The duty to make reasonable adjustments in relation to the letting of premises is different from the usual duty to make reasonable adjustments relating to services.</w:t>
      </w:r>
    </w:p>
    <w:p w14:paraId="04052593" w14:textId="77777777" w:rsidR="0074586B" w:rsidRPr="0074586B" w:rsidRDefault="0074586B" w:rsidP="0074586B">
      <w:r w:rsidRPr="0074586B">
        <w:br w:type="page"/>
      </w:r>
    </w:p>
    <w:p w14:paraId="38924A3E" w14:textId="4B332451" w:rsidR="000F6B30" w:rsidRPr="00FF4395" w:rsidRDefault="006878F9" w:rsidP="006878F9">
      <w:pPr>
        <w:rPr>
          <w:lang w:eastAsia="en-GB"/>
        </w:rPr>
      </w:pPr>
      <w:r w:rsidRPr="00FF4395">
        <w:rPr>
          <w:lang w:eastAsia="en-GB"/>
        </w:rPr>
        <w:t xml:space="preserve">First, it is not anticipatory. The duty only arises if the controller of the premises is requested to make an adjustment by a person to whom the premises are let or who wishes to rent the premises, or someone on their behalf. The request may not necessarily be made formally and the landlord should presume that they are under an obligation to make a reasonable adjustment if it is reasonable to assume that a request has been made. </w:t>
      </w:r>
    </w:p>
    <w:tbl>
      <w:tblPr>
        <w:tblStyle w:val="TableGrid"/>
        <w:tblW w:w="5000" w:type="pct"/>
        <w:tblLook w:val="04A0" w:firstRow="1" w:lastRow="0" w:firstColumn="1" w:lastColumn="0" w:noHBand="0" w:noVBand="1"/>
      </w:tblPr>
      <w:tblGrid>
        <w:gridCol w:w="9286"/>
      </w:tblGrid>
      <w:tr w:rsidR="000F6B30" w14:paraId="7BA24D5E" w14:textId="77777777" w:rsidTr="000F6B30">
        <w:tc>
          <w:tcPr>
            <w:tcW w:w="5000" w:type="pct"/>
            <w:tcBorders>
              <w:top w:val="nil"/>
              <w:left w:val="nil"/>
              <w:bottom w:val="nil"/>
              <w:right w:val="nil"/>
            </w:tcBorders>
            <w:shd w:val="clear" w:color="auto" w:fill="DBE5F1" w:themeFill="accent1" w:themeFillTint="33"/>
          </w:tcPr>
          <w:p w14:paraId="5B162550" w14:textId="248DF774" w:rsidR="000F6B30" w:rsidRDefault="000F6B30" w:rsidP="006878F9">
            <w:pPr>
              <w:rPr>
                <w:lang w:eastAsia="en-GB"/>
              </w:rPr>
            </w:pPr>
            <w:r w:rsidRPr="000F6B30">
              <w:rPr>
                <w:rStyle w:val="Strong"/>
              </w:rPr>
              <w:t>For example:</w:t>
            </w:r>
            <w:r w:rsidRPr="00FF4395">
              <w:rPr>
                <w:lang w:eastAsia="en-GB"/>
              </w:rPr>
              <w:t xml:space="preserve"> A landlord is speaking to a prospective tenant on the telephone to arrange a meeting to sign a tenancy agreement. During the conversation, the tenant explains that they are visually impaired and find the print in the tenancy agreement too small. The tenant is identifying an impairment and it is likely that it would be reasonable to regard this as being a request for an auxiliary aid, such as a tenancy agreement in an alternative format. The tenant does not have to request a particular format for the landlord to have to consider an adjustment.</w:t>
            </w:r>
          </w:p>
        </w:tc>
      </w:tr>
    </w:tbl>
    <w:p w14:paraId="4F8D061C" w14:textId="77777777" w:rsidR="006878F9" w:rsidRPr="00FF4395" w:rsidRDefault="006878F9" w:rsidP="006878F9">
      <w:pPr>
        <w:rPr>
          <w:lang w:eastAsia="en-GB"/>
        </w:rPr>
      </w:pPr>
      <w:r w:rsidRPr="00FF4395">
        <w:rPr>
          <w:lang w:eastAsia="en-GB"/>
        </w:rPr>
        <w:t>Second, there are just two requirements. These are:</w:t>
      </w:r>
    </w:p>
    <w:p w14:paraId="70303D3B" w14:textId="77777777" w:rsidR="006878F9" w:rsidRPr="00FF4395" w:rsidRDefault="006878F9" w:rsidP="006878F9">
      <w:pPr>
        <w:pStyle w:val="ListBullet"/>
        <w:rPr>
          <w:lang w:eastAsia="en-GB"/>
        </w:rPr>
      </w:pPr>
      <w:r w:rsidRPr="00FF4395">
        <w:rPr>
          <w:lang w:eastAsia="en-GB"/>
        </w:rPr>
        <w:t>Providing auxiliary aids and services.</w:t>
      </w:r>
    </w:p>
    <w:p w14:paraId="05A9F134" w14:textId="77777777" w:rsidR="006878F9" w:rsidRPr="00FF4395" w:rsidRDefault="006878F9" w:rsidP="006878F9">
      <w:pPr>
        <w:pStyle w:val="ListBullet"/>
        <w:rPr>
          <w:lang w:eastAsia="en-GB"/>
        </w:rPr>
      </w:pPr>
      <w:r w:rsidRPr="00FF4395">
        <w:rPr>
          <w:lang w:eastAsia="en-GB"/>
        </w:rPr>
        <w:t>Changing provisions, criteria or practices, including (once premises have been let) changing a term of the letting. For example, a ‘no dogs’ term in a lease entered into by a disabled person who uses an assistance dog.</w:t>
      </w:r>
    </w:p>
    <w:p w14:paraId="6397199A" w14:textId="77777777" w:rsidR="006878F9" w:rsidRPr="00FF4395" w:rsidRDefault="006878F9" w:rsidP="006878F9">
      <w:pPr>
        <w:rPr>
          <w:lang w:eastAsia="en-GB"/>
        </w:rPr>
      </w:pPr>
      <w:r w:rsidRPr="00FF4395">
        <w:rPr>
          <w:lang w:eastAsia="en-GB"/>
        </w:rPr>
        <w:t>There is no requirement to make any changes which would consist of or include the removal or alteration of a physical feature, which includes:</w:t>
      </w:r>
    </w:p>
    <w:p w14:paraId="36BE0E40" w14:textId="77777777" w:rsidR="006878F9" w:rsidRPr="00FF4395" w:rsidRDefault="006878F9" w:rsidP="006878F9">
      <w:pPr>
        <w:pStyle w:val="ListBullet"/>
        <w:rPr>
          <w:lang w:eastAsia="en-GB"/>
        </w:rPr>
      </w:pPr>
      <w:r w:rsidRPr="00FF4395">
        <w:rPr>
          <w:lang w:eastAsia="en-GB"/>
        </w:rPr>
        <w:t>any feature arising from the design or construction of a building</w:t>
      </w:r>
    </w:p>
    <w:p w14:paraId="343576E8" w14:textId="77777777" w:rsidR="006878F9" w:rsidRPr="00FF4395" w:rsidRDefault="006878F9" w:rsidP="006878F9">
      <w:pPr>
        <w:pStyle w:val="ListBullet"/>
        <w:rPr>
          <w:lang w:eastAsia="en-GB"/>
        </w:rPr>
      </w:pPr>
      <w:r w:rsidRPr="00FF4395">
        <w:rPr>
          <w:lang w:eastAsia="en-GB"/>
        </w:rPr>
        <w:t>any feature of any approach to, exit from or access to a building</w:t>
      </w:r>
    </w:p>
    <w:p w14:paraId="021F6AF7" w14:textId="77777777" w:rsidR="006878F9" w:rsidRPr="00FF4395" w:rsidRDefault="006878F9" w:rsidP="006878F9">
      <w:pPr>
        <w:pStyle w:val="ListBullet"/>
        <w:rPr>
          <w:lang w:eastAsia="en-GB"/>
        </w:rPr>
      </w:pPr>
      <w:r w:rsidRPr="00FF4395">
        <w:rPr>
          <w:lang w:eastAsia="en-GB"/>
        </w:rPr>
        <w:t>any fixtures or fittings in or on premises</w:t>
      </w:r>
    </w:p>
    <w:p w14:paraId="0A57408E" w14:textId="77777777" w:rsidR="006878F9" w:rsidRPr="00FF4395" w:rsidRDefault="006878F9" w:rsidP="006878F9">
      <w:pPr>
        <w:pStyle w:val="ListBullet"/>
        <w:rPr>
          <w:lang w:eastAsia="en-GB"/>
        </w:rPr>
      </w:pPr>
      <w:r w:rsidRPr="00FF4395">
        <w:rPr>
          <w:lang w:eastAsia="en-GB"/>
        </w:rPr>
        <w:t>any other physical element or quality.</w:t>
      </w:r>
    </w:p>
    <w:p w14:paraId="50542B41" w14:textId="77777777" w:rsidR="006878F9" w:rsidRPr="00FF4395" w:rsidRDefault="006878F9" w:rsidP="006878F9">
      <w:pPr>
        <w:rPr>
          <w:lang w:eastAsia="en-GB"/>
        </w:rPr>
      </w:pPr>
      <w:r w:rsidRPr="00FF4395">
        <w:rPr>
          <w:lang w:eastAsia="en-GB"/>
        </w:rPr>
        <w:t>Physical features do not include furniture, furnishings, materials, equipment or other items of personal property.</w:t>
      </w:r>
    </w:p>
    <w:p w14:paraId="5307E678" w14:textId="206CBDCF" w:rsidR="000F6B30" w:rsidRPr="00FF4395" w:rsidRDefault="006878F9" w:rsidP="006878F9">
      <w:pPr>
        <w:rPr>
          <w:lang w:eastAsia="en-GB"/>
        </w:rPr>
      </w:pPr>
      <w:r w:rsidRPr="00FF4395">
        <w:rPr>
          <w:lang w:eastAsia="en-GB"/>
        </w:rPr>
        <w:t xml:space="preserve">Changes are unlikely to be treated as consisting of or including the alteration of a physical feature where they have only an incidental effect on a physical feature. </w:t>
      </w:r>
    </w:p>
    <w:tbl>
      <w:tblPr>
        <w:tblStyle w:val="TableGrid"/>
        <w:tblW w:w="5000" w:type="pct"/>
        <w:tblLook w:val="04A0" w:firstRow="1" w:lastRow="0" w:firstColumn="1" w:lastColumn="0" w:noHBand="0" w:noVBand="1"/>
      </w:tblPr>
      <w:tblGrid>
        <w:gridCol w:w="9286"/>
      </w:tblGrid>
      <w:tr w:rsidR="000F6B30" w14:paraId="23B71A2A" w14:textId="77777777" w:rsidTr="000F6B30">
        <w:tc>
          <w:tcPr>
            <w:tcW w:w="5000" w:type="pct"/>
            <w:tcBorders>
              <w:top w:val="nil"/>
              <w:left w:val="nil"/>
              <w:bottom w:val="nil"/>
              <w:right w:val="nil"/>
            </w:tcBorders>
            <w:shd w:val="clear" w:color="auto" w:fill="DBE5F1" w:themeFill="accent1" w:themeFillTint="33"/>
          </w:tcPr>
          <w:p w14:paraId="2CD5DE1F" w14:textId="5F4FCB1B" w:rsidR="000F6B30" w:rsidRDefault="000F6B30" w:rsidP="006878F9">
            <w:pPr>
              <w:rPr>
                <w:lang w:eastAsia="en-GB"/>
              </w:rPr>
            </w:pPr>
            <w:r w:rsidRPr="000F6B30">
              <w:rPr>
                <w:rStyle w:val="Strong"/>
              </w:rPr>
              <w:t>For example:</w:t>
            </w:r>
            <w:r w:rsidRPr="00FF4395">
              <w:rPr>
                <w:lang w:eastAsia="en-GB"/>
              </w:rPr>
              <w:t xml:space="preserve"> Attaching something to a physical feature, such as a wall, with a screw is unlikely to amount to an alteration of the physical feature. However, something more significant, such as installing a concrete ram</w:t>
            </w:r>
            <w:r w:rsidR="00302AAA">
              <w:rPr>
                <w:lang w:eastAsia="en-GB"/>
              </w:rPr>
              <w:t>p between a step and a path, is </w:t>
            </w:r>
            <w:r w:rsidRPr="00FF4395">
              <w:rPr>
                <w:lang w:eastAsia="en-GB"/>
              </w:rPr>
              <w:t>likely to amount to an alteration of a physical feature.</w:t>
            </w:r>
          </w:p>
        </w:tc>
      </w:tr>
    </w:tbl>
    <w:p w14:paraId="17EA91CB" w14:textId="3C603CC3" w:rsidR="006878F9" w:rsidRPr="00FF4395" w:rsidRDefault="006878F9" w:rsidP="006878F9">
      <w:pPr>
        <w:rPr>
          <w:lang w:eastAsia="en-GB"/>
        </w:rPr>
      </w:pPr>
    </w:p>
    <w:p w14:paraId="070AB06C" w14:textId="2DD467A3" w:rsidR="006878F9" w:rsidRPr="00FF4395" w:rsidRDefault="006878F9" w:rsidP="006878F9">
      <w:pPr>
        <w:rPr>
          <w:lang w:eastAsia="en-GB"/>
        </w:rPr>
      </w:pPr>
      <w:r w:rsidRPr="00FF4395">
        <w:rPr>
          <w:lang w:eastAsia="en-GB"/>
        </w:rPr>
        <w:t>Things like the replacement or provision of any signs or notices, the replacement of any taps or door handles, the replacement, provision or adaptation of any doorbell or door entry system, changes to the colour of any surface</w:t>
      </w:r>
      <w:r w:rsidR="0074586B">
        <w:rPr>
          <w:lang w:eastAsia="en-GB"/>
        </w:rPr>
        <w:t xml:space="preserve"> (such as a wall or a door, for </w:t>
      </w:r>
      <w:r w:rsidRPr="00FF4395">
        <w:rPr>
          <w:lang w:eastAsia="en-GB"/>
        </w:rPr>
        <w:t>example) do not count as physical features, so the duty to make reasonable adjustments could require changes to them.</w:t>
      </w:r>
    </w:p>
    <w:p w14:paraId="401ECAD8" w14:textId="77777777" w:rsidR="006878F9" w:rsidRPr="00FF4395" w:rsidRDefault="006878F9" w:rsidP="006878F9">
      <w:pPr>
        <w:rPr>
          <w:lang w:eastAsia="en-GB"/>
        </w:rPr>
      </w:pPr>
      <w:r w:rsidRPr="00FF4395">
        <w:rPr>
          <w:lang w:eastAsia="en-GB"/>
        </w:rPr>
        <w:t>The same tests apply when deciding if an adjustment is a reasonable adjustment:</w:t>
      </w:r>
    </w:p>
    <w:p w14:paraId="78588F5D" w14:textId="77777777" w:rsidR="006878F9" w:rsidRPr="00FF4395" w:rsidRDefault="006878F9" w:rsidP="006878F9">
      <w:pPr>
        <w:pStyle w:val="ListBullet"/>
        <w:rPr>
          <w:lang w:eastAsia="en-GB"/>
        </w:rPr>
      </w:pPr>
      <w:r w:rsidRPr="00FF4395">
        <w:rPr>
          <w:lang w:eastAsia="en-GB"/>
        </w:rPr>
        <w:t>how effective the change will be in assisting the tenant or family member who needs the adjustment</w:t>
      </w:r>
    </w:p>
    <w:p w14:paraId="7880ED40" w14:textId="77777777" w:rsidR="006878F9" w:rsidRPr="00FF4395" w:rsidRDefault="006878F9" w:rsidP="006878F9">
      <w:pPr>
        <w:pStyle w:val="ListBullet"/>
        <w:rPr>
          <w:lang w:eastAsia="en-GB"/>
        </w:rPr>
      </w:pPr>
      <w:r w:rsidRPr="00FF4395">
        <w:rPr>
          <w:lang w:eastAsia="en-GB"/>
        </w:rPr>
        <w:t>whether it can actually be done</w:t>
      </w:r>
    </w:p>
    <w:p w14:paraId="051AA3DE" w14:textId="77777777" w:rsidR="006878F9" w:rsidRPr="00FF4395" w:rsidRDefault="006878F9" w:rsidP="006878F9">
      <w:pPr>
        <w:pStyle w:val="ListBullet"/>
        <w:rPr>
          <w:lang w:eastAsia="en-GB"/>
        </w:rPr>
      </w:pPr>
      <w:r w:rsidRPr="00FF4395">
        <w:rPr>
          <w:lang w:eastAsia="en-GB"/>
        </w:rPr>
        <w:t>the cost</w:t>
      </w:r>
    </w:p>
    <w:p w14:paraId="6A0D399D" w14:textId="77777777" w:rsidR="006878F9" w:rsidRPr="00FF4395" w:rsidRDefault="006878F9" w:rsidP="006878F9">
      <w:pPr>
        <w:pStyle w:val="ListBullet"/>
        <w:rPr>
          <w:lang w:eastAsia="en-GB"/>
        </w:rPr>
      </w:pPr>
      <w:r w:rsidRPr="00FF4395">
        <w:rPr>
          <w:lang w:eastAsia="en-GB"/>
        </w:rPr>
        <w:t>the controller’s resources and size.</w:t>
      </w:r>
    </w:p>
    <w:p w14:paraId="18681E32" w14:textId="77777777" w:rsidR="006878F9" w:rsidRPr="00FF4395" w:rsidRDefault="006878F9" w:rsidP="006878F9">
      <w:pPr>
        <w:rPr>
          <w:lang w:eastAsia="en-GB"/>
        </w:rPr>
      </w:pPr>
      <w:r w:rsidRPr="00FF4395">
        <w:rPr>
          <w:lang w:eastAsia="en-GB"/>
        </w:rPr>
        <w:t>Although a controller of premises is not required to alter physical features, there are specific rules about when a controller of premises must agree to tenants themselves making alterations to physical features of rented homes</w:t>
      </w:r>
      <w:r w:rsidR="001721DC">
        <w:rPr>
          <w:lang w:eastAsia="en-GB"/>
        </w:rPr>
        <w:t>.</w:t>
      </w:r>
      <w:r>
        <w:rPr>
          <w:lang w:eastAsia="en-GB"/>
        </w:rPr>
        <w:t xml:space="preserve"> </w:t>
      </w:r>
      <w:r w:rsidRPr="00FF4395">
        <w:rPr>
          <w:lang w:eastAsia="en-GB"/>
        </w:rPr>
        <w:t>In future, there may also be specific rules about the process to be followed when requests are made for alterations to shared areas or ‘common parts’ of buildings and this guidance will be updated to reflect these changes.</w:t>
      </w:r>
    </w:p>
    <w:p w14:paraId="6D5B15B0" w14:textId="69187C3E" w:rsidR="006878F9" w:rsidRPr="00FF4395" w:rsidRDefault="006878F9" w:rsidP="00921E87">
      <w:pPr>
        <w:pStyle w:val="L3Heading"/>
      </w:pPr>
      <w:bookmarkStart w:id="156" w:name="_Toc288557235"/>
      <w:bookmarkStart w:id="157" w:name="_Toc288575901"/>
      <w:bookmarkStart w:id="158" w:name="_Toc297124741"/>
      <w:bookmarkStart w:id="159" w:name="_Toc297300526"/>
      <w:r w:rsidRPr="00FF4395">
        <w:t>Transport</w:t>
      </w:r>
      <w:bookmarkEnd w:id="156"/>
      <w:bookmarkEnd w:id="157"/>
      <w:bookmarkEnd w:id="158"/>
      <w:bookmarkEnd w:id="159"/>
    </w:p>
    <w:p w14:paraId="5A5C039C" w14:textId="77777777" w:rsidR="006878F9" w:rsidRPr="00FF4395" w:rsidRDefault="006878F9" w:rsidP="006878F9">
      <w:pPr>
        <w:rPr>
          <w:lang w:eastAsia="en-GB"/>
        </w:rPr>
      </w:pPr>
      <w:r w:rsidRPr="00FF4395">
        <w:rPr>
          <w:lang w:eastAsia="en-GB"/>
        </w:rPr>
        <w:t>A transport provider’s duty to make reasonable adjustments so that disabled people can use services applies to the way vehicles are operated, for example, by requiring train or station staff to assist a person with a mobility impairment in getting on and off a train, or by a bus driver telling a visually impaired person when they have reached their stop. It may require a service to be provided in a different way.</w:t>
      </w:r>
    </w:p>
    <w:p w14:paraId="17036F7C" w14:textId="77777777" w:rsidR="006878F9" w:rsidRPr="00FF4395" w:rsidRDefault="006878F9" w:rsidP="006878F9">
      <w:pPr>
        <w:rPr>
          <w:lang w:eastAsia="en-GB"/>
        </w:rPr>
      </w:pPr>
      <w:r w:rsidRPr="00FF4395">
        <w:rPr>
          <w:lang w:eastAsia="en-GB"/>
        </w:rPr>
        <w:t>The duty to make reasonable adjustments also applies to adding auxiliary aids or equipment to existing vehicles, such as audio-visual passenger information, priority seating and contrasting handrails; these may be reasonable adjustments and, if so, the transport provider must provide them.</w:t>
      </w:r>
    </w:p>
    <w:p w14:paraId="79D8AC87" w14:textId="77777777" w:rsidR="006878F9" w:rsidRPr="00FF4395" w:rsidRDefault="006878F9" w:rsidP="006878F9">
      <w:pPr>
        <w:rPr>
          <w:lang w:eastAsia="en-GB"/>
        </w:rPr>
      </w:pPr>
      <w:r w:rsidRPr="00FF4395">
        <w:rPr>
          <w:lang w:eastAsia="en-GB"/>
        </w:rPr>
        <w:t>However, changes do not have to be made to physical features of existing land vehicles, except for some rental vehicles.</w:t>
      </w:r>
    </w:p>
    <w:p w14:paraId="085FB800" w14:textId="77777777" w:rsidR="006878F9" w:rsidRPr="00FF4395" w:rsidRDefault="006878F9" w:rsidP="006878F9">
      <w:pPr>
        <w:rPr>
          <w:lang w:eastAsia="en-GB"/>
        </w:rPr>
      </w:pPr>
      <w:r w:rsidRPr="00FF4395">
        <w:rPr>
          <w:lang w:eastAsia="en-GB"/>
        </w:rPr>
        <w:t>But some types of land vehicle must be replaced by a certain date with new vehicles, which do provide level access and a range of other equipment to make sure that they can be used by disabled people with a range of impairments.</w:t>
      </w:r>
    </w:p>
    <w:p w14:paraId="5B227C57" w14:textId="77777777" w:rsidR="006878F9" w:rsidRPr="001968E2" w:rsidRDefault="006878F9" w:rsidP="001968E2"/>
    <w:p w14:paraId="27705D03" w14:textId="77777777" w:rsidR="001968E2" w:rsidRPr="001968E2" w:rsidRDefault="001968E2" w:rsidP="001968E2">
      <w:pPr>
        <w:sectPr w:rsidR="001968E2" w:rsidRPr="001968E2" w:rsidSect="00D21EFB">
          <w:pgSz w:w="11906" w:h="16838" w:code="9"/>
          <w:pgMar w:top="1418" w:right="1418" w:bottom="1418" w:left="1418" w:header="624" w:footer="624" w:gutter="0"/>
          <w:cols w:space="720"/>
          <w:noEndnote/>
        </w:sectPr>
      </w:pPr>
      <w:bookmarkStart w:id="160" w:name="_Toc288557236"/>
      <w:bookmarkStart w:id="161" w:name="_Toc288575902"/>
    </w:p>
    <w:p w14:paraId="5508F31D" w14:textId="2DFB942D" w:rsidR="006878F9" w:rsidRPr="005E79F4" w:rsidRDefault="006878F9" w:rsidP="00921E87">
      <w:pPr>
        <w:pStyle w:val="L1Headers"/>
      </w:pPr>
      <w:bookmarkStart w:id="162" w:name="chapter5"/>
      <w:bookmarkStart w:id="163" w:name="_Toc297300527"/>
      <w:bookmarkEnd w:id="162"/>
      <w:r w:rsidRPr="005E79F4">
        <w:t>What to do if you believe you’ve been discriminated against</w:t>
      </w:r>
      <w:bookmarkEnd w:id="160"/>
      <w:bookmarkEnd w:id="161"/>
      <w:bookmarkEnd w:id="163"/>
    </w:p>
    <w:p w14:paraId="536393C0" w14:textId="77777777" w:rsidR="006878F9" w:rsidRPr="00441E10" w:rsidRDefault="006878F9" w:rsidP="006878F9">
      <w:pPr>
        <w:rPr>
          <w:lang w:eastAsia="en-GB"/>
        </w:rPr>
      </w:pPr>
      <w:r w:rsidRPr="00441E10">
        <w:rPr>
          <w:lang w:eastAsia="en-GB"/>
        </w:rPr>
        <w:t xml:space="preserve">If you believe someone has </w:t>
      </w:r>
      <w:r w:rsidRPr="00D04749">
        <w:rPr>
          <w:lang w:eastAsia="en-GB"/>
        </w:rPr>
        <w:t>unlawfully discriminated</w:t>
      </w:r>
      <w:r w:rsidRPr="00441E10">
        <w:rPr>
          <w:lang w:eastAsia="en-GB"/>
        </w:rPr>
        <w:t xml:space="preserve"> against you, </w:t>
      </w:r>
      <w:r w:rsidRPr="001968E2">
        <w:rPr>
          <w:rStyle w:val="Strong"/>
        </w:rPr>
        <w:t>harassed</w:t>
      </w:r>
      <w:r w:rsidRPr="00441E10">
        <w:rPr>
          <w:lang w:eastAsia="en-GB"/>
        </w:rPr>
        <w:t xml:space="preserve"> or </w:t>
      </w:r>
      <w:r w:rsidRPr="001968E2">
        <w:rPr>
          <w:rStyle w:val="Strong"/>
        </w:rPr>
        <w:t>victimised</w:t>
      </w:r>
      <w:r w:rsidRPr="00441E10">
        <w:rPr>
          <w:lang w:eastAsia="en-GB"/>
        </w:rPr>
        <w:t xml:space="preserve"> you in relation to the </w:t>
      </w:r>
      <w:r w:rsidRPr="001968E2">
        <w:rPr>
          <w:rStyle w:val="Strong"/>
        </w:rPr>
        <w:t>goods, facilities</w:t>
      </w:r>
      <w:r w:rsidRPr="00441E10">
        <w:rPr>
          <w:lang w:eastAsia="en-GB"/>
        </w:rPr>
        <w:t xml:space="preserve"> or </w:t>
      </w:r>
      <w:r w:rsidRPr="001968E2">
        <w:rPr>
          <w:rStyle w:val="Strong"/>
        </w:rPr>
        <w:t>services</w:t>
      </w:r>
      <w:r w:rsidRPr="00441E10">
        <w:rPr>
          <w:lang w:eastAsia="en-GB"/>
        </w:rPr>
        <w:t xml:space="preserve">, or </w:t>
      </w:r>
      <w:r w:rsidRPr="001968E2">
        <w:rPr>
          <w:rStyle w:val="Strong"/>
        </w:rPr>
        <w:t>public functions</w:t>
      </w:r>
      <w:r w:rsidRPr="00441E10">
        <w:rPr>
          <w:lang w:eastAsia="en-GB"/>
        </w:rPr>
        <w:t xml:space="preserve"> they provide, or an association they run, what can you do about it?</w:t>
      </w:r>
    </w:p>
    <w:p w14:paraId="2E27FC07" w14:textId="77777777" w:rsidR="006878F9" w:rsidRPr="00441E10" w:rsidRDefault="006878F9" w:rsidP="006878F9">
      <w:pPr>
        <w:rPr>
          <w:lang w:eastAsia="en-GB"/>
        </w:rPr>
      </w:pPr>
      <w:r w:rsidRPr="00441E10">
        <w:rPr>
          <w:lang w:eastAsia="en-GB"/>
        </w:rPr>
        <w:t>This part of this guide:</w:t>
      </w:r>
    </w:p>
    <w:p w14:paraId="4EFC52C3" w14:textId="77777777" w:rsidR="006878F9" w:rsidRPr="00441E10" w:rsidRDefault="006878F9" w:rsidP="006878F9">
      <w:pPr>
        <w:pStyle w:val="ListBullet"/>
        <w:rPr>
          <w:lang w:eastAsia="en-GB"/>
        </w:rPr>
      </w:pPr>
      <w:r w:rsidRPr="00441E10">
        <w:rPr>
          <w:lang w:eastAsia="en-GB"/>
        </w:rPr>
        <w:t>tells you what your choices are</w:t>
      </w:r>
    </w:p>
    <w:p w14:paraId="40FFE1D9" w14:textId="77777777" w:rsidR="006878F9" w:rsidRPr="00441E10" w:rsidRDefault="006878F9" w:rsidP="006878F9">
      <w:pPr>
        <w:pStyle w:val="ListBullet"/>
        <w:rPr>
          <w:lang w:eastAsia="en-GB"/>
        </w:rPr>
      </w:pPr>
      <w:r w:rsidRPr="00441E10">
        <w:rPr>
          <w:lang w:eastAsia="en-GB"/>
        </w:rPr>
        <w:t>suggests how you can decide if what happened was against equality law</w:t>
      </w:r>
    </w:p>
    <w:p w14:paraId="338827F6" w14:textId="77777777" w:rsidR="006878F9" w:rsidRPr="00441E10" w:rsidRDefault="006878F9" w:rsidP="006878F9">
      <w:pPr>
        <w:pStyle w:val="ListBullet"/>
        <w:rPr>
          <w:lang w:eastAsia="en-GB"/>
        </w:rPr>
      </w:pPr>
      <w:r w:rsidRPr="00441E10">
        <w:rPr>
          <w:lang w:eastAsia="en-GB"/>
        </w:rPr>
        <w:t>suggests ways you might be able to sort out the situation with the person or organisation directly</w:t>
      </w:r>
    </w:p>
    <w:p w14:paraId="0971D1F3" w14:textId="77777777" w:rsidR="006878F9" w:rsidRPr="00441E10" w:rsidRDefault="006878F9" w:rsidP="006878F9">
      <w:pPr>
        <w:pStyle w:val="ListBullet"/>
        <w:rPr>
          <w:lang w:eastAsia="en-GB"/>
        </w:rPr>
      </w:pPr>
      <w:r w:rsidRPr="00441E10">
        <w:rPr>
          <w:lang w:eastAsia="en-GB"/>
        </w:rPr>
        <w:t xml:space="preserve">tells you where to find information about what is called </w:t>
      </w:r>
      <w:r w:rsidR="004579F6">
        <w:rPr>
          <w:lang w:eastAsia="en-GB"/>
        </w:rPr>
        <w:t>‘</w:t>
      </w:r>
      <w:r w:rsidRPr="00441E10">
        <w:rPr>
          <w:lang w:eastAsia="en-GB"/>
        </w:rPr>
        <w:t>alternative dispute resolution</w:t>
      </w:r>
      <w:r w:rsidR="004579F6">
        <w:rPr>
          <w:lang w:eastAsia="en-GB"/>
        </w:rPr>
        <w:t>’</w:t>
      </w:r>
      <w:r w:rsidRPr="00441E10">
        <w:rPr>
          <w:lang w:eastAsia="en-GB"/>
        </w:rPr>
        <w:t xml:space="preserve"> (asking someone else, but not a court, to sort out the situation) </w:t>
      </w:r>
    </w:p>
    <w:p w14:paraId="6E9018FD" w14:textId="77777777" w:rsidR="006878F9" w:rsidRPr="00441E10" w:rsidRDefault="006878F9" w:rsidP="006878F9">
      <w:pPr>
        <w:pStyle w:val="ListBullet"/>
        <w:rPr>
          <w:lang w:eastAsia="en-GB"/>
        </w:rPr>
      </w:pPr>
      <w:r w:rsidRPr="00441E10">
        <w:rPr>
          <w:lang w:eastAsia="en-GB"/>
        </w:rPr>
        <w:t>explains the questions procedure, which you can use to find out more information from a person or organisation if you believe you may have been unlawfully discriminated against, harassed or victimised</w:t>
      </w:r>
    </w:p>
    <w:p w14:paraId="291B8737" w14:textId="77777777" w:rsidR="006878F9" w:rsidRPr="00441E10" w:rsidRDefault="006878F9" w:rsidP="006878F9">
      <w:pPr>
        <w:pStyle w:val="ListBullet"/>
        <w:rPr>
          <w:lang w:eastAsia="en-GB"/>
        </w:rPr>
      </w:pPr>
      <w:r w:rsidRPr="00441E10">
        <w:rPr>
          <w:lang w:eastAsia="en-GB"/>
        </w:rPr>
        <w:t>explains some key points about court procedures in discrimination cases relating to claims outside the workplace:</w:t>
      </w:r>
    </w:p>
    <w:p w14:paraId="201F12A3" w14:textId="77777777" w:rsidR="006878F9" w:rsidRPr="00441E10" w:rsidRDefault="006878F9" w:rsidP="00921E87">
      <w:pPr>
        <w:pStyle w:val="ListBullet2"/>
      </w:pPr>
      <w:r w:rsidRPr="00441E10">
        <w:t>where claims are brought</w:t>
      </w:r>
    </w:p>
    <w:p w14:paraId="631ABFE5" w14:textId="77777777" w:rsidR="006878F9" w:rsidRPr="00441E10" w:rsidRDefault="006878F9" w:rsidP="00921E87">
      <w:pPr>
        <w:pStyle w:val="ListBullet2"/>
      </w:pPr>
      <w:r w:rsidRPr="00441E10">
        <w:t>time limits for making a claim</w:t>
      </w:r>
    </w:p>
    <w:p w14:paraId="14409560" w14:textId="77777777" w:rsidR="006878F9" w:rsidRPr="00441E10" w:rsidRDefault="006878F9" w:rsidP="00921E87">
      <w:pPr>
        <w:pStyle w:val="ListBullet2"/>
      </w:pPr>
      <w:r w:rsidRPr="00441E10">
        <w:t>the standard and burden of proof</w:t>
      </w:r>
    </w:p>
    <w:p w14:paraId="0CAF4DE8" w14:textId="77777777" w:rsidR="006878F9" w:rsidRPr="00441E10" w:rsidRDefault="006878F9" w:rsidP="00921E87">
      <w:pPr>
        <w:pStyle w:val="ListBullet2"/>
      </w:pPr>
      <w:r w:rsidRPr="00441E10">
        <w:t>what the court can order a person or organisation to do</w:t>
      </w:r>
    </w:p>
    <w:p w14:paraId="3C4C8271" w14:textId="77777777" w:rsidR="006878F9" w:rsidRPr="00441E10" w:rsidRDefault="006878F9" w:rsidP="006878F9">
      <w:pPr>
        <w:pStyle w:val="ListBullet"/>
        <w:rPr>
          <w:lang w:eastAsia="en-GB"/>
        </w:rPr>
      </w:pPr>
      <w:r w:rsidRPr="00441E10">
        <w:rPr>
          <w:lang w:eastAsia="en-GB"/>
        </w:rPr>
        <w:t>tells you where to find out more about making a claim in court.</w:t>
      </w:r>
    </w:p>
    <w:p w14:paraId="35F2EB5C" w14:textId="77777777" w:rsidR="001968E2" w:rsidRPr="001968E2" w:rsidRDefault="001968E2" w:rsidP="001968E2">
      <w:bookmarkStart w:id="164" w:name="_Toc288557237"/>
      <w:bookmarkStart w:id="165" w:name="_Toc288575903"/>
      <w:r w:rsidRPr="001968E2">
        <w:br w:type="page"/>
      </w:r>
    </w:p>
    <w:p w14:paraId="5E34F5A0" w14:textId="1CAD0DB0" w:rsidR="006878F9" w:rsidRPr="00441E10" w:rsidRDefault="006878F9" w:rsidP="00921E87">
      <w:pPr>
        <w:pStyle w:val="L2Headers"/>
        <w:rPr>
          <w:lang w:eastAsia="en-GB"/>
        </w:rPr>
      </w:pPr>
      <w:bookmarkStart w:id="166" w:name="_Toc297124742"/>
      <w:bookmarkStart w:id="167" w:name="_Toc297300528"/>
      <w:r w:rsidRPr="00441E10">
        <w:rPr>
          <w:lang w:eastAsia="en-GB"/>
        </w:rPr>
        <w:t>Your choices</w:t>
      </w:r>
      <w:bookmarkEnd w:id="164"/>
      <w:bookmarkEnd w:id="165"/>
      <w:bookmarkEnd w:id="166"/>
      <w:bookmarkEnd w:id="167"/>
    </w:p>
    <w:p w14:paraId="30BFED64" w14:textId="77777777" w:rsidR="006878F9" w:rsidRPr="00441E10" w:rsidRDefault="006878F9" w:rsidP="006878F9">
      <w:pPr>
        <w:rPr>
          <w:lang w:eastAsia="en-GB"/>
        </w:rPr>
      </w:pPr>
      <w:r w:rsidRPr="00441E10">
        <w:rPr>
          <w:lang w:eastAsia="en-GB"/>
        </w:rPr>
        <w:t>There are three things you can do:</w:t>
      </w:r>
    </w:p>
    <w:p w14:paraId="4E02EF3E" w14:textId="77777777" w:rsidR="006878F9" w:rsidRPr="00441E10" w:rsidRDefault="006878F9" w:rsidP="006878F9">
      <w:pPr>
        <w:pStyle w:val="ListBullet"/>
        <w:rPr>
          <w:lang w:eastAsia="en-GB"/>
        </w:rPr>
      </w:pPr>
      <w:r w:rsidRPr="00441E10">
        <w:rPr>
          <w:lang w:eastAsia="en-GB"/>
        </w:rPr>
        <w:t>Complain directly to the person or organisation.</w:t>
      </w:r>
    </w:p>
    <w:p w14:paraId="61A0F629" w14:textId="77777777" w:rsidR="006878F9" w:rsidRPr="00441E10" w:rsidRDefault="006878F9" w:rsidP="006878F9">
      <w:pPr>
        <w:pStyle w:val="ListBullet"/>
        <w:rPr>
          <w:lang w:eastAsia="en-GB"/>
        </w:rPr>
      </w:pPr>
      <w:r w:rsidRPr="00441E10">
        <w:rPr>
          <w:lang w:eastAsia="en-GB"/>
        </w:rPr>
        <w:t>Use someone else to help you sort it out (alternative dispute resolution).</w:t>
      </w:r>
    </w:p>
    <w:p w14:paraId="77107E86" w14:textId="77777777" w:rsidR="006878F9" w:rsidRPr="00441E10" w:rsidRDefault="006878F9" w:rsidP="006878F9">
      <w:pPr>
        <w:pStyle w:val="ListBullet"/>
        <w:rPr>
          <w:lang w:eastAsia="en-GB"/>
        </w:rPr>
      </w:pPr>
      <w:r w:rsidRPr="00441E10">
        <w:rPr>
          <w:lang w:eastAsia="en-GB"/>
        </w:rPr>
        <w:t>Make a claim in court.</w:t>
      </w:r>
    </w:p>
    <w:p w14:paraId="4ED2CFA4" w14:textId="6F1022F1" w:rsidR="006878F9" w:rsidRPr="00441E10" w:rsidRDefault="006878F9" w:rsidP="006878F9">
      <w:pPr>
        <w:rPr>
          <w:lang w:eastAsia="en-GB"/>
        </w:rPr>
      </w:pPr>
      <w:r w:rsidRPr="00441E10">
        <w:rPr>
          <w:lang w:eastAsia="en-GB"/>
        </w:rPr>
        <w:t>You do not have to choose only one of these. Instead,</w:t>
      </w:r>
      <w:r w:rsidR="001968E2">
        <w:rPr>
          <w:lang w:eastAsia="en-GB"/>
        </w:rPr>
        <w:t xml:space="preserve"> you could try them in turn. If </w:t>
      </w:r>
      <w:r w:rsidRPr="00441E10">
        <w:rPr>
          <w:lang w:eastAsia="en-GB"/>
        </w:rPr>
        <w:t>the first does not work, you could try the second, and if that is also unsuccessful, you could make a claim in court.</w:t>
      </w:r>
    </w:p>
    <w:p w14:paraId="0874B540" w14:textId="77777777" w:rsidR="006878F9" w:rsidRPr="00441E10" w:rsidRDefault="006878F9" w:rsidP="006878F9">
      <w:pPr>
        <w:rPr>
          <w:lang w:eastAsia="en-GB"/>
        </w:rPr>
      </w:pPr>
      <w:r w:rsidRPr="00441E10">
        <w:rPr>
          <w:lang w:eastAsia="en-GB"/>
        </w:rPr>
        <w:t>Just be aware that if you do decide to make a claim in court, you need to tell the court about your claim (by filling in a form and paying a fee) within six months of what happened.</w:t>
      </w:r>
    </w:p>
    <w:p w14:paraId="005A1698" w14:textId="212DC037" w:rsidR="006878F9" w:rsidRPr="00441E10" w:rsidRDefault="006878F9" w:rsidP="006878F9">
      <w:pPr>
        <w:rPr>
          <w:lang w:eastAsia="en-GB"/>
        </w:rPr>
      </w:pPr>
      <w:r w:rsidRPr="00441E10">
        <w:rPr>
          <w:lang w:eastAsia="en-GB"/>
        </w:rPr>
        <w:t>You do not have to go first to the person or organisation you believe discriminated against you or harassed or victimised you or to anyon</w:t>
      </w:r>
      <w:r w:rsidR="0074586B">
        <w:rPr>
          <w:lang w:eastAsia="en-GB"/>
        </w:rPr>
        <w:t>e else before making a claim in </w:t>
      </w:r>
      <w:r w:rsidRPr="00441E10">
        <w:rPr>
          <w:lang w:eastAsia="en-GB"/>
        </w:rPr>
        <w:t>court.</w:t>
      </w:r>
    </w:p>
    <w:p w14:paraId="1B217D7E" w14:textId="77777777" w:rsidR="006878F9" w:rsidRPr="00441E10" w:rsidRDefault="006878F9" w:rsidP="006878F9">
      <w:pPr>
        <w:rPr>
          <w:lang w:eastAsia="en-GB"/>
        </w:rPr>
      </w:pPr>
      <w:r w:rsidRPr="00441E10">
        <w:rPr>
          <w:lang w:eastAsia="en-GB"/>
        </w:rPr>
        <w:t>You can, if you want to, make a claim in court straight away. But do think carefully about whether making a claim in court is the right course of action for you.</w:t>
      </w:r>
    </w:p>
    <w:p w14:paraId="6ED80E0F" w14:textId="77777777" w:rsidR="006878F9" w:rsidRPr="00441E10" w:rsidRDefault="006878F9" w:rsidP="006878F9">
      <w:pPr>
        <w:rPr>
          <w:lang w:eastAsia="en-GB"/>
        </w:rPr>
      </w:pPr>
      <w:r w:rsidRPr="00441E10">
        <w:rPr>
          <w:lang w:eastAsia="en-GB"/>
        </w:rPr>
        <w:t>Making a claim may be demanding on your time and emotions, and before starting the process you may want to look at whether or not you have a good chance of succeeding.</w:t>
      </w:r>
      <w:r w:rsidR="009B677B">
        <w:rPr>
          <w:lang w:eastAsia="en-GB"/>
        </w:rPr>
        <w:t xml:space="preserve"> If you are not successful, you may have to pay some or all of the other side’s legal costs and expenses of defending the claim. </w:t>
      </w:r>
      <w:r w:rsidRPr="00441E10">
        <w:rPr>
          <w:lang w:eastAsia="en-GB"/>
        </w:rPr>
        <w:t xml:space="preserve"> You may also want to see if there are better ways of sorting out your complaint.</w:t>
      </w:r>
    </w:p>
    <w:p w14:paraId="71A04205" w14:textId="77777777" w:rsidR="006878F9" w:rsidRPr="00441E10" w:rsidRDefault="006878F9" w:rsidP="00921E87">
      <w:pPr>
        <w:pStyle w:val="L2Headers"/>
        <w:rPr>
          <w:lang w:eastAsia="en-GB"/>
        </w:rPr>
      </w:pPr>
      <w:bookmarkStart w:id="168" w:name="_Toc288557238"/>
      <w:bookmarkStart w:id="169" w:name="_Toc288575904"/>
      <w:bookmarkStart w:id="170" w:name="_Toc297124743"/>
      <w:bookmarkStart w:id="171" w:name="_Toc297300529"/>
      <w:r w:rsidRPr="00441E10">
        <w:rPr>
          <w:lang w:eastAsia="en-GB"/>
        </w:rPr>
        <w:t>Was what happened against equality law?</w:t>
      </w:r>
      <w:bookmarkEnd w:id="168"/>
      <w:bookmarkEnd w:id="169"/>
      <w:bookmarkEnd w:id="170"/>
      <w:bookmarkEnd w:id="171"/>
    </w:p>
    <w:p w14:paraId="3F874AB5" w14:textId="12F6A776" w:rsidR="001968E2" w:rsidRDefault="006878F9" w:rsidP="006878F9">
      <w:pPr>
        <w:rPr>
          <w:lang w:eastAsia="en-GB"/>
        </w:rPr>
      </w:pPr>
      <w:r w:rsidRPr="00441E10">
        <w:rPr>
          <w:lang w:eastAsia="en-GB"/>
        </w:rPr>
        <w:t xml:space="preserve">Write down what happened as soon as you can after it happened, or tell someone else about it so they can write it down. Put in as much detail as you can about who was involved and what was said or done. Remember, the problem will sometimes be that something was not done. </w:t>
      </w:r>
    </w:p>
    <w:p w14:paraId="3A46A225" w14:textId="42C74367" w:rsidR="0074586B" w:rsidRPr="00441E10" w:rsidRDefault="0074586B" w:rsidP="0074586B">
      <w:pPr>
        <w:spacing w:before="0" w:after="0" w:line="240" w:lineRule="auto"/>
        <w:rPr>
          <w:lang w:eastAsia="en-GB"/>
        </w:rPr>
      </w:pPr>
      <w:r>
        <w:rPr>
          <w:lang w:eastAsia="en-GB"/>
        </w:rPr>
        <w:br w:type="page"/>
      </w:r>
    </w:p>
    <w:tbl>
      <w:tblPr>
        <w:tblStyle w:val="TableGrid"/>
        <w:tblW w:w="5000" w:type="pct"/>
        <w:tblLook w:val="04A0" w:firstRow="1" w:lastRow="0" w:firstColumn="1" w:lastColumn="0" w:noHBand="0" w:noVBand="1"/>
      </w:tblPr>
      <w:tblGrid>
        <w:gridCol w:w="9286"/>
      </w:tblGrid>
      <w:tr w:rsidR="001968E2" w14:paraId="7E85F18B" w14:textId="77777777" w:rsidTr="001968E2">
        <w:tc>
          <w:tcPr>
            <w:tcW w:w="5000" w:type="pct"/>
            <w:tcBorders>
              <w:top w:val="nil"/>
              <w:left w:val="nil"/>
              <w:bottom w:val="nil"/>
              <w:right w:val="nil"/>
            </w:tcBorders>
            <w:shd w:val="clear" w:color="auto" w:fill="DBE5F1" w:themeFill="accent1" w:themeFillTint="33"/>
          </w:tcPr>
          <w:p w14:paraId="5A9B7C3A" w14:textId="77777777" w:rsidR="001968E2" w:rsidRPr="001968E2" w:rsidRDefault="001968E2" w:rsidP="001968E2">
            <w:pPr>
              <w:rPr>
                <w:rStyle w:val="Strong"/>
              </w:rPr>
            </w:pPr>
            <w:r w:rsidRPr="001968E2">
              <w:rPr>
                <w:rStyle w:val="Strong"/>
              </w:rPr>
              <w:t xml:space="preserve">For example: </w:t>
            </w:r>
          </w:p>
          <w:p w14:paraId="395B16E8" w14:textId="19F9A9B8" w:rsidR="001968E2" w:rsidRPr="00441E10" w:rsidRDefault="001968E2" w:rsidP="001968E2">
            <w:pPr>
              <w:pStyle w:val="ListBullet"/>
            </w:pPr>
            <w:r w:rsidRPr="00441E10">
              <w:t xml:space="preserve">If you are a disabled person and you asked for a </w:t>
            </w:r>
            <w:r w:rsidRPr="001968E2">
              <w:rPr>
                <w:rStyle w:val="Strong"/>
              </w:rPr>
              <w:t>reasonable adjustment</w:t>
            </w:r>
            <w:r w:rsidRPr="00441E10">
              <w:t xml:space="preserve"> which was not made.</w:t>
            </w:r>
          </w:p>
          <w:p w14:paraId="60718847" w14:textId="40357BC5" w:rsidR="001968E2" w:rsidRDefault="001968E2" w:rsidP="006878F9">
            <w:pPr>
              <w:pStyle w:val="ListBullet"/>
            </w:pPr>
            <w:r w:rsidRPr="00441E10">
              <w:t>If someone did not change a decision they had made or stop applying a rule or way of doing things and this had a worse impact on you and other people with the same protected characteristic (</w:t>
            </w:r>
            <w:r w:rsidRPr="001968E2">
              <w:rPr>
                <w:rStyle w:val="Strong"/>
              </w:rPr>
              <w:t>indirect discrimination</w:t>
            </w:r>
            <w:r w:rsidRPr="00441E10">
              <w:t>).</w:t>
            </w:r>
          </w:p>
        </w:tc>
      </w:tr>
    </w:tbl>
    <w:p w14:paraId="5D7892B1" w14:textId="49E7BD62" w:rsidR="006878F9" w:rsidRPr="00441E10" w:rsidRDefault="006878F9" w:rsidP="006878F9">
      <w:pPr>
        <w:rPr>
          <w:lang w:eastAsia="en-GB"/>
        </w:rPr>
      </w:pPr>
      <w:r w:rsidRPr="00441E10">
        <w:rPr>
          <w:lang w:eastAsia="en-GB"/>
        </w:rPr>
        <w:t>Read the rest of this guide. Does what happened sound like any of the things we say a person or organisation must or must not do?</w:t>
      </w:r>
    </w:p>
    <w:p w14:paraId="75A0875C" w14:textId="6C6D9436" w:rsidR="006878F9" w:rsidRPr="00441E10" w:rsidRDefault="006878F9" w:rsidP="006878F9">
      <w:pPr>
        <w:rPr>
          <w:lang w:eastAsia="en-GB"/>
        </w:rPr>
      </w:pPr>
      <w:r w:rsidRPr="00441E10">
        <w:rPr>
          <w:lang w:eastAsia="en-GB"/>
        </w:rPr>
        <w:t>Sometimes it is difficult to work out if what happened is against equality law. You need to show that your protected characteristics play</w:t>
      </w:r>
      <w:r w:rsidR="001968E2">
        <w:rPr>
          <w:lang w:eastAsia="en-GB"/>
        </w:rPr>
        <w:t>ed a part in what happened. The </w:t>
      </w:r>
      <w:r w:rsidRPr="00441E10">
        <w:rPr>
          <w:lang w:eastAsia="en-GB"/>
        </w:rPr>
        <w:t>rest of this guide tells you more about what this means for the different types of unlawful discrimination or for harassment or victimisation.</w:t>
      </w:r>
    </w:p>
    <w:p w14:paraId="2A75C651" w14:textId="3EF9A974" w:rsidR="006878F9" w:rsidRPr="00441E10" w:rsidRDefault="006878F9" w:rsidP="006878F9">
      <w:pPr>
        <w:rPr>
          <w:lang w:eastAsia="en-GB"/>
        </w:rPr>
      </w:pPr>
      <w:r w:rsidRPr="00441E10">
        <w:rPr>
          <w:lang w:eastAsia="en-GB"/>
        </w:rPr>
        <w:t>If you think you need more information from the person or organisation before deciding what to do, then you can use the questions</w:t>
      </w:r>
      <w:r w:rsidR="00590F8B">
        <w:rPr>
          <w:lang w:eastAsia="en-GB"/>
        </w:rPr>
        <w:t xml:space="preserve"> procedure, which we explain </w:t>
      </w:r>
      <w:r w:rsidR="00590F8B" w:rsidRPr="00590F8B">
        <w:rPr>
          <w:lang w:eastAsia="en-GB"/>
        </w:rPr>
        <w:t>at </w:t>
      </w:r>
      <w:hyperlink w:anchor="questionsprocedures" w:history="1">
        <w:r w:rsidR="00163C2A" w:rsidRPr="00590F8B">
          <w:rPr>
            <w:rStyle w:val="Hyperlink"/>
            <w:rFonts w:cs="Times New Roman"/>
            <w:szCs w:val="24"/>
            <w:lang w:eastAsia="en-GB"/>
          </w:rPr>
          <w:t xml:space="preserve">page </w:t>
        </w:r>
        <w:r w:rsidR="00D438E0" w:rsidRPr="00590F8B">
          <w:rPr>
            <w:rStyle w:val="Hyperlink"/>
            <w:rFonts w:cs="Times New Roman"/>
            <w:szCs w:val="24"/>
            <w:lang w:eastAsia="en-GB"/>
          </w:rPr>
          <w:t>58</w:t>
        </w:r>
      </w:hyperlink>
      <w:r w:rsidRPr="00590F8B">
        <w:rPr>
          <w:lang w:eastAsia="en-GB"/>
        </w:rPr>
        <w:t>.</w:t>
      </w:r>
    </w:p>
    <w:p w14:paraId="0345C881" w14:textId="77777777" w:rsidR="006878F9" w:rsidRPr="00441E10" w:rsidRDefault="006878F9" w:rsidP="006878F9">
      <w:pPr>
        <w:rPr>
          <w:lang w:eastAsia="en-GB"/>
        </w:rPr>
      </w:pPr>
      <w:r w:rsidRPr="00441E10">
        <w:rPr>
          <w:lang w:eastAsia="en-GB"/>
        </w:rPr>
        <w:t>If you feel you need to get more advice on whether what happened was against equality law, you will find information on places where you can get help</w:t>
      </w:r>
      <w:r>
        <w:rPr>
          <w:lang w:eastAsia="en-GB"/>
        </w:rPr>
        <w:t xml:space="preserve"> </w:t>
      </w:r>
      <w:r w:rsidR="004579F6">
        <w:rPr>
          <w:lang w:eastAsia="en-GB"/>
        </w:rPr>
        <w:t>‘</w:t>
      </w:r>
      <w:r w:rsidRPr="001721DC">
        <w:rPr>
          <w:lang w:eastAsia="en-GB"/>
        </w:rPr>
        <w:t>Further sources of information and advice</w:t>
      </w:r>
      <w:r w:rsidR="004579F6">
        <w:rPr>
          <w:lang w:eastAsia="en-GB"/>
        </w:rPr>
        <w:t>’</w:t>
      </w:r>
      <w:r w:rsidRPr="00441E10">
        <w:rPr>
          <w:lang w:eastAsia="en-GB"/>
        </w:rPr>
        <w:t xml:space="preserve">. </w:t>
      </w:r>
    </w:p>
    <w:p w14:paraId="27299D62" w14:textId="77777777" w:rsidR="006878F9" w:rsidRPr="00441E10" w:rsidRDefault="006878F9" w:rsidP="00921E87">
      <w:pPr>
        <w:pStyle w:val="L3Heading"/>
      </w:pPr>
      <w:bookmarkStart w:id="172" w:name="_Toc288557239"/>
      <w:bookmarkStart w:id="173" w:name="_Toc288575905"/>
      <w:bookmarkStart w:id="174" w:name="_Toc297124744"/>
      <w:bookmarkStart w:id="175" w:name="_Toc297300530"/>
      <w:r w:rsidRPr="00441E10">
        <w:t>Complaining directly to the person or organisation</w:t>
      </w:r>
      <w:bookmarkEnd w:id="172"/>
      <w:bookmarkEnd w:id="173"/>
      <w:bookmarkEnd w:id="174"/>
      <w:bookmarkEnd w:id="175"/>
    </w:p>
    <w:p w14:paraId="02878C01" w14:textId="2A7815A5" w:rsidR="006878F9" w:rsidRPr="00441E10" w:rsidRDefault="006878F9" w:rsidP="006878F9">
      <w:pPr>
        <w:rPr>
          <w:lang w:eastAsia="en-GB"/>
        </w:rPr>
      </w:pPr>
      <w:r w:rsidRPr="00441E10">
        <w:rPr>
          <w:lang w:eastAsia="en-GB"/>
        </w:rPr>
        <w:t>Whether you contact the person or organisation direct will depend on what happened, how badly it has affected you, who it is possible to contact and how it is possible to contact them.</w:t>
      </w:r>
    </w:p>
    <w:p w14:paraId="2512ACD9" w14:textId="5BE3257E" w:rsidR="006878F9" w:rsidRPr="00441E10" w:rsidRDefault="006878F9" w:rsidP="006878F9">
      <w:pPr>
        <w:rPr>
          <w:lang w:eastAsia="en-GB"/>
        </w:rPr>
      </w:pPr>
      <w:r w:rsidRPr="00441E10">
        <w:rPr>
          <w:lang w:eastAsia="en-GB"/>
        </w:rPr>
        <w:t>Even if you don’t at this stage get advice from one of the places we suggest or from a lawyer, you can always ask a friend or someone else you know to help you work out what to write or say.</w:t>
      </w:r>
    </w:p>
    <w:p w14:paraId="587DDA4C" w14:textId="77777777" w:rsidR="006878F9" w:rsidRPr="00441E10" w:rsidRDefault="006878F9" w:rsidP="006878F9">
      <w:pPr>
        <w:rPr>
          <w:lang w:eastAsia="en-GB"/>
        </w:rPr>
      </w:pPr>
      <w:r w:rsidRPr="00441E10">
        <w:rPr>
          <w:lang w:eastAsia="en-GB"/>
        </w:rPr>
        <w:t>Follow any instructions the person or organisation gives you about how to comment, complain or give feedback. For example, they may ask you to contact:</w:t>
      </w:r>
    </w:p>
    <w:p w14:paraId="6F2C81CE" w14:textId="77777777" w:rsidR="006878F9" w:rsidRPr="00441E10" w:rsidRDefault="006878F9" w:rsidP="006878F9">
      <w:pPr>
        <w:pStyle w:val="ListBullet"/>
        <w:rPr>
          <w:lang w:eastAsia="en-GB"/>
        </w:rPr>
      </w:pPr>
      <w:r w:rsidRPr="00441E10">
        <w:rPr>
          <w:lang w:eastAsia="en-GB"/>
        </w:rPr>
        <w:t>special telephone number or email address or postal address, or</w:t>
      </w:r>
    </w:p>
    <w:p w14:paraId="197CA0C4" w14:textId="77777777" w:rsidR="006878F9" w:rsidRPr="00441E10" w:rsidRDefault="006878F9" w:rsidP="006878F9">
      <w:pPr>
        <w:pStyle w:val="ListBullet"/>
        <w:rPr>
          <w:lang w:eastAsia="en-GB"/>
        </w:rPr>
      </w:pPr>
      <w:r w:rsidRPr="00441E10">
        <w:rPr>
          <w:lang w:eastAsia="en-GB"/>
        </w:rPr>
        <w:t>a particular person.</w:t>
      </w:r>
    </w:p>
    <w:p w14:paraId="224C4436" w14:textId="77777777" w:rsidR="001968E2" w:rsidRDefault="006878F9" w:rsidP="006878F9">
      <w:pPr>
        <w:rPr>
          <w:lang w:eastAsia="en-GB"/>
        </w:rPr>
      </w:pPr>
      <w:r w:rsidRPr="00441E10">
        <w:rPr>
          <w:lang w:eastAsia="en-GB"/>
        </w:rPr>
        <w:t xml:space="preserve">If you’re not sure if there is a special way to complain, ask someone at the organisation how you can make a comment on their service or get someone else to ask for you. </w:t>
      </w:r>
    </w:p>
    <w:p w14:paraId="5D304C74" w14:textId="62E19A24" w:rsidR="006878F9" w:rsidRPr="00441E10" w:rsidRDefault="006878F9" w:rsidP="006878F9">
      <w:pPr>
        <w:rPr>
          <w:lang w:eastAsia="en-GB"/>
        </w:rPr>
      </w:pPr>
      <w:r w:rsidRPr="00441E10">
        <w:rPr>
          <w:lang w:eastAsia="en-GB"/>
        </w:rPr>
        <w:t>Or you could look at any information you have about them, like a leaflet or a website.</w:t>
      </w:r>
    </w:p>
    <w:p w14:paraId="20F1E266" w14:textId="77777777" w:rsidR="006878F9" w:rsidRPr="00441E10" w:rsidRDefault="006878F9" w:rsidP="006878F9">
      <w:pPr>
        <w:rPr>
          <w:lang w:eastAsia="en-GB"/>
        </w:rPr>
      </w:pPr>
      <w:r w:rsidRPr="00441E10">
        <w:rPr>
          <w:lang w:eastAsia="en-GB"/>
        </w:rPr>
        <w:t>If it is just one person providing the service (for example, someone running a small business), then, if you decide to try to sort it out with them first, your only option is for you or someone else to contact them direct.</w:t>
      </w:r>
    </w:p>
    <w:p w14:paraId="7A8717E0" w14:textId="77777777" w:rsidR="006878F9" w:rsidRPr="00441E10" w:rsidRDefault="006878F9" w:rsidP="006878F9">
      <w:pPr>
        <w:rPr>
          <w:lang w:eastAsia="en-GB"/>
        </w:rPr>
      </w:pPr>
      <w:r w:rsidRPr="00441E10">
        <w:rPr>
          <w:lang w:eastAsia="en-GB"/>
        </w:rPr>
        <w:t>When you get in touch, try to stick to just saying or writing what happened and, if you can, say why you believe it was the wrong way for the member of staff or other person to behave towards you.</w:t>
      </w:r>
    </w:p>
    <w:p w14:paraId="2BABEEC0" w14:textId="03E33EB5" w:rsidR="006878F9" w:rsidRPr="00441E10" w:rsidRDefault="006878F9" w:rsidP="006878F9">
      <w:pPr>
        <w:rPr>
          <w:lang w:eastAsia="en-GB"/>
        </w:rPr>
      </w:pPr>
      <w:r w:rsidRPr="00441E10">
        <w:rPr>
          <w:lang w:eastAsia="en-GB"/>
        </w:rPr>
        <w:t>Once you have got in touch, the person or organisation may need to take some time to look into what has happened. So you may need to allow a bit of time for this. But they should not take a very long time.</w:t>
      </w:r>
    </w:p>
    <w:p w14:paraId="7DF317AF" w14:textId="77777777" w:rsidR="006878F9" w:rsidRPr="00441E10" w:rsidRDefault="006878F9" w:rsidP="006878F9">
      <w:pPr>
        <w:rPr>
          <w:lang w:eastAsia="en-GB"/>
        </w:rPr>
      </w:pPr>
      <w:r w:rsidRPr="00441E10">
        <w:rPr>
          <w:lang w:eastAsia="en-GB"/>
        </w:rPr>
        <w:t>They may ask you for more information. Try to give them this as soon as you can.</w:t>
      </w:r>
    </w:p>
    <w:p w14:paraId="71E08FE7" w14:textId="77777777" w:rsidR="006878F9" w:rsidRPr="00441E10" w:rsidRDefault="006878F9" w:rsidP="006878F9">
      <w:pPr>
        <w:rPr>
          <w:lang w:eastAsia="en-GB"/>
        </w:rPr>
      </w:pPr>
      <w:r w:rsidRPr="00441E10">
        <w:rPr>
          <w:lang w:eastAsia="en-GB"/>
        </w:rPr>
        <w:t>They should then tell you within a reasonable time what they have decided.</w:t>
      </w:r>
    </w:p>
    <w:p w14:paraId="4EFD9085" w14:textId="77777777" w:rsidR="006878F9" w:rsidRPr="00441E10" w:rsidRDefault="006878F9" w:rsidP="006878F9">
      <w:pPr>
        <w:rPr>
          <w:lang w:eastAsia="en-GB"/>
        </w:rPr>
      </w:pPr>
      <w:r w:rsidRPr="00441E10">
        <w:rPr>
          <w:lang w:eastAsia="en-GB"/>
        </w:rPr>
        <w:t>If after investigating what has happened, the person or organisation decides:</w:t>
      </w:r>
    </w:p>
    <w:p w14:paraId="709E250A" w14:textId="77777777" w:rsidR="006878F9" w:rsidRPr="00441E10" w:rsidRDefault="006878F9" w:rsidP="006878F9">
      <w:pPr>
        <w:pStyle w:val="ListBullet"/>
        <w:rPr>
          <w:lang w:eastAsia="en-GB"/>
        </w:rPr>
      </w:pPr>
      <w:r w:rsidRPr="00441E10">
        <w:rPr>
          <w:lang w:eastAsia="en-GB"/>
        </w:rPr>
        <w:t>no unlawful discrimination, harassment or victimisation took place, or</w:t>
      </w:r>
    </w:p>
    <w:p w14:paraId="7DFFF1F5" w14:textId="6580E660" w:rsidR="006878F9" w:rsidRPr="00441E10" w:rsidRDefault="006878F9" w:rsidP="006878F9">
      <w:pPr>
        <w:pStyle w:val="ListBullet"/>
        <w:rPr>
          <w:lang w:eastAsia="en-GB"/>
        </w:rPr>
      </w:pPr>
      <w:r w:rsidRPr="00441E10">
        <w:rPr>
          <w:lang w:eastAsia="en-GB"/>
        </w:rPr>
        <w:t xml:space="preserve">that they are not responsible for what has happened (see </w:t>
      </w:r>
      <w:r>
        <w:rPr>
          <w:lang w:eastAsia="en-GB"/>
        </w:rPr>
        <w:t xml:space="preserve">in </w:t>
      </w:r>
      <w:hyperlink w:anchor="chapter3" w:history="1">
        <w:r w:rsidRPr="00AA46A5">
          <w:rPr>
            <w:rStyle w:val="Hyperlink"/>
            <w:rFonts w:cs="Times New Roman"/>
            <w:szCs w:val="24"/>
            <w:lang w:eastAsia="en-GB"/>
          </w:rPr>
          <w:t>Chapter 3</w:t>
        </w:r>
      </w:hyperlink>
      <w:r w:rsidRPr="00441E10">
        <w:rPr>
          <w:lang w:eastAsia="en-GB"/>
        </w:rPr>
        <w:t>)</w:t>
      </w:r>
    </w:p>
    <w:p w14:paraId="5EF2319F" w14:textId="77777777" w:rsidR="006878F9" w:rsidRPr="00441E10" w:rsidRDefault="006878F9" w:rsidP="006878F9">
      <w:pPr>
        <w:rPr>
          <w:lang w:eastAsia="en-GB"/>
        </w:rPr>
      </w:pPr>
      <w:r w:rsidRPr="00441E10">
        <w:rPr>
          <w:lang w:eastAsia="en-GB"/>
        </w:rPr>
        <w:t>then they should tell you this is what they have decided.</w:t>
      </w:r>
    </w:p>
    <w:p w14:paraId="0C669714" w14:textId="77777777" w:rsidR="006878F9" w:rsidRPr="00441E10" w:rsidRDefault="006878F9" w:rsidP="006878F9">
      <w:pPr>
        <w:rPr>
          <w:lang w:eastAsia="en-GB"/>
        </w:rPr>
      </w:pPr>
      <w:r w:rsidRPr="00441E10">
        <w:rPr>
          <w:lang w:eastAsia="en-GB"/>
        </w:rPr>
        <w:t>If they don’t explain why they decided this, you can ask them to explain. They do not have to explain, but if they do, it may help you to decide what to do next. For example, if it is worth making a claim in court.</w:t>
      </w:r>
    </w:p>
    <w:p w14:paraId="56BE8679" w14:textId="77777777" w:rsidR="006878F9" w:rsidRPr="00441E10" w:rsidRDefault="006878F9" w:rsidP="006878F9">
      <w:pPr>
        <w:rPr>
          <w:lang w:eastAsia="en-GB"/>
        </w:rPr>
      </w:pPr>
      <w:r w:rsidRPr="00441E10">
        <w:rPr>
          <w:lang w:eastAsia="en-GB"/>
        </w:rPr>
        <w:t>If you don’t hear anything from them within a reasonable time, you can remind them of your complaint.</w:t>
      </w:r>
    </w:p>
    <w:p w14:paraId="6639B03D" w14:textId="77777777" w:rsidR="006878F9" w:rsidRPr="00441E10" w:rsidRDefault="006878F9" w:rsidP="006878F9">
      <w:pPr>
        <w:rPr>
          <w:lang w:eastAsia="en-GB"/>
        </w:rPr>
      </w:pPr>
      <w:r w:rsidRPr="00441E10">
        <w:rPr>
          <w:lang w:eastAsia="en-GB"/>
        </w:rPr>
        <w:t>But do remember that if you decide to make a claim in court, you only have six months to fill in the form that starts the claim</w:t>
      </w:r>
      <w:r w:rsidR="009B677B">
        <w:rPr>
          <w:lang w:eastAsia="en-GB"/>
        </w:rPr>
        <w:t xml:space="preserve"> and file this with the Court</w:t>
      </w:r>
      <w:r w:rsidRPr="00441E10">
        <w:rPr>
          <w:lang w:eastAsia="en-GB"/>
        </w:rPr>
        <w:t xml:space="preserve">. The six months starts with the date </w:t>
      </w:r>
      <w:r w:rsidR="00CC1415">
        <w:rPr>
          <w:lang w:eastAsia="en-GB"/>
        </w:rPr>
        <w:t xml:space="preserve">of the act </w:t>
      </w:r>
      <w:r w:rsidRPr="00441E10">
        <w:rPr>
          <w:lang w:eastAsia="en-GB"/>
        </w:rPr>
        <w:t xml:space="preserve">you believe </w:t>
      </w:r>
      <w:r w:rsidR="00CC1415">
        <w:rPr>
          <w:lang w:eastAsia="en-GB"/>
        </w:rPr>
        <w:t>was</w:t>
      </w:r>
      <w:r w:rsidRPr="00441E10">
        <w:rPr>
          <w:lang w:eastAsia="en-GB"/>
        </w:rPr>
        <w:t xml:space="preserve"> unlawful discriminat</w:t>
      </w:r>
      <w:r w:rsidR="00CC1415">
        <w:rPr>
          <w:lang w:eastAsia="en-GB"/>
        </w:rPr>
        <w:t>ion</w:t>
      </w:r>
      <w:r w:rsidRPr="00441E10">
        <w:rPr>
          <w:lang w:eastAsia="en-GB"/>
        </w:rPr>
        <w:t>, harass</w:t>
      </w:r>
      <w:r w:rsidR="00CC1415">
        <w:rPr>
          <w:lang w:eastAsia="en-GB"/>
        </w:rPr>
        <w:t>ment</w:t>
      </w:r>
      <w:r w:rsidRPr="00441E10">
        <w:rPr>
          <w:lang w:eastAsia="en-GB"/>
        </w:rPr>
        <w:t xml:space="preserve"> or victimis</w:t>
      </w:r>
      <w:r w:rsidR="00CC1415">
        <w:rPr>
          <w:lang w:eastAsia="en-GB"/>
        </w:rPr>
        <w:t>ation</w:t>
      </w:r>
      <w:r w:rsidRPr="00441E10">
        <w:rPr>
          <w:lang w:eastAsia="en-GB"/>
        </w:rPr>
        <w:t>.</w:t>
      </w:r>
    </w:p>
    <w:p w14:paraId="4E2AFDA9" w14:textId="77777777" w:rsidR="006878F9" w:rsidRPr="00441E10" w:rsidRDefault="004579F6" w:rsidP="006878F9">
      <w:pPr>
        <w:rPr>
          <w:lang w:eastAsia="en-GB"/>
        </w:rPr>
      </w:pPr>
      <w:r>
        <w:rPr>
          <w:lang w:eastAsia="en-GB"/>
        </w:rPr>
        <w:t>Therefore,</w:t>
      </w:r>
      <w:r w:rsidR="006878F9" w:rsidRPr="00441E10">
        <w:rPr>
          <w:lang w:eastAsia="en-GB"/>
        </w:rPr>
        <w:t xml:space="preserve"> don’t wait so long for an answer that you are not able to do anything else if the person or organisation does not agree with your complaint or does not agree to do what you believe they should do to set things right.</w:t>
      </w:r>
    </w:p>
    <w:p w14:paraId="62520CA4" w14:textId="77777777" w:rsidR="006878F9" w:rsidRPr="00441E10" w:rsidRDefault="006878F9" w:rsidP="006878F9">
      <w:pPr>
        <w:rPr>
          <w:lang w:eastAsia="en-GB"/>
        </w:rPr>
      </w:pPr>
      <w:r w:rsidRPr="00441E10">
        <w:rPr>
          <w:lang w:eastAsia="en-GB"/>
        </w:rPr>
        <w:t>If they agree that you were unlawfully discriminated against, harassed or victimised, you need to agree with them the best way to solve the complaint.</w:t>
      </w:r>
    </w:p>
    <w:p w14:paraId="00BBDE07" w14:textId="77777777" w:rsidR="006878F9" w:rsidRPr="00441E10" w:rsidRDefault="006878F9" w:rsidP="006878F9">
      <w:pPr>
        <w:rPr>
          <w:lang w:eastAsia="en-GB"/>
        </w:rPr>
      </w:pPr>
      <w:r w:rsidRPr="00441E10">
        <w:rPr>
          <w:lang w:eastAsia="en-GB"/>
        </w:rPr>
        <w:t>You may want an apology and to be reassured that they have changed the way they do things or that they have told their staff what they must do to avoid the same thing happening again to you or to someone else.</w:t>
      </w:r>
    </w:p>
    <w:p w14:paraId="42415BFA" w14:textId="77777777" w:rsidR="006878F9" w:rsidRPr="00441E10" w:rsidRDefault="006878F9" w:rsidP="006878F9">
      <w:pPr>
        <w:rPr>
          <w:lang w:eastAsia="en-GB"/>
        </w:rPr>
      </w:pPr>
      <w:r w:rsidRPr="00441E10">
        <w:rPr>
          <w:lang w:eastAsia="en-GB"/>
        </w:rPr>
        <w:t>Or you may have had to spend more money getting the service from somewhere else or have had your feelings badly hurt, which means you believe they should pay you some money in compensation.</w:t>
      </w:r>
    </w:p>
    <w:p w14:paraId="607270D1" w14:textId="77777777" w:rsidR="006878F9" w:rsidRPr="00441E10" w:rsidRDefault="006878F9" w:rsidP="006878F9">
      <w:pPr>
        <w:rPr>
          <w:lang w:eastAsia="en-GB"/>
        </w:rPr>
      </w:pPr>
      <w:r w:rsidRPr="00441E10">
        <w:rPr>
          <w:lang w:eastAsia="en-GB"/>
        </w:rPr>
        <w:t>Tell the person or organisation what you are thinking of and see if you can both agree. You may need to give way a bit in order to reach an agreement, but this is up to you. If you cannot agree between you how to set things right, then you need to decide if you want to get help from someone else (alternative dispute resolution) or make a claim in court.</w:t>
      </w:r>
    </w:p>
    <w:p w14:paraId="215EF5EB" w14:textId="3FE9613F" w:rsidR="006878F9" w:rsidRPr="00441E10" w:rsidRDefault="006878F9" w:rsidP="00921E87">
      <w:pPr>
        <w:pStyle w:val="L3Heading"/>
      </w:pPr>
      <w:bookmarkStart w:id="176" w:name="_Toc288557240"/>
      <w:bookmarkStart w:id="177" w:name="_Toc288575906"/>
      <w:bookmarkStart w:id="178" w:name="_Toc297124745"/>
      <w:bookmarkStart w:id="179" w:name="_Toc297300531"/>
      <w:r w:rsidRPr="00441E10">
        <w:t>Alternative dispute resolution</w:t>
      </w:r>
      <w:bookmarkEnd w:id="176"/>
      <w:bookmarkEnd w:id="177"/>
      <w:bookmarkEnd w:id="178"/>
      <w:bookmarkEnd w:id="179"/>
    </w:p>
    <w:p w14:paraId="530CF2BD" w14:textId="77777777" w:rsidR="006878F9" w:rsidRPr="00441E10" w:rsidRDefault="006878F9" w:rsidP="006878F9">
      <w:pPr>
        <w:rPr>
          <w:lang w:eastAsia="en-GB"/>
        </w:rPr>
      </w:pPr>
      <w:r w:rsidRPr="00441E10">
        <w:rPr>
          <w:lang w:eastAsia="en-GB"/>
        </w:rPr>
        <w:t>The first part of this section assumed you would make the complaint yourself, or with the help of someone you already know.</w:t>
      </w:r>
    </w:p>
    <w:p w14:paraId="32C9299B" w14:textId="55E226D3" w:rsidR="006878F9" w:rsidRPr="001968E2" w:rsidRDefault="006878F9" w:rsidP="006878F9">
      <w:pPr>
        <w:rPr>
          <w:rStyle w:val="Hyperlink"/>
        </w:rPr>
      </w:pPr>
      <w:r w:rsidRPr="00441E10">
        <w:rPr>
          <w:lang w:eastAsia="en-GB"/>
        </w:rPr>
        <w:t>If you want to get help in sorting out a complaint about discrimination, you could try to get the person or organisation you are complaining about to agree to what is usually called ‘alternative dispute resolution’ or ADR. ADR involves finding a way of sorting out the complaint without a formal court hearing. ADR techniques include mediation and conciliation.</w:t>
      </w:r>
    </w:p>
    <w:p w14:paraId="6A4DFD31" w14:textId="77777777" w:rsidR="00F208A7" w:rsidRDefault="00F208A7" w:rsidP="00F208A7">
      <w:pPr>
        <w:rPr>
          <w:lang w:eastAsia="en-GB"/>
        </w:rPr>
      </w:pPr>
      <w:r w:rsidRPr="00441E10">
        <w:rPr>
          <w:lang w:eastAsia="en-GB"/>
        </w:rPr>
        <w:t>You can find out more about ADR, whether any of the options might be suitable in your situation, what you have to do, and how much it might cost from</w:t>
      </w:r>
      <w:r>
        <w:rPr>
          <w:lang w:eastAsia="en-GB"/>
        </w:rPr>
        <w:t xml:space="preserve"> the:</w:t>
      </w:r>
    </w:p>
    <w:p w14:paraId="4CF7317E" w14:textId="77777777" w:rsidR="00F208A7" w:rsidRPr="00204898" w:rsidRDefault="00255B48" w:rsidP="00F208A7">
      <w:pPr>
        <w:numPr>
          <w:ilvl w:val="0"/>
          <w:numId w:val="28"/>
        </w:numPr>
        <w:rPr>
          <w:lang w:eastAsia="en-GB"/>
        </w:rPr>
      </w:pPr>
      <w:hyperlink r:id="rId15" w:history="1">
        <w:r w:rsidR="00F208A7" w:rsidRPr="001968E2">
          <w:rPr>
            <w:rStyle w:val="Hyperlink"/>
          </w:rPr>
          <w:t>Equality Advisory Support Service (EASS)</w:t>
        </w:r>
      </w:hyperlink>
      <w:r w:rsidR="00F208A7">
        <w:t xml:space="preserve"> </w:t>
      </w:r>
      <w:r w:rsidR="00F208A7" w:rsidRPr="004579F6">
        <w:t xml:space="preserve">(see </w:t>
      </w:r>
      <w:r w:rsidR="004579F6" w:rsidRPr="00590F8B">
        <w:rPr>
          <w:rStyle w:val="Emphasis"/>
          <w:i w:val="0"/>
        </w:rPr>
        <w:t>‘</w:t>
      </w:r>
      <w:r w:rsidR="00F208A7" w:rsidRPr="00590F8B">
        <w:rPr>
          <w:rStyle w:val="Emphasis"/>
          <w:i w:val="0"/>
        </w:rPr>
        <w:t>Further sources of information and advice</w:t>
      </w:r>
      <w:r w:rsidR="004579F6" w:rsidRPr="00590F8B">
        <w:rPr>
          <w:rStyle w:val="Emphasis"/>
          <w:i w:val="0"/>
        </w:rPr>
        <w:t>’</w:t>
      </w:r>
      <w:r w:rsidR="00F208A7" w:rsidRPr="00590F8B">
        <w:rPr>
          <w:rStyle w:val="Emphasis"/>
          <w:i w:val="0"/>
        </w:rPr>
        <w:t xml:space="preserve"> </w:t>
      </w:r>
      <w:r w:rsidR="00F208A7" w:rsidRPr="001968E2">
        <w:rPr>
          <w:rStyle w:val="Emphasis"/>
        </w:rPr>
        <w:t>section</w:t>
      </w:r>
      <w:r w:rsidR="00F208A7">
        <w:t>)</w:t>
      </w:r>
      <w:r w:rsidR="00F208A7" w:rsidRPr="001C440E">
        <w:t>.</w:t>
      </w:r>
    </w:p>
    <w:p w14:paraId="42328FCE" w14:textId="77777777" w:rsidR="00F208A7" w:rsidRPr="00E230D9" w:rsidRDefault="00F208A7" w:rsidP="00F208A7">
      <w:pPr>
        <w:numPr>
          <w:ilvl w:val="0"/>
          <w:numId w:val="28"/>
        </w:numPr>
        <w:rPr>
          <w:lang w:eastAsia="en-GB"/>
        </w:rPr>
      </w:pPr>
      <w:r>
        <w:t xml:space="preserve">Scottish Government </w:t>
      </w:r>
      <w:r w:rsidRPr="00E230D9">
        <w:rPr>
          <w:lang w:eastAsia="en-GB"/>
        </w:rPr>
        <w:t xml:space="preserve">publication </w:t>
      </w:r>
      <w:r w:rsidRPr="00D560F9">
        <w:rPr>
          <w:i/>
          <w:lang w:eastAsia="en-GB"/>
        </w:rPr>
        <w:t>Resolving Disputes Without Going To Court</w:t>
      </w:r>
      <w:r w:rsidRPr="00E230D9">
        <w:rPr>
          <w:lang w:eastAsia="en-GB"/>
        </w:rPr>
        <w:t xml:space="preserve"> </w:t>
      </w:r>
      <w:r w:rsidR="004579F6">
        <w:rPr>
          <w:lang w:eastAsia="en-GB"/>
        </w:rPr>
        <w:t>(</w:t>
      </w:r>
      <w:r w:rsidRPr="00E230D9">
        <w:rPr>
          <w:lang w:eastAsia="en-GB"/>
        </w:rPr>
        <w:t>if you are in Scotland</w:t>
      </w:r>
      <w:r>
        <w:rPr>
          <w:lang w:eastAsia="en-GB"/>
        </w:rPr>
        <w:t>)</w:t>
      </w:r>
      <w:r w:rsidRPr="00E230D9">
        <w:rPr>
          <w:lang w:eastAsia="en-GB"/>
        </w:rPr>
        <w:t>.</w:t>
      </w:r>
    </w:p>
    <w:p w14:paraId="76E86EA5" w14:textId="54F127B5" w:rsidR="00F8424B" w:rsidRPr="00441E10" w:rsidRDefault="00F208A7" w:rsidP="006878F9">
      <w:pPr>
        <w:rPr>
          <w:lang w:eastAsia="en-GB"/>
        </w:rPr>
      </w:pPr>
      <w:r>
        <w:t>F</w:t>
      </w:r>
      <w:r w:rsidRPr="00AF64EE">
        <w:t xml:space="preserve">or some sorts of cases mediation services are available through the courts service, and these can be used instead of waiting for a case to be heard by a judge. Mediation has the advantage of generally </w:t>
      </w:r>
      <w:r>
        <w:t>reducing</w:t>
      </w:r>
      <w:r w:rsidRPr="00AF64EE">
        <w:t xml:space="preserve"> cost and may successfully settle a claim without the inconvenience of a trial.</w:t>
      </w:r>
      <w:r>
        <w:t xml:space="preserve"> </w:t>
      </w:r>
      <w:r w:rsidRPr="00AF64EE">
        <w:t>You can find information</w:t>
      </w:r>
      <w:r>
        <w:t xml:space="preserve"> </w:t>
      </w:r>
      <w:r w:rsidRPr="00AF64EE">
        <w:t>about mediation services, including how to find mediators registered with the Civil Mediation Council</w:t>
      </w:r>
      <w:r>
        <w:t xml:space="preserve"> </w:t>
      </w:r>
      <w:r w:rsidRPr="00AF64EE">
        <w:t xml:space="preserve">for England and Wales here: </w:t>
      </w:r>
      <w:hyperlink r:id="rId16" w:history="1">
        <w:r w:rsidRPr="001968E2">
          <w:rPr>
            <w:rStyle w:val="Hyperlink"/>
          </w:rPr>
          <w:t>http://www.justice.gov.uk/courts/mediation</w:t>
        </w:r>
      </w:hyperlink>
      <w:r w:rsidRPr="00AF64EE">
        <w:t xml:space="preserve"> </w:t>
      </w:r>
      <w:r>
        <w:t xml:space="preserve">and for Scotland here: </w:t>
      </w:r>
      <w:hyperlink r:id="rId17" w:history="1">
        <w:r w:rsidRPr="001968E2">
          <w:rPr>
            <w:rStyle w:val="Hyperlink"/>
          </w:rPr>
          <w:t>http://www.scottishmediation.org.uk/</w:t>
        </w:r>
      </w:hyperlink>
      <w:r w:rsidR="001968E2">
        <w:rPr>
          <w:lang w:eastAsia="en-GB"/>
        </w:rPr>
        <w:t>.</w:t>
      </w:r>
    </w:p>
    <w:p w14:paraId="4DE9A222" w14:textId="77777777" w:rsidR="006878F9" w:rsidRPr="00441E10" w:rsidRDefault="006878F9" w:rsidP="00921E87">
      <w:pPr>
        <w:pStyle w:val="L3Heading"/>
      </w:pPr>
      <w:bookmarkStart w:id="180" w:name="questionsprocedures"/>
      <w:bookmarkStart w:id="181" w:name="_Toc288557241"/>
      <w:bookmarkStart w:id="182" w:name="_Toc288575907"/>
      <w:bookmarkStart w:id="183" w:name="_Toc297124746"/>
      <w:bookmarkStart w:id="184" w:name="_Toc297300532"/>
      <w:bookmarkEnd w:id="180"/>
      <w:r w:rsidRPr="00441E10">
        <w:t>The questions procedure</w:t>
      </w:r>
      <w:bookmarkEnd w:id="181"/>
      <w:bookmarkEnd w:id="182"/>
      <w:bookmarkEnd w:id="183"/>
      <w:bookmarkEnd w:id="184"/>
    </w:p>
    <w:p w14:paraId="16FDC54D" w14:textId="77777777" w:rsidR="00EA5D81" w:rsidRDefault="00EA5D81" w:rsidP="00EA5D81">
      <w:pPr>
        <w:rPr>
          <w:szCs w:val="36"/>
          <w:lang w:eastAsia="en-GB"/>
        </w:rPr>
      </w:pPr>
      <w:r>
        <w:rPr>
          <w:szCs w:val="36"/>
          <w:lang w:eastAsia="en-GB"/>
        </w:rPr>
        <w:t xml:space="preserve">If you believe you may have </w:t>
      </w:r>
      <w:r>
        <w:t xml:space="preserve">experienced </w:t>
      </w:r>
      <w:r w:rsidRPr="002D0D0A">
        <w:t>unlawful discriminat</w:t>
      </w:r>
      <w:r>
        <w:t>ion</w:t>
      </w:r>
      <w:r w:rsidRPr="002D0D0A">
        <w:t>, harass</w:t>
      </w:r>
      <w:r>
        <w:t>ment</w:t>
      </w:r>
      <w:r w:rsidRPr="002D0D0A">
        <w:t xml:space="preserve"> o</w:t>
      </w:r>
      <w:r>
        <w:t>r victimisation under equality law</w:t>
      </w:r>
      <w:r>
        <w:rPr>
          <w:szCs w:val="36"/>
          <w:lang w:eastAsia="en-GB"/>
        </w:rPr>
        <w:t xml:space="preserve"> i</w:t>
      </w:r>
      <w:r w:rsidRPr="009029A2">
        <w:rPr>
          <w:szCs w:val="36"/>
          <w:lang w:eastAsia="en-GB"/>
        </w:rPr>
        <w:t>t</w:t>
      </w:r>
      <w:r>
        <w:rPr>
          <w:szCs w:val="36"/>
          <w:lang w:eastAsia="en-GB"/>
        </w:rPr>
        <w:t xml:space="preserve"> is</w:t>
      </w:r>
      <w:r w:rsidRPr="009029A2">
        <w:rPr>
          <w:szCs w:val="36"/>
          <w:lang w:eastAsia="en-GB"/>
        </w:rPr>
        <w:t xml:space="preserve"> good practice </w:t>
      </w:r>
      <w:r>
        <w:rPr>
          <w:szCs w:val="36"/>
          <w:lang w:eastAsia="en-GB"/>
        </w:rPr>
        <w:t>t</w:t>
      </w:r>
      <w:r w:rsidRPr="009029A2">
        <w:rPr>
          <w:szCs w:val="36"/>
          <w:lang w:eastAsia="en-GB"/>
        </w:rPr>
        <w:t xml:space="preserve">o seek </w:t>
      </w:r>
      <w:r>
        <w:rPr>
          <w:szCs w:val="36"/>
          <w:lang w:eastAsia="en-GB"/>
        </w:rPr>
        <w:t xml:space="preserve">relevant </w:t>
      </w:r>
      <w:r w:rsidRPr="009029A2">
        <w:rPr>
          <w:szCs w:val="36"/>
          <w:lang w:eastAsia="en-GB"/>
        </w:rPr>
        <w:t xml:space="preserve">information </w:t>
      </w:r>
      <w:r>
        <w:rPr>
          <w:szCs w:val="36"/>
          <w:lang w:eastAsia="en-GB"/>
        </w:rPr>
        <w:t>from the person or organisation you think is responsible. This can</w:t>
      </w:r>
      <w:r w:rsidRPr="002D0D0A">
        <w:t xml:space="preserve"> help </w:t>
      </w:r>
      <w:r>
        <w:t xml:space="preserve">you </w:t>
      </w:r>
      <w:r w:rsidRPr="002D0D0A">
        <w:t>decide if y</w:t>
      </w:r>
      <w:r>
        <w:t>ou</w:t>
      </w:r>
      <w:r w:rsidRPr="002D0D0A">
        <w:t xml:space="preserve"> have a valid claim or not</w:t>
      </w:r>
      <w:r>
        <w:t>.</w:t>
      </w:r>
    </w:p>
    <w:p w14:paraId="2086D15F" w14:textId="77777777" w:rsidR="00EA5D81" w:rsidRDefault="00EA5D81" w:rsidP="00EA5D81">
      <w:pPr>
        <w:rPr>
          <w:szCs w:val="36"/>
          <w:lang w:eastAsia="en-GB"/>
        </w:rPr>
      </w:pPr>
      <w:r>
        <w:rPr>
          <w:szCs w:val="36"/>
          <w:lang w:eastAsia="en-GB"/>
        </w:rPr>
        <w:t>How you can do this will depend on whether or not the claim is about something that happened before 6 April 2014.</w:t>
      </w:r>
    </w:p>
    <w:p w14:paraId="6F1AFE67" w14:textId="77777777" w:rsidR="00EA5D81" w:rsidRPr="001968E2" w:rsidRDefault="00EA5D81" w:rsidP="001968E2">
      <w:pPr>
        <w:pStyle w:val="L4Headers"/>
        <w:rPr>
          <w:u w:val="single"/>
        </w:rPr>
      </w:pPr>
      <w:r w:rsidRPr="001968E2">
        <w:rPr>
          <w:u w:val="single"/>
        </w:rPr>
        <w:t>Claims about events which happened before 6 April 2014</w:t>
      </w:r>
    </w:p>
    <w:p w14:paraId="799EADE6" w14:textId="087B1F49" w:rsidR="00EA5D81" w:rsidRPr="001968E2" w:rsidRDefault="00EA5D81" w:rsidP="001968E2">
      <w:r w:rsidRPr="002D0D0A">
        <w:t xml:space="preserve">If </w:t>
      </w:r>
      <w:r>
        <w:t>the claim is about something that happened before 6 April 2014</w:t>
      </w:r>
      <w:r w:rsidRPr="002D0D0A">
        <w:t xml:space="preserve">, </w:t>
      </w:r>
      <w:r>
        <w:t>there is a set procedure which you can use to</w:t>
      </w:r>
      <w:r w:rsidRPr="002D0D0A">
        <w:t xml:space="preserve"> obtain information from </w:t>
      </w:r>
      <w:r>
        <w:t>the person or organisation you think is responsible</w:t>
      </w:r>
      <w:r w:rsidRPr="002D0D0A">
        <w:t>.</w:t>
      </w:r>
      <w:r>
        <w:t xml:space="preserve"> It includes </w:t>
      </w:r>
      <w:r w:rsidRPr="002D0D0A">
        <w:t xml:space="preserve">a set form called </w:t>
      </w:r>
      <w:r w:rsidR="004579F6">
        <w:t>‘</w:t>
      </w:r>
      <w:r w:rsidRPr="002D0D0A">
        <w:t>the questionnaire</w:t>
      </w:r>
      <w:r w:rsidR="004579F6">
        <w:t>’</w:t>
      </w:r>
      <w:r w:rsidRPr="002D0D0A">
        <w:t xml:space="preserve"> or </w:t>
      </w:r>
      <w:r w:rsidR="004579F6">
        <w:t>‘</w:t>
      </w:r>
      <w:r w:rsidRPr="002D0D0A">
        <w:t>questions procedure</w:t>
      </w:r>
      <w:r w:rsidR="004579F6">
        <w:t>’</w:t>
      </w:r>
      <w:r w:rsidRPr="002D0D0A">
        <w:t xml:space="preserve"> available at:</w:t>
      </w:r>
      <w:r w:rsidRPr="002D0D0A" w:rsidDel="007D4AC6">
        <w:t xml:space="preserve"> </w:t>
      </w:r>
      <w:r w:rsidR="001968E2">
        <w:br/>
      </w:r>
      <w:hyperlink r:id="rId18" w:history="1">
        <w:r w:rsidRPr="001968E2">
          <w:rPr>
            <w:rStyle w:val="Hyperlink"/>
          </w:rPr>
          <w:t>https://www.gov.uk/government/publications/discrimination-and-other-prohibited-conduct-complaints-questionnaire</w:t>
        </w:r>
      </w:hyperlink>
    </w:p>
    <w:p w14:paraId="578253C1" w14:textId="77777777" w:rsidR="00EA5D81" w:rsidRPr="001968E2" w:rsidRDefault="00EA5D81" w:rsidP="001968E2">
      <w:r w:rsidRPr="001968E2">
        <w:t>The form does not need to be used, provided the specified questions are adopted.</w:t>
      </w:r>
    </w:p>
    <w:p w14:paraId="3DD3EF0D" w14:textId="77777777" w:rsidR="00EA5D81" w:rsidRPr="001968E2" w:rsidRDefault="00EA5D81" w:rsidP="001968E2">
      <w:r w:rsidRPr="001968E2">
        <w:t xml:space="preserve">If you send questions to a person or organisation under this procedure, they are not legally required to reply or to answer the questions, but it may harm their case if they do not. </w:t>
      </w:r>
    </w:p>
    <w:p w14:paraId="06869AB2" w14:textId="78CF3601" w:rsidR="00EA5D81" w:rsidRPr="001968E2" w:rsidRDefault="00EA5D81" w:rsidP="001968E2">
      <w:r w:rsidRPr="001968E2">
        <w:t>If the person or organisation doesn’t respond to the questionnaire within eight weeks of it being sent, the court can take that into accoun</w:t>
      </w:r>
      <w:r w:rsidR="001968E2" w:rsidRPr="001968E2">
        <w:t>t when making its judgment. The </w:t>
      </w:r>
      <w:r w:rsidRPr="001968E2">
        <w:t>court can also take into account answers which are evasive or unclear.</w:t>
      </w:r>
    </w:p>
    <w:p w14:paraId="74E95163" w14:textId="77777777" w:rsidR="00EA5D81" w:rsidRPr="001968E2" w:rsidRDefault="00EA5D81" w:rsidP="001968E2">
      <w:r w:rsidRPr="001968E2">
        <w:t xml:space="preserve">There is an exception to this. The court cannot take the failure to answer into account if a person or organisation states that to give an answer could prejudice criminal proceedings and if it is reasonable to claim that it would. Most of the time, breaking equality law only leads to a claim in a civil court. Occasionally, breaking equality law can be punished by the criminal courts. In that situation, the person or organisation may be able to refuse to answer the questions if in answering they might incriminate themselves and if it is reasonable for them not to answer. </w:t>
      </w:r>
    </w:p>
    <w:p w14:paraId="35E4420B" w14:textId="77777777" w:rsidR="00EA5D81" w:rsidRPr="001968E2" w:rsidRDefault="00EA5D81" w:rsidP="001968E2">
      <w:pPr>
        <w:pStyle w:val="L4Headers"/>
        <w:rPr>
          <w:u w:val="single"/>
        </w:rPr>
      </w:pPr>
      <w:r w:rsidRPr="001968E2">
        <w:rPr>
          <w:u w:val="single"/>
        </w:rPr>
        <w:t>Claims about events which happened on or after 6 April 2014</w:t>
      </w:r>
    </w:p>
    <w:p w14:paraId="10C67C3C" w14:textId="77777777" w:rsidR="00EA5D81" w:rsidRPr="001968E2" w:rsidRDefault="00EA5D81" w:rsidP="001968E2">
      <w:r w:rsidRPr="001968E2">
        <w:t xml:space="preserve">The questions procedure and the questionnaire form were abolished on 6 April 2014. For claims about events which took place on or after that date it will remain good practice for anyone who thinks that they may have experienced unlawful discrimination, harassment or victimisation under equality law to seek relevant information before issuing a formal claim. </w:t>
      </w:r>
    </w:p>
    <w:p w14:paraId="2998D447" w14:textId="77777777" w:rsidR="00EA5D81" w:rsidRPr="001968E2" w:rsidRDefault="00EA5D81" w:rsidP="001968E2">
      <w:r w:rsidRPr="001968E2">
        <w:t>The Government Equalities Office has issued a good practice guide to help you ask the most relevant and helpful questions and to assist persons or organisations responding to your questions. This can be found at</w:t>
      </w:r>
      <w:r w:rsidR="004579F6" w:rsidRPr="001968E2">
        <w:t>:</w:t>
      </w:r>
      <w:r w:rsidRPr="001968E2">
        <w:t xml:space="preserve"> </w:t>
      </w:r>
    </w:p>
    <w:p w14:paraId="67147065" w14:textId="77777777" w:rsidR="00EA5D81" w:rsidRPr="0074586B" w:rsidRDefault="00255B48" w:rsidP="00EA5D81">
      <w:pPr>
        <w:jc w:val="both"/>
        <w:rPr>
          <w:rStyle w:val="Hyperlink"/>
        </w:rPr>
      </w:pPr>
      <w:hyperlink r:id="rId19" w:history="1">
        <w:r w:rsidR="00EA5D81" w:rsidRPr="0074586B">
          <w:rPr>
            <w:rStyle w:val="Hyperlink"/>
          </w:rPr>
          <w:t>https://www.gov.uk/government/publications/asking-and-responding-to-questions-of-discrimination-in-the-provision-of-goods-and-services-and-public-functions</w:t>
        </w:r>
      </w:hyperlink>
    </w:p>
    <w:p w14:paraId="373DCC38" w14:textId="5057EF22" w:rsidR="00CC1415" w:rsidRPr="00441E10" w:rsidRDefault="00EA5D81" w:rsidP="006878F9">
      <w:r w:rsidRPr="001968E2">
        <w:t>That guidance makes it clear that someone sent such questions should treat them seriously and promptly and not ignore them. The questions and answers can form part of the evidence in a case brought under the Equality Act 2010.</w:t>
      </w:r>
    </w:p>
    <w:p w14:paraId="58D04520" w14:textId="77777777" w:rsidR="006878F9" w:rsidRPr="00441E10" w:rsidRDefault="006878F9" w:rsidP="00921E87">
      <w:pPr>
        <w:pStyle w:val="L3Heading"/>
      </w:pPr>
      <w:bookmarkStart w:id="185" w:name="_Toc288557242"/>
      <w:bookmarkStart w:id="186" w:name="_Toc288575908"/>
      <w:bookmarkStart w:id="187" w:name="_Toc297124747"/>
      <w:bookmarkStart w:id="188" w:name="_Toc297300533"/>
      <w:r w:rsidRPr="00441E10">
        <w:t>Key points about discrimination cases outside the workplace</w:t>
      </w:r>
      <w:bookmarkEnd w:id="185"/>
      <w:bookmarkEnd w:id="186"/>
      <w:bookmarkEnd w:id="187"/>
      <w:bookmarkEnd w:id="188"/>
    </w:p>
    <w:p w14:paraId="48F8D316" w14:textId="77777777" w:rsidR="006878F9" w:rsidRPr="00441E10" w:rsidRDefault="006878F9" w:rsidP="006878F9">
      <w:pPr>
        <w:rPr>
          <w:lang w:eastAsia="en-GB"/>
        </w:rPr>
      </w:pPr>
      <w:r w:rsidRPr="00441E10">
        <w:rPr>
          <w:lang w:eastAsia="en-GB"/>
        </w:rPr>
        <w:t>The key points this guide explains are:</w:t>
      </w:r>
    </w:p>
    <w:p w14:paraId="0CC6D381" w14:textId="77777777" w:rsidR="006878F9" w:rsidRPr="00441E10" w:rsidRDefault="006878F9" w:rsidP="006878F9">
      <w:pPr>
        <w:pStyle w:val="ListBullet"/>
        <w:rPr>
          <w:lang w:eastAsia="en-GB"/>
        </w:rPr>
      </w:pPr>
      <w:r w:rsidRPr="00441E10">
        <w:rPr>
          <w:lang w:eastAsia="en-GB"/>
        </w:rPr>
        <w:t>where claims are brought</w:t>
      </w:r>
    </w:p>
    <w:p w14:paraId="42ACAD8A" w14:textId="77777777" w:rsidR="006878F9" w:rsidRPr="00441E10" w:rsidRDefault="006878F9" w:rsidP="006878F9">
      <w:pPr>
        <w:pStyle w:val="ListBullet"/>
        <w:rPr>
          <w:lang w:eastAsia="en-GB"/>
        </w:rPr>
      </w:pPr>
      <w:r w:rsidRPr="00441E10">
        <w:rPr>
          <w:lang w:eastAsia="en-GB"/>
        </w:rPr>
        <w:t>time limits for making a claim</w:t>
      </w:r>
    </w:p>
    <w:p w14:paraId="758A7161" w14:textId="77777777" w:rsidR="006878F9" w:rsidRPr="00441E10" w:rsidRDefault="006878F9" w:rsidP="006878F9">
      <w:pPr>
        <w:pStyle w:val="ListBullet"/>
        <w:rPr>
          <w:lang w:eastAsia="en-GB"/>
        </w:rPr>
      </w:pPr>
      <w:r w:rsidRPr="00441E10">
        <w:rPr>
          <w:lang w:eastAsia="en-GB"/>
        </w:rPr>
        <w:t>the standard and burden of proof</w:t>
      </w:r>
    </w:p>
    <w:p w14:paraId="5B2C85CE" w14:textId="77777777" w:rsidR="006878F9" w:rsidRPr="00441E10" w:rsidRDefault="006878F9" w:rsidP="006878F9">
      <w:pPr>
        <w:pStyle w:val="ListBullet"/>
        <w:rPr>
          <w:lang w:eastAsia="en-GB"/>
        </w:rPr>
      </w:pPr>
      <w:r w:rsidRPr="00441E10">
        <w:rPr>
          <w:lang w:eastAsia="en-GB"/>
        </w:rPr>
        <w:t>what the court can order a person or organisation to do</w:t>
      </w:r>
    </w:p>
    <w:p w14:paraId="56161B82" w14:textId="6B7385FA" w:rsidR="006878F9" w:rsidRPr="00441E10" w:rsidRDefault="006878F9" w:rsidP="00921E87">
      <w:pPr>
        <w:pStyle w:val="L4Headers"/>
        <w:rPr>
          <w:lang w:eastAsia="en-GB"/>
        </w:rPr>
      </w:pPr>
      <w:r w:rsidRPr="00441E10">
        <w:rPr>
          <w:lang w:eastAsia="en-GB"/>
        </w:rPr>
        <w:t>Where claims are brought</w:t>
      </w:r>
    </w:p>
    <w:p w14:paraId="292A24BE" w14:textId="77777777" w:rsidR="006878F9" w:rsidRPr="00441E10" w:rsidRDefault="006878F9" w:rsidP="006878F9">
      <w:pPr>
        <w:rPr>
          <w:lang w:eastAsia="en-GB"/>
        </w:rPr>
      </w:pPr>
      <w:r w:rsidRPr="00441E10">
        <w:rPr>
          <w:lang w:eastAsia="en-GB"/>
        </w:rPr>
        <w:t>If the person or organisation you believe has unlawfully discriminated against you, harassed or victimised you against equality law is:</w:t>
      </w:r>
    </w:p>
    <w:p w14:paraId="50D050AF" w14:textId="77777777" w:rsidR="006878F9" w:rsidRPr="00441E10" w:rsidRDefault="006878F9" w:rsidP="006878F9">
      <w:pPr>
        <w:pStyle w:val="ListBullet"/>
        <w:rPr>
          <w:lang w:eastAsia="en-GB"/>
        </w:rPr>
      </w:pPr>
      <w:r w:rsidRPr="00441E10">
        <w:rPr>
          <w:lang w:eastAsia="en-GB"/>
        </w:rPr>
        <w:t>a service provider, or</w:t>
      </w:r>
    </w:p>
    <w:p w14:paraId="62B4243C" w14:textId="77777777" w:rsidR="006878F9" w:rsidRPr="00441E10" w:rsidRDefault="006878F9" w:rsidP="006878F9">
      <w:pPr>
        <w:pStyle w:val="ListBullet"/>
        <w:rPr>
          <w:lang w:eastAsia="en-GB"/>
        </w:rPr>
      </w:pPr>
      <w:r w:rsidRPr="00441E10">
        <w:rPr>
          <w:lang w:eastAsia="en-GB"/>
        </w:rPr>
        <w:t>carrying out public functions, or</w:t>
      </w:r>
    </w:p>
    <w:p w14:paraId="33DF09C2" w14:textId="77777777" w:rsidR="006878F9" w:rsidRPr="00441E10" w:rsidRDefault="006878F9" w:rsidP="006878F9">
      <w:pPr>
        <w:pStyle w:val="ListBullet"/>
        <w:rPr>
          <w:lang w:eastAsia="en-GB"/>
        </w:rPr>
      </w:pPr>
      <w:r w:rsidRPr="00441E10">
        <w:rPr>
          <w:lang w:eastAsia="en-GB"/>
        </w:rPr>
        <w:t>an association, including private clubs and political parties, or</w:t>
      </w:r>
    </w:p>
    <w:p w14:paraId="0E8629E7" w14:textId="77777777" w:rsidR="006878F9" w:rsidRPr="00441E10" w:rsidRDefault="006878F9" w:rsidP="006878F9">
      <w:pPr>
        <w:pStyle w:val="ListBullet"/>
        <w:rPr>
          <w:lang w:eastAsia="en-GB"/>
        </w:rPr>
      </w:pPr>
      <w:r w:rsidRPr="00441E10">
        <w:rPr>
          <w:lang w:eastAsia="en-GB"/>
        </w:rPr>
        <w:t>a premises provider, whether they provide housing or commercial premises, or</w:t>
      </w:r>
    </w:p>
    <w:p w14:paraId="4C022EE7" w14:textId="77777777" w:rsidR="006878F9" w:rsidRPr="00441E10" w:rsidRDefault="006878F9" w:rsidP="006878F9">
      <w:pPr>
        <w:pStyle w:val="ListBullet"/>
        <w:rPr>
          <w:lang w:eastAsia="en-GB"/>
        </w:rPr>
      </w:pPr>
      <w:r w:rsidRPr="00441E10">
        <w:rPr>
          <w:lang w:eastAsia="en-GB"/>
        </w:rPr>
        <w:t>in some circumstances, an education provider</w:t>
      </w:r>
    </w:p>
    <w:p w14:paraId="0ACE1F4D" w14:textId="77777777" w:rsidR="006878F9" w:rsidRPr="00441E10" w:rsidRDefault="006878F9" w:rsidP="006878F9">
      <w:pPr>
        <w:rPr>
          <w:lang w:eastAsia="en-GB"/>
        </w:rPr>
      </w:pPr>
      <w:r w:rsidRPr="00441E10">
        <w:rPr>
          <w:lang w:eastAsia="en-GB"/>
        </w:rPr>
        <w:t>then you should make your claim against them in the County Court in England and Wales and in the Sheriff Court in Scotland.</w:t>
      </w:r>
    </w:p>
    <w:p w14:paraId="5426DF4C" w14:textId="0419C3A7" w:rsidR="006878F9" w:rsidRPr="00441E10" w:rsidRDefault="006878F9" w:rsidP="006878F9">
      <w:pPr>
        <w:rPr>
          <w:lang w:eastAsia="en-GB"/>
        </w:rPr>
      </w:pPr>
      <w:r w:rsidRPr="00441E10">
        <w:rPr>
          <w:lang w:eastAsia="en-GB"/>
        </w:rPr>
        <w:t xml:space="preserve">If the organisation is a </w:t>
      </w:r>
      <w:r w:rsidRPr="001968E2">
        <w:rPr>
          <w:rStyle w:val="Strong"/>
        </w:rPr>
        <w:t>public authority</w:t>
      </w:r>
      <w:r w:rsidRPr="00441E10">
        <w:rPr>
          <w:lang w:eastAsia="en-GB"/>
        </w:rPr>
        <w:t xml:space="preserve">, you may also make a claim for </w:t>
      </w:r>
      <w:r w:rsidRPr="001968E2">
        <w:rPr>
          <w:rStyle w:val="Strong"/>
        </w:rPr>
        <w:t xml:space="preserve">judicial review </w:t>
      </w:r>
      <w:r w:rsidRPr="00441E10">
        <w:rPr>
          <w:lang w:eastAsia="en-GB"/>
        </w:rPr>
        <w:t>in the High Court in England and Wales or the Court of Session in Scotland.</w:t>
      </w:r>
      <w:r w:rsidR="00CC1415">
        <w:rPr>
          <w:lang w:eastAsia="en-GB"/>
        </w:rPr>
        <w:t xml:space="preserve"> Different procedures and time limits apply to bringing such claims. If you are thinking of bringing a judicial review claim against a public authority you should seek legal advice as early as possible.</w:t>
      </w:r>
    </w:p>
    <w:p w14:paraId="72513941" w14:textId="77777777" w:rsidR="006878F9" w:rsidRPr="00441E10" w:rsidRDefault="006878F9" w:rsidP="00921E87">
      <w:pPr>
        <w:pStyle w:val="L4Headers"/>
        <w:rPr>
          <w:lang w:eastAsia="en-GB"/>
        </w:rPr>
      </w:pPr>
      <w:r w:rsidRPr="00441E10">
        <w:rPr>
          <w:lang w:eastAsia="en-GB"/>
        </w:rPr>
        <w:t>Time limits for making a claim</w:t>
      </w:r>
    </w:p>
    <w:p w14:paraId="310E59DE" w14:textId="77777777" w:rsidR="006878F9" w:rsidRPr="00441E10" w:rsidRDefault="006878F9" w:rsidP="006878F9">
      <w:pPr>
        <w:rPr>
          <w:lang w:eastAsia="en-GB"/>
        </w:rPr>
      </w:pPr>
      <w:r w:rsidRPr="00441E10">
        <w:rPr>
          <w:lang w:eastAsia="en-GB"/>
        </w:rPr>
        <w:t>If you want to make a claim in court for unlawful discrimination, harassment or victimisation relating to equality law, you must make it within six months of the act that you are complaining about.</w:t>
      </w:r>
    </w:p>
    <w:p w14:paraId="0E9A58D1" w14:textId="77777777" w:rsidR="006878F9" w:rsidRPr="00441E10" w:rsidRDefault="006878F9" w:rsidP="006878F9">
      <w:pPr>
        <w:rPr>
          <w:lang w:eastAsia="en-GB"/>
        </w:rPr>
      </w:pPr>
      <w:r w:rsidRPr="00441E10">
        <w:rPr>
          <w:lang w:eastAsia="en-GB"/>
        </w:rPr>
        <w:t>If you are complaining about behaviour over a period of time, then the six months begins at the end of the period</w:t>
      </w:r>
      <w:r w:rsidR="00620F09">
        <w:rPr>
          <w:lang w:eastAsia="en-GB"/>
        </w:rPr>
        <w:t xml:space="preserve"> in certain circumstances</w:t>
      </w:r>
      <w:r w:rsidRPr="00441E10">
        <w:rPr>
          <w:lang w:eastAsia="en-GB"/>
        </w:rPr>
        <w:t>.</w:t>
      </w:r>
    </w:p>
    <w:p w14:paraId="524E021F" w14:textId="77777777" w:rsidR="006878F9" w:rsidRPr="00441E10" w:rsidRDefault="006878F9" w:rsidP="006878F9">
      <w:pPr>
        <w:rPr>
          <w:lang w:eastAsia="en-GB"/>
        </w:rPr>
      </w:pPr>
      <w:r w:rsidRPr="00441E10">
        <w:rPr>
          <w:lang w:eastAsia="en-GB"/>
        </w:rPr>
        <w:t>If you are complaining about a failure to do something, for example, a failure to make reasonable adjustments, then the six months begins when the decision was made not to do it.</w:t>
      </w:r>
    </w:p>
    <w:p w14:paraId="15B441F2" w14:textId="4C94D0C4" w:rsidR="006878F9" w:rsidRPr="00441E10" w:rsidRDefault="006878F9" w:rsidP="006878F9">
      <w:pPr>
        <w:rPr>
          <w:lang w:eastAsia="en-GB"/>
        </w:rPr>
      </w:pPr>
      <w:r w:rsidRPr="00441E10">
        <w:rPr>
          <w:lang w:eastAsia="en-GB"/>
        </w:rPr>
        <w:t>If there is no solid evidence of a decision, then the decision is assumed to have been made either:</w:t>
      </w:r>
    </w:p>
    <w:p w14:paraId="3F529CDB" w14:textId="77777777" w:rsidR="006878F9" w:rsidRPr="00441E10" w:rsidRDefault="006878F9" w:rsidP="006878F9">
      <w:pPr>
        <w:pStyle w:val="ListBullet"/>
        <w:rPr>
          <w:lang w:eastAsia="en-GB"/>
        </w:rPr>
      </w:pPr>
      <w:r w:rsidRPr="00441E10">
        <w:rPr>
          <w:lang w:eastAsia="en-GB"/>
        </w:rPr>
        <w:t>when the person who failed to do the thing does something else which shows they don’t intend to do it, or</w:t>
      </w:r>
    </w:p>
    <w:p w14:paraId="10BE5A45" w14:textId="6C0CCB7D" w:rsidR="00921E87" w:rsidRDefault="006878F9" w:rsidP="006878F9">
      <w:pPr>
        <w:pStyle w:val="ListBullet"/>
        <w:rPr>
          <w:lang w:eastAsia="en-GB"/>
        </w:rPr>
      </w:pPr>
      <w:r w:rsidRPr="00441E10">
        <w:rPr>
          <w:lang w:eastAsia="en-GB"/>
        </w:rPr>
        <w:t>at the end of the time when they might reasonably have been expected to do the thing.</w:t>
      </w:r>
    </w:p>
    <w:tbl>
      <w:tblPr>
        <w:tblStyle w:val="TableGrid"/>
        <w:tblW w:w="5000" w:type="pct"/>
        <w:tblLook w:val="04A0" w:firstRow="1" w:lastRow="0" w:firstColumn="1" w:lastColumn="0" w:noHBand="0" w:noVBand="1"/>
      </w:tblPr>
      <w:tblGrid>
        <w:gridCol w:w="9286"/>
      </w:tblGrid>
      <w:tr w:rsidR="00921E87" w14:paraId="60CFA3A8" w14:textId="77777777" w:rsidTr="00921E87">
        <w:tc>
          <w:tcPr>
            <w:tcW w:w="5000" w:type="pct"/>
            <w:tcBorders>
              <w:top w:val="nil"/>
              <w:left w:val="nil"/>
              <w:bottom w:val="nil"/>
              <w:right w:val="nil"/>
            </w:tcBorders>
            <w:shd w:val="clear" w:color="auto" w:fill="DBE5F1" w:themeFill="accent1" w:themeFillTint="33"/>
          </w:tcPr>
          <w:p w14:paraId="3098610B" w14:textId="3D131E4F" w:rsidR="00921E87" w:rsidRDefault="00921E87" w:rsidP="00921E87">
            <w:pPr>
              <w:rPr>
                <w:lang w:eastAsia="en-GB"/>
              </w:rPr>
            </w:pPr>
            <w:r w:rsidRPr="00921E87">
              <w:rPr>
                <w:rStyle w:val="Strong"/>
              </w:rPr>
              <w:t>For example:</w:t>
            </w:r>
            <w:r>
              <w:rPr>
                <w:lang w:eastAsia="en-GB"/>
              </w:rPr>
              <w:t xml:space="preserve"> A</w:t>
            </w:r>
            <w:r w:rsidRPr="00441E10">
              <w:rPr>
                <w:lang w:eastAsia="en-GB"/>
              </w:rPr>
              <w:t xml:space="preserve"> business sells goods over the internet. It is having its website redesigned. It looks into having its website made more accessible to disabled people and decides that doing this is a reasonable adjustment. The new website claims to be fully accessible. However, when the new website goes live, it turns out not to be any more accessible than the old one. The business does not do anything about this. A disabled person writes to the organisation and asks them to bring their website up to the standard they are claiming for it. The organisation does nothing. The time limit for making a claim in court is measured from the time when they might reasonably be expected to have made improvements to the website. </w:t>
            </w:r>
          </w:p>
        </w:tc>
      </w:tr>
    </w:tbl>
    <w:p w14:paraId="17F2C10A" w14:textId="77777777" w:rsidR="006878F9" w:rsidRPr="00441E10" w:rsidRDefault="006878F9" w:rsidP="006878F9">
      <w:pPr>
        <w:rPr>
          <w:lang w:eastAsia="en-GB"/>
        </w:rPr>
      </w:pPr>
      <w:r w:rsidRPr="00441E10">
        <w:rPr>
          <w:lang w:eastAsia="en-GB"/>
        </w:rPr>
        <w:t>A court can hear a claim if it is brought outside this time limit if the court thinks that it would be ‘just and equitable’ (fair to both sides) for it to do this.</w:t>
      </w:r>
    </w:p>
    <w:p w14:paraId="56E44E02" w14:textId="77777777" w:rsidR="006878F9" w:rsidRPr="00441E10" w:rsidRDefault="006878F9" w:rsidP="00921E87">
      <w:pPr>
        <w:pStyle w:val="L4Headers"/>
        <w:rPr>
          <w:lang w:eastAsia="en-GB"/>
        </w:rPr>
      </w:pPr>
      <w:r w:rsidRPr="00441E10">
        <w:rPr>
          <w:lang w:eastAsia="en-GB"/>
        </w:rPr>
        <w:t>The standard and burden of proof</w:t>
      </w:r>
    </w:p>
    <w:p w14:paraId="0F919778" w14:textId="77777777" w:rsidR="006878F9" w:rsidRPr="00441E10" w:rsidRDefault="006878F9" w:rsidP="006878F9">
      <w:pPr>
        <w:rPr>
          <w:lang w:eastAsia="en-GB"/>
        </w:rPr>
      </w:pPr>
      <w:r w:rsidRPr="00441E10">
        <w:rPr>
          <w:lang w:eastAsia="en-GB"/>
        </w:rPr>
        <w:t>The standard of proof in discrimination cases is the usual one in civil (non-criminal) cases. You and the other side must try to prove the facts of your case are true on the balance of probabilities, in other words, that it is more likely than not in the view of the court or tribunal that your version of events is true.</w:t>
      </w:r>
    </w:p>
    <w:p w14:paraId="5F6C89EB" w14:textId="77777777" w:rsidR="006878F9" w:rsidRPr="00441E10" w:rsidRDefault="006878F9" w:rsidP="006878F9">
      <w:pPr>
        <w:rPr>
          <w:lang w:eastAsia="en-GB"/>
        </w:rPr>
      </w:pPr>
      <w:r w:rsidRPr="00441E10">
        <w:rPr>
          <w:lang w:eastAsia="en-GB"/>
        </w:rPr>
        <w:t xml:space="preserve">If you are claiming unlawful discrimination, harassment or victimisation against a person or organisation, then the burden of proof begins with you. You must prove enough facts from which the court can decide, </w:t>
      </w:r>
      <w:r w:rsidR="00F01419">
        <w:rPr>
          <w:lang w:eastAsia="en-GB"/>
        </w:rPr>
        <w:t xml:space="preserve">in the absence of </w:t>
      </w:r>
      <w:r w:rsidRPr="00441E10">
        <w:rPr>
          <w:lang w:eastAsia="en-GB"/>
        </w:rPr>
        <w:t>any other explanation, that the discrimination, harassment or victimisation has taken place.</w:t>
      </w:r>
    </w:p>
    <w:p w14:paraId="61F3E678" w14:textId="30980551" w:rsidR="006878F9" w:rsidRPr="00441E10" w:rsidRDefault="006878F9" w:rsidP="006878F9">
      <w:pPr>
        <w:rPr>
          <w:lang w:eastAsia="en-GB"/>
        </w:rPr>
      </w:pPr>
      <w:r w:rsidRPr="00441E10">
        <w:rPr>
          <w:lang w:eastAsia="en-GB"/>
        </w:rPr>
        <w:t xml:space="preserve">Once you have done this, then, in the absence of any other explanation, the burden shifts onto the other side to show that they (or someone whose actions or failures to act they were responsible for – see </w:t>
      </w:r>
      <w:hyperlink w:anchor="chapter3" w:history="1">
        <w:r w:rsidRPr="00AA46A5">
          <w:rPr>
            <w:rStyle w:val="Hyperlink"/>
            <w:rFonts w:cs="Times New Roman"/>
            <w:szCs w:val="24"/>
            <w:lang w:eastAsia="en-GB"/>
          </w:rPr>
          <w:t>Chapter 3</w:t>
        </w:r>
      </w:hyperlink>
      <w:r w:rsidRPr="00441E10">
        <w:rPr>
          <w:lang w:eastAsia="en-GB"/>
        </w:rPr>
        <w:t xml:space="preserve"> for what this means) did not discriminate, harass or victimise you.</w:t>
      </w:r>
    </w:p>
    <w:p w14:paraId="64DD6B39" w14:textId="1608C654" w:rsidR="006878F9" w:rsidRPr="00441E10" w:rsidRDefault="006878F9" w:rsidP="00921E87">
      <w:pPr>
        <w:pStyle w:val="L4Headers"/>
        <w:rPr>
          <w:lang w:eastAsia="en-GB"/>
        </w:rPr>
      </w:pPr>
      <w:r w:rsidRPr="00441E10">
        <w:rPr>
          <w:lang w:eastAsia="en-GB"/>
        </w:rPr>
        <w:t>What the court can order a person or organisation to do</w:t>
      </w:r>
    </w:p>
    <w:p w14:paraId="1D675D8C" w14:textId="2DD62465" w:rsidR="006878F9" w:rsidRPr="00441E10" w:rsidRDefault="006878F9" w:rsidP="006878F9">
      <w:pPr>
        <w:rPr>
          <w:lang w:eastAsia="en-GB"/>
        </w:rPr>
      </w:pPr>
      <w:r w:rsidRPr="00441E10">
        <w:rPr>
          <w:lang w:eastAsia="en-GB"/>
        </w:rPr>
        <w:t>What the court can order the other side to do if</w:t>
      </w:r>
      <w:r w:rsidR="0074586B">
        <w:rPr>
          <w:lang w:eastAsia="en-GB"/>
        </w:rPr>
        <w:t xml:space="preserve"> you win your case is called ‘a </w:t>
      </w:r>
      <w:r w:rsidRPr="00441E10">
        <w:rPr>
          <w:lang w:eastAsia="en-GB"/>
        </w:rPr>
        <w:t xml:space="preserve">remedy’. </w:t>
      </w:r>
    </w:p>
    <w:p w14:paraId="217C96A8" w14:textId="77777777" w:rsidR="006878F9" w:rsidRPr="00441E10" w:rsidRDefault="006878F9" w:rsidP="006878F9">
      <w:pPr>
        <w:rPr>
          <w:lang w:eastAsia="en-GB"/>
        </w:rPr>
      </w:pPr>
      <w:r w:rsidRPr="00441E10">
        <w:rPr>
          <w:lang w:eastAsia="en-GB"/>
        </w:rPr>
        <w:t>County Courts and Sheriff Courts hearing discrimination claims can grant any remedy that the High Court in England or Wales or the Court of Session in Scotland can grant for a civil wrong or in a claim for judicial review.</w:t>
      </w:r>
    </w:p>
    <w:p w14:paraId="43AC79DB" w14:textId="77777777" w:rsidR="006878F9" w:rsidRPr="00441E10" w:rsidRDefault="006878F9" w:rsidP="006878F9">
      <w:pPr>
        <w:rPr>
          <w:lang w:eastAsia="en-GB"/>
        </w:rPr>
      </w:pPr>
      <w:r w:rsidRPr="00441E10">
        <w:rPr>
          <w:lang w:eastAsia="en-GB"/>
        </w:rPr>
        <w:t>The main remedies available are:</w:t>
      </w:r>
    </w:p>
    <w:p w14:paraId="4ACBA3B2" w14:textId="77777777" w:rsidR="006878F9" w:rsidRPr="00441E10" w:rsidRDefault="006878F9" w:rsidP="006878F9">
      <w:pPr>
        <w:pStyle w:val="ListBullet"/>
        <w:rPr>
          <w:lang w:eastAsia="en-GB"/>
        </w:rPr>
      </w:pPr>
      <w:r w:rsidRPr="00441E10">
        <w:rPr>
          <w:lang w:eastAsia="en-GB"/>
        </w:rPr>
        <w:t>Damages (including compensation for injuries to your feelings).</w:t>
      </w:r>
    </w:p>
    <w:p w14:paraId="0153B50A" w14:textId="77777777" w:rsidR="006878F9" w:rsidRPr="00441E10" w:rsidRDefault="006878F9" w:rsidP="006878F9">
      <w:pPr>
        <w:pStyle w:val="ListBullet"/>
        <w:rPr>
          <w:lang w:eastAsia="en-GB"/>
        </w:rPr>
      </w:pPr>
      <w:r w:rsidRPr="00441E10">
        <w:rPr>
          <w:lang w:eastAsia="en-GB"/>
        </w:rPr>
        <w:t>An injunction in England or Wales or an interdict in Scotland – this is an order made by the court to stop a person or organisation from acting in an unlawful way. Sometimes, an injunction in England or Wales can be mandatory; that is, the person or organisation has to do something (for example, has to change a policy or make a reasonable adjustment). In Scotland, an order for specific implement works in the same way.</w:t>
      </w:r>
    </w:p>
    <w:p w14:paraId="0354FE27" w14:textId="77777777" w:rsidR="006878F9" w:rsidRPr="00441E10" w:rsidRDefault="006878F9" w:rsidP="006878F9">
      <w:pPr>
        <w:pStyle w:val="ListBullet"/>
        <w:rPr>
          <w:lang w:eastAsia="en-GB"/>
        </w:rPr>
      </w:pPr>
      <w:r w:rsidRPr="00441E10">
        <w:rPr>
          <w:lang w:eastAsia="en-GB"/>
        </w:rPr>
        <w:t>A declaration in England or Wales or a declarator in Scotland – this is a statement by the court which says that someone has been discriminated against.</w:t>
      </w:r>
    </w:p>
    <w:p w14:paraId="6EA6D683" w14:textId="77777777" w:rsidR="006878F9" w:rsidRPr="00441E10" w:rsidRDefault="006878F9" w:rsidP="006878F9">
      <w:pPr>
        <w:rPr>
          <w:lang w:eastAsia="en-GB"/>
        </w:rPr>
      </w:pPr>
      <w:r w:rsidRPr="00441E10">
        <w:rPr>
          <w:lang w:eastAsia="en-GB"/>
        </w:rPr>
        <w:t xml:space="preserve">In cases of </w:t>
      </w:r>
      <w:r w:rsidRPr="00921E87">
        <w:rPr>
          <w:rStyle w:val="Strong"/>
        </w:rPr>
        <w:t>indirect discrimination</w:t>
      </w:r>
      <w:r w:rsidRPr="00441E10">
        <w:rPr>
          <w:lang w:eastAsia="en-GB"/>
        </w:rPr>
        <w:t xml:space="preserve">, if the other side can prove that they did not intend what they did to be discriminatory, the court must consider all of the remedies before looking at damages. </w:t>
      </w:r>
    </w:p>
    <w:p w14:paraId="11805BB6" w14:textId="77777777" w:rsidR="006878F9" w:rsidRPr="00441E10" w:rsidRDefault="006878F9" w:rsidP="006878F9">
      <w:pPr>
        <w:rPr>
          <w:lang w:eastAsia="en-GB"/>
        </w:rPr>
      </w:pPr>
      <w:r w:rsidRPr="00441E10">
        <w:rPr>
          <w:lang w:eastAsia="en-GB"/>
        </w:rPr>
        <w:t xml:space="preserve">The court can also order the other side to pay your legal costs and expenses. </w:t>
      </w:r>
    </w:p>
    <w:p w14:paraId="044B0081" w14:textId="6599B500" w:rsidR="006878F9" w:rsidRPr="00441E10" w:rsidRDefault="006878F9" w:rsidP="006878F9">
      <w:pPr>
        <w:rPr>
          <w:lang w:eastAsia="en-GB"/>
        </w:rPr>
      </w:pPr>
      <w:r w:rsidRPr="00441E10">
        <w:rPr>
          <w:lang w:eastAsia="en-GB"/>
        </w:rPr>
        <w:t>But if you lose your claim, the court may order you to pay the other side’s legal costs and expenses.</w:t>
      </w:r>
    </w:p>
    <w:p w14:paraId="4C5F0EDB" w14:textId="77777777" w:rsidR="006878F9" w:rsidRPr="00441E10" w:rsidRDefault="006878F9" w:rsidP="00921E87">
      <w:pPr>
        <w:pStyle w:val="L3Heading"/>
      </w:pPr>
      <w:bookmarkStart w:id="189" w:name="_Toc288557243"/>
      <w:bookmarkStart w:id="190" w:name="_Toc288575909"/>
      <w:bookmarkStart w:id="191" w:name="_Toc297124748"/>
      <w:bookmarkStart w:id="192" w:name="_Toc297300534"/>
      <w:r w:rsidRPr="00441E10">
        <w:t>More information about making a claim in court</w:t>
      </w:r>
      <w:bookmarkEnd w:id="189"/>
      <w:bookmarkEnd w:id="190"/>
      <w:bookmarkEnd w:id="191"/>
      <w:bookmarkEnd w:id="192"/>
    </w:p>
    <w:p w14:paraId="75C9D806" w14:textId="77777777" w:rsidR="006878F9" w:rsidRPr="00441E10" w:rsidRDefault="006878F9" w:rsidP="006878F9">
      <w:pPr>
        <w:rPr>
          <w:lang w:eastAsia="en-GB"/>
        </w:rPr>
      </w:pPr>
      <w:r w:rsidRPr="00441E10">
        <w:rPr>
          <w:lang w:eastAsia="en-GB"/>
        </w:rPr>
        <w:t>You can find out more about what to do if you want to make a claim in court from:</w:t>
      </w:r>
    </w:p>
    <w:p w14:paraId="5B7150AB" w14:textId="77777777" w:rsidR="006878F9" w:rsidRPr="00441E10" w:rsidRDefault="006878F9" w:rsidP="006878F9">
      <w:pPr>
        <w:pStyle w:val="ListBullet"/>
        <w:rPr>
          <w:lang w:eastAsia="en-GB"/>
        </w:rPr>
      </w:pPr>
      <w:r w:rsidRPr="00441E10">
        <w:rPr>
          <w:lang w:eastAsia="en-GB"/>
        </w:rPr>
        <w:t xml:space="preserve">In England and Wales: Her Majesty’s Courts Service: see </w:t>
      </w:r>
      <w:r w:rsidR="004579F6" w:rsidRPr="0074586B">
        <w:rPr>
          <w:rStyle w:val="Emphasis"/>
        </w:rPr>
        <w:t>‘</w:t>
      </w:r>
      <w:r w:rsidRPr="008405CC">
        <w:rPr>
          <w:rStyle w:val="Emphasis"/>
          <w:i w:val="0"/>
        </w:rPr>
        <w:t>Further sources of information and advice</w:t>
      </w:r>
      <w:r w:rsidR="004579F6" w:rsidRPr="006824BA">
        <w:rPr>
          <w:rStyle w:val="Emphasis"/>
          <w:i w:val="0"/>
        </w:rPr>
        <w:t>’</w:t>
      </w:r>
      <w:r w:rsidRPr="00590F8B">
        <w:rPr>
          <w:i/>
          <w:lang w:eastAsia="en-GB"/>
        </w:rPr>
        <w:t xml:space="preserve"> </w:t>
      </w:r>
      <w:r w:rsidRPr="00441E10">
        <w:rPr>
          <w:lang w:eastAsia="en-GB"/>
        </w:rPr>
        <w:t>for contact details.</w:t>
      </w:r>
    </w:p>
    <w:p w14:paraId="25309EF1" w14:textId="711E7A1C" w:rsidR="006878F9" w:rsidRPr="00441E10" w:rsidRDefault="006878F9" w:rsidP="006878F9">
      <w:pPr>
        <w:pStyle w:val="ListBullet"/>
        <w:rPr>
          <w:lang w:eastAsia="en-GB"/>
        </w:rPr>
      </w:pPr>
      <w:r w:rsidRPr="00441E10">
        <w:rPr>
          <w:lang w:eastAsia="en-GB"/>
        </w:rPr>
        <w:t xml:space="preserve">In Scotland: Scottish Courts Service: see </w:t>
      </w:r>
      <w:r w:rsidR="004579F6" w:rsidRPr="0074586B">
        <w:rPr>
          <w:rStyle w:val="Emphasis"/>
        </w:rPr>
        <w:t>‘</w:t>
      </w:r>
      <w:r w:rsidRPr="008405CC">
        <w:rPr>
          <w:rStyle w:val="Emphasis"/>
          <w:i w:val="0"/>
        </w:rPr>
        <w:t>Further sources of information and advice</w:t>
      </w:r>
      <w:r w:rsidR="004579F6" w:rsidRPr="006824BA">
        <w:rPr>
          <w:rStyle w:val="Emphasis"/>
          <w:i w:val="0"/>
        </w:rPr>
        <w:t>’</w:t>
      </w:r>
      <w:r w:rsidRPr="00590F8B">
        <w:rPr>
          <w:i/>
          <w:lang w:eastAsia="en-GB"/>
        </w:rPr>
        <w:t xml:space="preserve"> </w:t>
      </w:r>
      <w:r w:rsidRPr="00441E10">
        <w:rPr>
          <w:lang w:eastAsia="en-GB"/>
        </w:rPr>
        <w:t>for contact details.</w:t>
      </w:r>
    </w:p>
    <w:p w14:paraId="554E4FD4" w14:textId="77777777" w:rsidR="006878F9" w:rsidRPr="001968E2" w:rsidRDefault="006878F9" w:rsidP="001968E2"/>
    <w:p w14:paraId="32466B6F" w14:textId="77777777" w:rsidR="001968E2" w:rsidRPr="001968E2" w:rsidRDefault="001968E2" w:rsidP="001968E2">
      <w:pPr>
        <w:sectPr w:rsidR="001968E2" w:rsidRPr="001968E2" w:rsidSect="00D21EFB">
          <w:pgSz w:w="11906" w:h="16838" w:code="9"/>
          <w:pgMar w:top="1418" w:right="1418" w:bottom="1418" w:left="1418" w:header="624" w:footer="624" w:gutter="0"/>
          <w:cols w:space="720"/>
          <w:noEndnote/>
        </w:sectPr>
      </w:pPr>
    </w:p>
    <w:p w14:paraId="01C29B92" w14:textId="77777777" w:rsidR="00D21EFB" w:rsidRPr="00B06351" w:rsidRDefault="00D21EFB" w:rsidP="00D21EFB">
      <w:pPr>
        <w:pStyle w:val="L1Headers"/>
      </w:pPr>
      <w:bookmarkStart w:id="193" w:name="_Toc296925473"/>
      <w:bookmarkStart w:id="194" w:name="_Toc297103275"/>
      <w:bookmarkStart w:id="195" w:name="_Toc297112690"/>
      <w:bookmarkStart w:id="196" w:name="_Toc297300535"/>
      <w:r w:rsidRPr="00B06351">
        <w:t>Further sources of information and advice</w:t>
      </w:r>
      <w:bookmarkEnd w:id="193"/>
      <w:bookmarkEnd w:id="194"/>
      <w:bookmarkEnd w:id="195"/>
      <w:bookmarkEnd w:id="196"/>
    </w:p>
    <w:p w14:paraId="21D6DE0C" w14:textId="77777777" w:rsidR="00D21EFB" w:rsidRPr="00B06351" w:rsidRDefault="00D21EFB" w:rsidP="00D21EFB">
      <w:pPr>
        <w:pStyle w:val="L2Headers"/>
        <w:rPr>
          <w:lang w:eastAsia="en-GB"/>
        </w:rPr>
      </w:pPr>
      <w:bookmarkStart w:id="197" w:name="_Toc288557245"/>
      <w:bookmarkStart w:id="198" w:name="_Toc296925474"/>
      <w:bookmarkStart w:id="199" w:name="_Toc297102190"/>
      <w:bookmarkStart w:id="200" w:name="_Toc297103276"/>
      <w:bookmarkStart w:id="201" w:name="_Toc297112691"/>
      <w:bookmarkStart w:id="202" w:name="_Toc297124749"/>
      <w:bookmarkStart w:id="203" w:name="_Toc297300536"/>
      <w:r w:rsidRPr="00B06351">
        <w:rPr>
          <w:lang w:eastAsia="en-GB"/>
        </w:rPr>
        <w:t>General advice and information</w:t>
      </w:r>
      <w:bookmarkEnd w:id="197"/>
      <w:bookmarkEnd w:id="198"/>
      <w:bookmarkEnd w:id="199"/>
      <w:bookmarkEnd w:id="200"/>
      <w:bookmarkEnd w:id="201"/>
      <w:bookmarkEnd w:id="202"/>
      <w:bookmarkEnd w:id="203"/>
    </w:p>
    <w:p w14:paraId="4B113A11" w14:textId="77777777" w:rsidR="00D21EFB" w:rsidRPr="00B06351" w:rsidRDefault="00D21EFB" w:rsidP="00D21EFB">
      <w:r w:rsidRPr="00B06351">
        <w:t xml:space="preserve">If you need expert information, advice and support on discrimination and human rights issues and the applicable law, especially if you need more help than advice agencies and other local organisations can provide, please contact the </w:t>
      </w:r>
      <w:r w:rsidRPr="00C2520D">
        <w:rPr>
          <w:rFonts w:cs="Arial"/>
          <w:bCs/>
          <w:color w:val="E2007A"/>
        </w:rPr>
        <w:t>Equality Advisory and Support Service (EASS)</w:t>
      </w:r>
      <w:r w:rsidRPr="00B06351">
        <w:t>, below. EASS was commissioned by Government in 2012 to replace the EHRC Helpline, which is now closed. EASS is completely independent of the Commission.</w:t>
      </w:r>
    </w:p>
    <w:p w14:paraId="6EED887F" w14:textId="77777777" w:rsidR="00D21EFB" w:rsidRPr="000F2B29" w:rsidRDefault="00D21EFB" w:rsidP="00D21EFB">
      <w:pPr>
        <w:pStyle w:val="L4Headers"/>
      </w:pPr>
      <w:r w:rsidRPr="000F2B29">
        <w:t>Equality Advisory Support Service (EASS)</w:t>
      </w:r>
    </w:p>
    <w:p w14:paraId="299A66AD" w14:textId="77777777" w:rsidR="00D21EFB" w:rsidRPr="00B06351" w:rsidRDefault="00D21EFB" w:rsidP="00D21EFB">
      <w:r w:rsidRPr="00B06351">
        <w:t xml:space="preserve">The Helpline advises and assists individuals on issues relating to equality and human rights, across England, Scotland and Wales. They can also accept referrals from organisations which, due to capacity or funding issues, are unable to provide face to face advice to local users of their services. </w:t>
      </w:r>
    </w:p>
    <w:p w14:paraId="2361BC1D" w14:textId="77777777" w:rsidR="00D21EFB" w:rsidRPr="00B06351" w:rsidRDefault="00D21EFB" w:rsidP="00D21EFB">
      <w:pPr>
        <w:pStyle w:val="Parabase"/>
      </w:pPr>
      <w:r w:rsidRPr="00B06351">
        <w:t>Telephone: 0808 800 0082</w:t>
      </w:r>
    </w:p>
    <w:p w14:paraId="777A6006" w14:textId="77777777" w:rsidR="00D21EFB" w:rsidRDefault="00D21EFB" w:rsidP="00D21EFB">
      <w:pPr>
        <w:pStyle w:val="Parabase"/>
      </w:pPr>
      <w:r w:rsidRPr="00B06351">
        <w:t>Text phone: 0808 800 0084</w:t>
      </w:r>
      <w:r>
        <w:t xml:space="preserve"> (</w:t>
      </w:r>
      <w:r w:rsidRPr="00B06351">
        <w:t>Mon to Fri 9am to 8pm and Sat 10am to 2pm</w:t>
      </w:r>
      <w:r>
        <w:t>)</w:t>
      </w:r>
    </w:p>
    <w:p w14:paraId="2CC2CEED" w14:textId="77777777" w:rsidR="00D21EFB" w:rsidRPr="00B06351" w:rsidRDefault="00D21EFB" w:rsidP="00D21EFB">
      <w:pPr>
        <w:pStyle w:val="Parabase"/>
      </w:pPr>
      <w:r w:rsidRPr="00B06351">
        <w:rPr>
          <w:lang w:eastAsia="en-GB"/>
        </w:rPr>
        <w:t>Website:</w:t>
      </w:r>
      <w:r>
        <w:rPr>
          <w:lang w:eastAsia="en-GB"/>
        </w:rPr>
        <w:t xml:space="preserve"> </w:t>
      </w:r>
      <w:hyperlink r:id="rId20" w:history="1">
        <w:r w:rsidRPr="001E65D5">
          <w:rPr>
            <w:rStyle w:val="Hyperlink"/>
            <w:lang w:eastAsia="en-GB"/>
          </w:rPr>
          <w:t>https://www.equalityadvisoryservice.com</w:t>
        </w:r>
      </w:hyperlink>
      <w:r>
        <w:rPr>
          <w:lang w:eastAsia="en-GB"/>
        </w:rPr>
        <w:t xml:space="preserve"> </w:t>
      </w:r>
    </w:p>
    <w:p w14:paraId="4889209B" w14:textId="77777777" w:rsidR="00D21EFB" w:rsidRPr="00B06351" w:rsidRDefault="00D21EFB" w:rsidP="00D21EFB">
      <w:pPr>
        <w:pStyle w:val="L4Headers"/>
      </w:pPr>
      <w:r w:rsidRPr="00B06351">
        <w:t xml:space="preserve">Advicenow: </w:t>
      </w:r>
    </w:p>
    <w:p w14:paraId="4FB4B13A" w14:textId="77777777" w:rsidR="00D21EFB" w:rsidRPr="00B06351" w:rsidRDefault="00D21EFB" w:rsidP="00D21EFB">
      <w:r w:rsidRPr="00B06351">
        <w:t>An independent, not-for-profit website providing accurate, up-to-date information on rights and legal issues.</w:t>
      </w:r>
    </w:p>
    <w:p w14:paraId="61FFCC85" w14:textId="77777777" w:rsidR="00D21EFB" w:rsidRPr="00B06351" w:rsidRDefault="00D21EFB" w:rsidP="00D21EFB">
      <w:pPr>
        <w:pStyle w:val="Parabase"/>
        <w:rPr>
          <w:lang w:eastAsia="en-GB"/>
        </w:rPr>
      </w:pPr>
      <w:r w:rsidRPr="00B06351">
        <w:rPr>
          <w:lang w:eastAsia="en-GB"/>
        </w:rPr>
        <w:t xml:space="preserve">Website: </w:t>
      </w:r>
      <w:hyperlink r:id="rId21" w:history="1">
        <w:r w:rsidRPr="00B06351">
          <w:rPr>
            <w:rStyle w:val="Hyperlink"/>
            <w:color w:val="000000"/>
            <w:lang w:eastAsia="en-GB"/>
          </w:rPr>
          <w:t>http://www.advicenow.org.uk/</w:t>
        </w:r>
      </w:hyperlink>
    </w:p>
    <w:p w14:paraId="2D55EAFA" w14:textId="77777777" w:rsidR="00D21EFB" w:rsidRPr="00B06351" w:rsidRDefault="00D21EFB" w:rsidP="00D21EFB">
      <w:pPr>
        <w:pStyle w:val="L4Headers"/>
      </w:pPr>
      <w:r w:rsidRPr="00B06351">
        <w:t xml:space="preserve">Advice UK: </w:t>
      </w:r>
    </w:p>
    <w:p w14:paraId="5424386F" w14:textId="77777777" w:rsidR="00D21EFB" w:rsidRPr="00B06351" w:rsidRDefault="00D21EFB" w:rsidP="00D21EFB">
      <w:r w:rsidRPr="00B06351">
        <w:t>A UK network of advice-providing organisations. They do not give out advice themselves, but the website has a directory of advice-giving agencies.</w:t>
      </w:r>
    </w:p>
    <w:p w14:paraId="0C95DC55" w14:textId="77777777" w:rsidR="00D21EFB" w:rsidRPr="00B06351" w:rsidRDefault="00D21EFB" w:rsidP="00D21EFB">
      <w:pPr>
        <w:pStyle w:val="Parabase"/>
        <w:rPr>
          <w:lang w:eastAsia="en-GB"/>
        </w:rPr>
      </w:pPr>
      <w:r w:rsidRPr="00B06351">
        <w:rPr>
          <w:lang w:eastAsia="en-GB"/>
        </w:rPr>
        <w:t xml:space="preserve">Website: </w:t>
      </w:r>
      <w:hyperlink r:id="rId22" w:history="1">
        <w:r w:rsidRPr="00B06351">
          <w:rPr>
            <w:rStyle w:val="Hyperlink"/>
            <w:color w:val="000000"/>
            <w:lang w:eastAsia="en-GB"/>
          </w:rPr>
          <w:t>www.adviceuk.org.uk</w:t>
        </w:r>
      </w:hyperlink>
    </w:p>
    <w:p w14:paraId="6C3272D5" w14:textId="77777777" w:rsidR="00D21EFB" w:rsidRPr="00B06351" w:rsidRDefault="00D21EFB" w:rsidP="00D21EFB">
      <w:pPr>
        <w:pStyle w:val="Parabase"/>
        <w:rPr>
          <w:lang w:eastAsia="en-GB"/>
        </w:rPr>
      </w:pPr>
      <w:r w:rsidRPr="00B06351">
        <w:rPr>
          <w:lang w:eastAsia="en-GB"/>
        </w:rPr>
        <w:t xml:space="preserve">Email: </w:t>
      </w:r>
      <w:hyperlink r:id="rId23" w:history="1">
        <w:r w:rsidRPr="00B06351">
          <w:rPr>
            <w:rStyle w:val="Hyperlink"/>
            <w:lang w:eastAsia="en-GB"/>
          </w:rPr>
          <w:t>mail@adviceuk.org.uk</w:t>
        </w:r>
      </w:hyperlink>
      <w:r w:rsidRPr="00B06351">
        <w:rPr>
          <w:lang w:eastAsia="en-GB"/>
        </w:rPr>
        <w:t xml:space="preserve"> </w:t>
      </w:r>
    </w:p>
    <w:p w14:paraId="666C39EE" w14:textId="77777777" w:rsidR="00D21EFB" w:rsidRDefault="00D21EFB" w:rsidP="00D21EFB">
      <w:pPr>
        <w:pStyle w:val="Parabase"/>
        <w:rPr>
          <w:lang w:eastAsia="en-GB"/>
        </w:rPr>
      </w:pPr>
      <w:r>
        <w:rPr>
          <w:lang w:eastAsia="en-GB"/>
        </w:rPr>
        <w:t xml:space="preserve">Telephone: 0300 777 0107 </w:t>
      </w:r>
    </w:p>
    <w:p w14:paraId="60F756AC" w14:textId="77777777" w:rsidR="00D21EFB" w:rsidRPr="00B06351" w:rsidRDefault="00D21EFB" w:rsidP="00D21EFB">
      <w:pPr>
        <w:pStyle w:val="L4Headers"/>
      </w:pPr>
      <w:r w:rsidRPr="00B06351">
        <w:t xml:space="preserve">Citizens Advice: </w:t>
      </w:r>
    </w:p>
    <w:p w14:paraId="0BC4DDF4" w14:textId="77777777" w:rsidR="00D21EFB" w:rsidRPr="00B06351" w:rsidRDefault="00D21EFB" w:rsidP="00D21EFB">
      <w:r w:rsidRPr="00B06351">
        <w:t xml:space="preserve">Citizens Advice Bureaux provide free, confidential and independent advice in England and Wales. Advice is available face-to-face and by telephone. Most bureaux offer home visits and some also provide email advice. To receive advice, contact your local Citizens Advice Bureau, which you can find by visiting the website. </w:t>
      </w:r>
    </w:p>
    <w:p w14:paraId="1A838879" w14:textId="77777777" w:rsidR="00D21EFB" w:rsidRPr="00B06351" w:rsidRDefault="00D21EFB" w:rsidP="00D21EFB">
      <w:pPr>
        <w:pStyle w:val="Parabase"/>
        <w:rPr>
          <w:lang w:eastAsia="en-GB"/>
        </w:rPr>
      </w:pPr>
      <w:r w:rsidRPr="00B06351">
        <w:rPr>
          <w:lang w:eastAsia="en-GB"/>
        </w:rPr>
        <w:t xml:space="preserve">Website: </w:t>
      </w:r>
      <w:hyperlink r:id="rId24" w:history="1">
        <w:r w:rsidRPr="00B06351">
          <w:rPr>
            <w:rStyle w:val="Hyperlink"/>
            <w:color w:val="000000"/>
            <w:lang w:eastAsia="en-GB"/>
          </w:rPr>
          <w:t>www.citizensadvice.org.uk</w:t>
        </w:r>
      </w:hyperlink>
    </w:p>
    <w:p w14:paraId="43175197" w14:textId="77777777" w:rsidR="00D21EFB" w:rsidRPr="00B06351" w:rsidRDefault="00D21EFB" w:rsidP="00D21EFB">
      <w:pPr>
        <w:pStyle w:val="Parabase"/>
      </w:pPr>
      <w:r w:rsidRPr="00B06351">
        <w:rPr>
          <w:lang w:eastAsia="en-GB"/>
        </w:rPr>
        <w:t xml:space="preserve">Telephone: (admin </w:t>
      </w:r>
      <w:r w:rsidRPr="00B06351">
        <w:t xml:space="preserve">only) 03000 231 231 </w:t>
      </w:r>
    </w:p>
    <w:p w14:paraId="70A1DA34" w14:textId="77777777" w:rsidR="00D21EFB" w:rsidRPr="00B06351" w:rsidRDefault="00D21EFB" w:rsidP="00D21EFB">
      <w:r w:rsidRPr="00B06351">
        <w:t>The Adviceguide website is the main public information service of Citizens Advice. It covers England, Scotland and Wales.</w:t>
      </w:r>
    </w:p>
    <w:p w14:paraId="0C3D009E" w14:textId="77777777" w:rsidR="00D21EFB" w:rsidRPr="00B06351" w:rsidRDefault="00D21EFB" w:rsidP="00D21EFB">
      <w:pPr>
        <w:pStyle w:val="Parabase"/>
        <w:rPr>
          <w:lang w:eastAsia="en-GB"/>
        </w:rPr>
      </w:pPr>
      <w:r w:rsidRPr="00B06351">
        <w:rPr>
          <w:lang w:eastAsia="en-GB"/>
        </w:rPr>
        <w:t xml:space="preserve">Website: </w:t>
      </w:r>
      <w:hyperlink r:id="rId25" w:history="1">
        <w:r w:rsidRPr="00B06351">
          <w:rPr>
            <w:rStyle w:val="Hyperlink"/>
            <w:color w:val="000000"/>
            <w:lang w:eastAsia="en-GB"/>
          </w:rPr>
          <w:t>www.adviceguide.org.uk/</w:t>
        </w:r>
      </w:hyperlink>
    </w:p>
    <w:p w14:paraId="1B4D6D77" w14:textId="77777777" w:rsidR="00D21EFB" w:rsidRPr="00B06351" w:rsidRDefault="00D21EFB" w:rsidP="00D21EFB">
      <w:pPr>
        <w:pStyle w:val="L4Headers"/>
      </w:pPr>
      <w:r w:rsidRPr="00B06351">
        <w:t xml:space="preserve">Citizens Advice Scotland: </w:t>
      </w:r>
    </w:p>
    <w:p w14:paraId="046D2D53" w14:textId="77777777" w:rsidR="00D21EFB" w:rsidRPr="00B06351" w:rsidRDefault="00D21EFB" w:rsidP="00D21EFB">
      <w:r w:rsidRPr="00B06351">
        <w:t xml:space="preserve">Citizens Advice Scotland is the umbrella organisation for bureaux in Scotland. They do not offer advice directly but can provide information on Scottish bureaux. </w:t>
      </w:r>
    </w:p>
    <w:p w14:paraId="6B707A61" w14:textId="77777777" w:rsidR="00D21EFB" w:rsidRPr="00B06351" w:rsidRDefault="00D21EFB" w:rsidP="00D21EFB">
      <w:pPr>
        <w:pStyle w:val="Parabase"/>
        <w:rPr>
          <w:lang w:eastAsia="en-GB"/>
        </w:rPr>
      </w:pPr>
      <w:r w:rsidRPr="00B06351">
        <w:rPr>
          <w:lang w:eastAsia="en-GB"/>
        </w:rPr>
        <w:t xml:space="preserve">Website: </w:t>
      </w:r>
      <w:hyperlink r:id="rId26" w:history="1">
        <w:r w:rsidRPr="00B06351">
          <w:rPr>
            <w:rStyle w:val="Hyperlink"/>
            <w:color w:val="000000"/>
            <w:lang w:eastAsia="en-GB"/>
          </w:rPr>
          <w:t>www.cas.org.uk</w:t>
        </w:r>
      </w:hyperlink>
    </w:p>
    <w:p w14:paraId="5513C20A" w14:textId="77777777" w:rsidR="00D21EFB" w:rsidRPr="00B06351" w:rsidRDefault="00D21EFB" w:rsidP="00D21EFB">
      <w:pPr>
        <w:pStyle w:val="L4Headers"/>
      </w:pPr>
      <w:r w:rsidRPr="00B06351">
        <w:t>Civil Legal Advice (CLA)</w:t>
      </w:r>
      <w:r w:rsidRPr="00B06351" w:rsidDel="00FF0158">
        <w:t xml:space="preserve"> </w:t>
      </w:r>
    </w:p>
    <w:p w14:paraId="7207DB90" w14:textId="77777777" w:rsidR="00D21EFB" w:rsidRPr="00B06351" w:rsidRDefault="00D21EFB" w:rsidP="00D21EFB">
      <w:r w:rsidRPr="00B06351">
        <w:t xml:space="preserve">Free and confidential legal advice in England and Wales if you’re eligible for legal aid </w:t>
      </w:r>
    </w:p>
    <w:p w14:paraId="327F0CAA" w14:textId="77777777" w:rsidR="00D21EFB" w:rsidRPr="00B06351" w:rsidRDefault="00D21EFB" w:rsidP="00D21EFB">
      <w:pPr>
        <w:pStyle w:val="Parabase"/>
      </w:pPr>
      <w:r w:rsidRPr="00B06351">
        <w:t xml:space="preserve">Website: </w:t>
      </w:r>
      <w:hyperlink r:id="rId27" w:history="1">
        <w:r w:rsidRPr="00B06351">
          <w:rPr>
            <w:rStyle w:val="Hyperlink"/>
          </w:rPr>
          <w:t>www.gov.uk/civil-legal-advice</w:t>
        </w:r>
      </w:hyperlink>
      <w:r w:rsidRPr="00B06351">
        <w:t xml:space="preserve"> </w:t>
      </w:r>
    </w:p>
    <w:p w14:paraId="4F159838" w14:textId="77777777" w:rsidR="00D21EFB" w:rsidRPr="00B06351" w:rsidRDefault="00D21EFB" w:rsidP="00D21EFB">
      <w:r w:rsidRPr="00B06351">
        <w:t>Telephone: 0845 345 4345</w:t>
      </w:r>
    </w:p>
    <w:p w14:paraId="0A7D7A9B" w14:textId="77777777" w:rsidR="00D21EFB" w:rsidRPr="00B06351" w:rsidRDefault="00D21EFB" w:rsidP="00D21EFB">
      <w:pPr>
        <w:pStyle w:val="Parabase"/>
      </w:pPr>
      <w:r w:rsidRPr="00B06351">
        <w:t xml:space="preserve">Minicom: 0845 609 6677 </w:t>
      </w:r>
    </w:p>
    <w:p w14:paraId="0AD5531F" w14:textId="77777777" w:rsidR="00D21EFB" w:rsidRPr="00B06351" w:rsidRDefault="00D21EFB" w:rsidP="00D21EFB">
      <w:pPr>
        <w:pStyle w:val="Parabase"/>
      </w:pPr>
      <w:r w:rsidRPr="00B06351">
        <w:t xml:space="preserve">Text: ‘legalaid’ and your name to 80010. </w:t>
      </w:r>
      <w:r w:rsidRPr="00B06351">
        <w:br/>
        <w:t>(Mon to Fri, 9am to 8pm, Sat, 9am to 12:30pm)</w:t>
      </w:r>
    </w:p>
    <w:p w14:paraId="34E27254" w14:textId="77777777" w:rsidR="00D21EFB" w:rsidRPr="00B06351" w:rsidRDefault="00D21EFB" w:rsidP="00D21EFB">
      <w:pPr>
        <w:pStyle w:val="L4Headers"/>
      </w:pPr>
      <w:r w:rsidRPr="00B06351">
        <w:t>GOV.UK:</w:t>
      </w:r>
    </w:p>
    <w:p w14:paraId="6E48BE7B" w14:textId="77777777" w:rsidR="00D21EFB" w:rsidRPr="00B06351" w:rsidRDefault="00D21EFB" w:rsidP="00D21EFB">
      <w:r w:rsidRPr="00B06351">
        <w:t xml:space="preserve">Directgov is the UK government’s digital service for people in England and Wales. It delivers information and practical advice about public services, bringing them all together in one place. </w:t>
      </w:r>
    </w:p>
    <w:p w14:paraId="77C056D6" w14:textId="77777777" w:rsidR="00D21EFB" w:rsidRPr="00B06351" w:rsidRDefault="00D21EFB" w:rsidP="00D21EFB">
      <w:pPr>
        <w:pStyle w:val="Parabase"/>
      </w:pPr>
      <w:r w:rsidRPr="00B06351">
        <w:t xml:space="preserve">Website: </w:t>
      </w:r>
      <w:hyperlink r:id="rId28" w:history="1">
        <w:r w:rsidRPr="00B06351">
          <w:rPr>
            <w:rStyle w:val="Hyperlink"/>
          </w:rPr>
          <w:t>https://www.gov.uk</w:t>
        </w:r>
      </w:hyperlink>
      <w:r w:rsidRPr="00B06351">
        <w:t xml:space="preserve"> </w:t>
      </w:r>
    </w:p>
    <w:p w14:paraId="28D04E26" w14:textId="77777777" w:rsidR="00D21EFB" w:rsidRPr="00B06351" w:rsidRDefault="00D21EFB" w:rsidP="00D21EFB">
      <w:pPr>
        <w:pStyle w:val="L4Headers"/>
      </w:pPr>
      <w:r w:rsidRPr="00B06351">
        <w:t xml:space="preserve">Government Equalities Office (GEO): </w:t>
      </w:r>
    </w:p>
    <w:p w14:paraId="5A52CBC3" w14:textId="77777777" w:rsidR="00D21EFB" w:rsidRPr="00B06351" w:rsidRDefault="00D21EFB" w:rsidP="00D21EFB">
      <w:r w:rsidRPr="00B06351">
        <w:t>The GEO is the Government department responsible for equalities legislation and policy in the UK.</w:t>
      </w:r>
    </w:p>
    <w:p w14:paraId="355FEE61" w14:textId="77777777" w:rsidR="00D21EFB" w:rsidRPr="00B06351" w:rsidRDefault="00D21EFB" w:rsidP="00D21EFB">
      <w:r w:rsidRPr="00B06351">
        <w:rPr>
          <w:lang w:eastAsia="en-GB"/>
        </w:rPr>
        <w:t xml:space="preserve">Website: </w:t>
      </w:r>
      <w:hyperlink r:id="rId29" w:history="1">
        <w:r w:rsidRPr="00B06351">
          <w:rPr>
            <w:rStyle w:val="Hyperlink"/>
            <w:color w:val="000000"/>
            <w:lang w:eastAsia="en-GB"/>
          </w:rPr>
          <w:t>www.equalities.gov.uk</w:t>
        </w:r>
      </w:hyperlink>
    </w:p>
    <w:p w14:paraId="3C48C05A" w14:textId="77777777" w:rsidR="00D21EFB" w:rsidRPr="00343BF7" w:rsidRDefault="00D21EFB" w:rsidP="00D21EFB">
      <w:r w:rsidRPr="00343BF7">
        <w:br w:type="page"/>
      </w:r>
    </w:p>
    <w:p w14:paraId="4E08109D" w14:textId="77777777" w:rsidR="00D21EFB" w:rsidRPr="00B06351" w:rsidRDefault="00D21EFB" w:rsidP="00D21EFB">
      <w:pPr>
        <w:pStyle w:val="L4Headers"/>
      </w:pPr>
      <w:r w:rsidRPr="00B06351">
        <w:t xml:space="preserve">Law Centres Network: </w:t>
      </w:r>
    </w:p>
    <w:p w14:paraId="267241A9" w14:textId="77777777" w:rsidR="00D21EFB" w:rsidRPr="00B06351" w:rsidRDefault="00D21EFB" w:rsidP="00D21EFB">
      <w:r w:rsidRPr="00B06351">
        <w:t>The Law Centres Federation is the national co-ordinating organisation for a network of community-based law centres. Law centres provide free and independent specialist legal advice and representation to people who live or work in their catchment areas. The Federation does not itself provide legal advice, but can provide details of your nearest law centre.</w:t>
      </w:r>
    </w:p>
    <w:p w14:paraId="084DB615" w14:textId="77777777" w:rsidR="00D21EFB" w:rsidRPr="00B06351" w:rsidRDefault="00D21EFB" w:rsidP="00D21EFB">
      <w:pPr>
        <w:pStyle w:val="Parabase"/>
        <w:rPr>
          <w:lang w:eastAsia="en-GB"/>
        </w:rPr>
      </w:pPr>
      <w:r w:rsidRPr="00B06351">
        <w:rPr>
          <w:lang w:eastAsia="en-GB"/>
        </w:rPr>
        <w:t xml:space="preserve">Website: </w:t>
      </w:r>
      <w:hyperlink r:id="rId30" w:history="1">
        <w:r w:rsidRPr="00B06351">
          <w:rPr>
            <w:rStyle w:val="Hyperlink"/>
            <w:color w:val="000000"/>
            <w:lang w:eastAsia="en-GB"/>
          </w:rPr>
          <w:t>www.lawcentres.org.uk</w:t>
        </w:r>
      </w:hyperlink>
    </w:p>
    <w:p w14:paraId="284EF442" w14:textId="77777777" w:rsidR="00D21EFB" w:rsidRPr="00B06351" w:rsidRDefault="00D21EFB" w:rsidP="00D21EFB">
      <w:pPr>
        <w:pStyle w:val="Parabase"/>
        <w:rPr>
          <w:lang w:eastAsia="en-GB"/>
        </w:rPr>
      </w:pPr>
      <w:r w:rsidRPr="00B06351">
        <w:rPr>
          <w:lang w:eastAsia="en-GB"/>
        </w:rPr>
        <w:t xml:space="preserve">Telephone: </w:t>
      </w:r>
      <w:r w:rsidRPr="00B06351">
        <w:t>0203 637 1330</w:t>
      </w:r>
    </w:p>
    <w:p w14:paraId="77FD5D64" w14:textId="77777777" w:rsidR="00D21EFB" w:rsidRPr="00B06351" w:rsidRDefault="00D21EFB" w:rsidP="00D21EFB">
      <w:pPr>
        <w:pStyle w:val="L4Headers"/>
      </w:pPr>
      <w:r w:rsidRPr="00B06351">
        <w:t xml:space="preserve">The Law Society: </w:t>
      </w:r>
    </w:p>
    <w:p w14:paraId="4DF4C83A" w14:textId="77777777" w:rsidR="00D21EFB" w:rsidRPr="00B06351" w:rsidRDefault="00D21EFB" w:rsidP="00D21EFB">
      <w:r w:rsidRPr="00B06351">
        <w:t>The Law Society is the representative organisation for solicitors in England and Wales. Their website has an online directory of law firms and solicitors. You can also call their enquiry line for help in finding a solicitor. They do not provide legal advice.</w:t>
      </w:r>
    </w:p>
    <w:p w14:paraId="42B23F7F" w14:textId="77777777" w:rsidR="00D21EFB" w:rsidRPr="00B06351" w:rsidRDefault="00D21EFB" w:rsidP="00D21EFB">
      <w:pPr>
        <w:pStyle w:val="Parabase"/>
        <w:rPr>
          <w:lang w:eastAsia="en-GB"/>
        </w:rPr>
      </w:pPr>
      <w:r w:rsidRPr="00B06351">
        <w:rPr>
          <w:lang w:eastAsia="en-GB"/>
        </w:rPr>
        <w:t xml:space="preserve">Website: </w:t>
      </w:r>
      <w:hyperlink r:id="rId31" w:history="1">
        <w:r w:rsidRPr="00B06351">
          <w:rPr>
            <w:rStyle w:val="Hyperlink"/>
            <w:color w:val="000000"/>
            <w:lang w:eastAsia="en-GB"/>
          </w:rPr>
          <w:t>www.lawsociety.org.uk</w:t>
        </w:r>
      </w:hyperlink>
    </w:p>
    <w:p w14:paraId="4B3AD097" w14:textId="77777777" w:rsidR="00D21EFB" w:rsidRPr="00B06351" w:rsidRDefault="00D21EFB" w:rsidP="00D21EFB">
      <w:pPr>
        <w:pStyle w:val="Parabase"/>
        <w:rPr>
          <w:lang w:eastAsia="en-GB"/>
        </w:rPr>
      </w:pPr>
      <w:r w:rsidRPr="00B06351">
        <w:rPr>
          <w:lang w:eastAsia="en-GB"/>
        </w:rPr>
        <w:t>Telephone: 020 7242 1222 (general enquiries)</w:t>
      </w:r>
    </w:p>
    <w:p w14:paraId="2A610873" w14:textId="77777777" w:rsidR="00D21EFB" w:rsidRPr="00B06351" w:rsidRDefault="00D21EFB" w:rsidP="00D21EFB">
      <w:r w:rsidRPr="00B06351">
        <w:t>They also have a Wales office:</w:t>
      </w:r>
    </w:p>
    <w:p w14:paraId="678DE437" w14:textId="77777777" w:rsidR="00D21EFB" w:rsidRPr="00B06351" w:rsidRDefault="00D21EFB" w:rsidP="00D21EFB">
      <w:pPr>
        <w:pStyle w:val="Parabase"/>
        <w:rPr>
          <w:lang w:eastAsia="en-GB"/>
        </w:rPr>
      </w:pPr>
      <w:r w:rsidRPr="00B06351">
        <w:rPr>
          <w:lang w:eastAsia="en-GB"/>
        </w:rPr>
        <w:t xml:space="preserve">Telephone: 029 2064 5254 </w:t>
      </w:r>
    </w:p>
    <w:p w14:paraId="4978F3E9" w14:textId="77777777" w:rsidR="00D21EFB" w:rsidRPr="00B06351" w:rsidRDefault="00D21EFB" w:rsidP="00D21EFB">
      <w:pPr>
        <w:pStyle w:val="Parabase"/>
        <w:rPr>
          <w:lang w:eastAsia="en-GB"/>
        </w:rPr>
      </w:pPr>
      <w:r w:rsidRPr="00B06351">
        <w:rPr>
          <w:lang w:eastAsia="en-GB"/>
        </w:rPr>
        <w:t xml:space="preserve">Fax: 029 2022 5944 </w:t>
      </w:r>
    </w:p>
    <w:p w14:paraId="40321AFE" w14:textId="77777777" w:rsidR="00D21EFB" w:rsidRPr="00B06351" w:rsidRDefault="00D21EFB" w:rsidP="00D21EFB">
      <w:pPr>
        <w:pStyle w:val="Parabase"/>
        <w:rPr>
          <w:lang w:eastAsia="en-GB"/>
        </w:rPr>
      </w:pPr>
      <w:r w:rsidRPr="00B06351">
        <w:rPr>
          <w:lang w:eastAsia="en-GB"/>
        </w:rPr>
        <w:t xml:space="preserve">Email: </w:t>
      </w:r>
      <w:hyperlink r:id="rId32" w:history="1">
        <w:r w:rsidRPr="00B06351">
          <w:rPr>
            <w:rStyle w:val="Hyperlink"/>
            <w:color w:val="000000"/>
            <w:lang w:eastAsia="en-GB"/>
          </w:rPr>
          <w:t>wales@lawsociety.org.uk</w:t>
        </w:r>
      </w:hyperlink>
    </w:p>
    <w:p w14:paraId="5D426AF2" w14:textId="77777777" w:rsidR="00D21EFB" w:rsidRPr="00B06351" w:rsidRDefault="00D21EFB" w:rsidP="00D21EFB">
      <w:pPr>
        <w:pStyle w:val="L4Headers"/>
      </w:pPr>
      <w:r w:rsidRPr="00B06351">
        <w:t>Scottish Association of Law Centres (SALC):</w:t>
      </w:r>
    </w:p>
    <w:p w14:paraId="580DBC99" w14:textId="77777777" w:rsidR="00D21EFB" w:rsidRPr="00B06351" w:rsidRDefault="00D21EFB" w:rsidP="00D21EFB">
      <w:r w:rsidRPr="00B06351">
        <w:t>SALC represents law centres across Scotland.</w:t>
      </w:r>
    </w:p>
    <w:p w14:paraId="22092EFF" w14:textId="77777777" w:rsidR="00D21EFB" w:rsidRPr="00B06351" w:rsidRDefault="00D21EFB" w:rsidP="00D21EFB">
      <w:pPr>
        <w:pStyle w:val="Parabase"/>
        <w:rPr>
          <w:lang w:eastAsia="en-GB"/>
        </w:rPr>
      </w:pPr>
      <w:r w:rsidRPr="00B06351">
        <w:rPr>
          <w:lang w:eastAsia="en-GB"/>
        </w:rPr>
        <w:t xml:space="preserve">Website: </w:t>
      </w:r>
      <w:hyperlink r:id="rId33" w:history="1">
        <w:r w:rsidRPr="00B06351">
          <w:rPr>
            <w:rStyle w:val="Hyperlink"/>
            <w:color w:val="000000"/>
            <w:lang w:eastAsia="en-GB"/>
          </w:rPr>
          <w:t>www.scotlawcentres.blogspot.com</w:t>
        </w:r>
      </w:hyperlink>
    </w:p>
    <w:p w14:paraId="555CB850" w14:textId="77777777" w:rsidR="00D21EFB" w:rsidRPr="00B06351" w:rsidRDefault="00D21EFB" w:rsidP="00D21EFB">
      <w:pPr>
        <w:pStyle w:val="Parabase"/>
        <w:rPr>
          <w:lang w:eastAsia="en-GB"/>
        </w:rPr>
      </w:pPr>
      <w:r w:rsidRPr="00B06351">
        <w:rPr>
          <w:lang w:eastAsia="en-GB"/>
        </w:rPr>
        <w:t>Telephone: 0141 561 7266</w:t>
      </w:r>
    </w:p>
    <w:p w14:paraId="6117C06F" w14:textId="77777777" w:rsidR="00D21EFB" w:rsidRPr="00B06351" w:rsidRDefault="00D21EFB" w:rsidP="00D21EFB">
      <w:pPr>
        <w:pStyle w:val="L2Headers"/>
        <w:rPr>
          <w:lang w:eastAsia="en-GB"/>
        </w:rPr>
      </w:pPr>
      <w:bookmarkStart w:id="204" w:name="_Toc288573563"/>
      <w:bookmarkStart w:id="205" w:name="_Toc296925475"/>
      <w:bookmarkStart w:id="206" w:name="_Toc297102191"/>
      <w:bookmarkStart w:id="207" w:name="_Toc297103277"/>
      <w:bookmarkStart w:id="208" w:name="_Toc297112692"/>
      <w:bookmarkStart w:id="209" w:name="_Toc297124750"/>
      <w:bookmarkStart w:id="210" w:name="_Toc297300537"/>
      <w:r w:rsidRPr="00B06351">
        <w:rPr>
          <w:lang w:eastAsia="en-GB"/>
        </w:rPr>
        <w:t>Advice on specific issues</w:t>
      </w:r>
      <w:bookmarkEnd w:id="204"/>
      <w:bookmarkEnd w:id="205"/>
      <w:bookmarkEnd w:id="206"/>
      <w:bookmarkEnd w:id="207"/>
      <w:bookmarkEnd w:id="208"/>
      <w:bookmarkEnd w:id="209"/>
      <w:bookmarkEnd w:id="210"/>
    </w:p>
    <w:p w14:paraId="673E4753" w14:textId="77777777" w:rsidR="00D21EFB" w:rsidRPr="00B06351" w:rsidRDefault="00D21EFB" w:rsidP="00D21EFB">
      <w:pPr>
        <w:pStyle w:val="L3Heading"/>
      </w:pPr>
      <w:bookmarkStart w:id="211" w:name="_Toc288573564"/>
      <w:bookmarkStart w:id="212" w:name="_Toc297103278"/>
      <w:bookmarkStart w:id="213" w:name="_Toc297112693"/>
      <w:bookmarkStart w:id="214" w:name="_Toc297124751"/>
      <w:bookmarkStart w:id="215" w:name="_Toc297300538"/>
      <w:r w:rsidRPr="00B06351">
        <w:t>Age</w:t>
      </w:r>
      <w:bookmarkEnd w:id="211"/>
      <w:bookmarkEnd w:id="212"/>
      <w:bookmarkEnd w:id="213"/>
      <w:bookmarkEnd w:id="214"/>
      <w:bookmarkEnd w:id="215"/>
    </w:p>
    <w:p w14:paraId="5B4335A9" w14:textId="77777777" w:rsidR="00D21EFB" w:rsidRPr="00B06351" w:rsidRDefault="00D21EFB" w:rsidP="00D21EFB">
      <w:pPr>
        <w:pStyle w:val="L4Headers"/>
      </w:pPr>
      <w:r w:rsidRPr="00B06351">
        <w:t xml:space="preserve">Age UK: </w:t>
      </w:r>
    </w:p>
    <w:p w14:paraId="3C6E6D8F" w14:textId="77777777" w:rsidR="00D21EFB" w:rsidRPr="00B06351" w:rsidRDefault="00D21EFB" w:rsidP="00D21EFB">
      <w:r w:rsidRPr="00B06351">
        <w:t xml:space="preserve">Age UK aims to improve later life for everyone by providing information and advice, campaigns, products, training and research. </w:t>
      </w:r>
    </w:p>
    <w:p w14:paraId="736DE6A1" w14:textId="77777777" w:rsidR="00D21EFB" w:rsidRPr="00B06351" w:rsidRDefault="00D21EFB" w:rsidP="00D21EFB">
      <w:pPr>
        <w:pStyle w:val="Parabase"/>
        <w:rPr>
          <w:lang w:eastAsia="en-GB"/>
        </w:rPr>
      </w:pPr>
      <w:r w:rsidRPr="00B06351">
        <w:rPr>
          <w:lang w:eastAsia="en-GB"/>
        </w:rPr>
        <w:t xml:space="preserve">Website: </w:t>
      </w:r>
      <w:hyperlink r:id="rId34" w:history="1">
        <w:r w:rsidRPr="00B06351">
          <w:rPr>
            <w:rStyle w:val="Hyperlink"/>
            <w:color w:val="000000"/>
            <w:lang w:eastAsia="en-GB"/>
          </w:rPr>
          <w:t>www.ageuk.org.uk</w:t>
        </w:r>
      </w:hyperlink>
    </w:p>
    <w:p w14:paraId="5A35ACF7" w14:textId="77777777" w:rsidR="00D21EFB" w:rsidRPr="00B06351" w:rsidRDefault="00D21EFB" w:rsidP="00D21EFB">
      <w:pPr>
        <w:pStyle w:val="Parabase"/>
        <w:rPr>
          <w:lang w:eastAsia="en-GB"/>
        </w:rPr>
      </w:pPr>
      <w:r w:rsidRPr="00B06351">
        <w:rPr>
          <w:lang w:eastAsia="en-GB"/>
        </w:rPr>
        <w:t>Telephone: 0800 169 6565</w:t>
      </w:r>
    </w:p>
    <w:p w14:paraId="583970F2" w14:textId="77777777" w:rsidR="00D21EFB" w:rsidRPr="00B06351" w:rsidRDefault="00D21EFB" w:rsidP="00D21EFB">
      <w:pPr>
        <w:pStyle w:val="Parabase"/>
        <w:rPr>
          <w:lang w:eastAsia="en-GB"/>
        </w:rPr>
      </w:pPr>
      <w:r w:rsidRPr="00B06351">
        <w:rPr>
          <w:lang w:eastAsia="en-GB"/>
        </w:rPr>
        <w:t xml:space="preserve">Email: </w:t>
      </w:r>
      <w:hyperlink r:id="rId35" w:history="1">
        <w:r w:rsidRPr="00B06351">
          <w:rPr>
            <w:rStyle w:val="Hyperlink"/>
            <w:color w:val="000000"/>
            <w:lang w:eastAsia="en-GB"/>
          </w:rPr>
          <w:t>contact@ageuk.org.uk</w:t>
        </w:r>
      </w:hyperlink>
    </w:p>
    <w:p w14:paraId="2EAEDF5D" w14:textId="77777777" w:rsidR="00D21EFB" w:rsidRPr="00B06351" w:rsidRDefault="00D21EFB" w:rsidP="00D21EFB">
      <w:pPr>
        <w:pStyle w:val="L4Headers"/>
      </w:pPr>
      <w:r w:rsidRPr="00B06351">
        <w:t>ChildLine:</w:t>
      </w:r>
    </w:p>
    <w:p w14:paraId="05BBB866" w14:textId="77777777" w:rsidR="00D21EFB" w:rsidRPr="00B06351" w:rsidRDefault="00D21EFB" w:rsidP="00D21EFB">
      <w:r w:rsidRPr="00B06351">
        <w:t>ChildLine is the UK’s free, confidential helpline dedicated to children and young people. Advice can also be found on its website.</w:t>
      </w:r>
    </w:p>
    <w:p w14:paraId="0D9DCAB8" w14:textId="77777777" w:rsidR="00D21EFB" w:rsidRPr="00B06351" w:rsidRDefault="00D21EFB" w:rsidP="00D21EFB">
      <w:pPr>
        <w:pStyle w:val="Parabase"/>
        <w:rPr>
          <w:lang w:eastAsia="en-GB"/>
        </w:rPr>
      </w:pPr>
      <w:r w:rsidRPr="00B06351">
        <w:rPr>
          <w:lang w:eastAsia="en-GB"/>
        </w:rPr>
        <w:t xml:space="preserve">Website: </w:t>
      </w:r>
      <w:hyperlink r:id="rId36" w:history="1">
        <w:r w:rsidRPr="00B06351">
          <w:rPr>
            <w:rStyle w:val="Hyperlink"/>
            <w:color w:val="000000"/>
            <w:lang w:eastAsia="en-GB"/>
          </w:rPr>
          <w:t>www.childline.org.uk</w:t>
        </w:r>
      </w:hyperlink>
    </w:p>
    <w:p w14:paraId="7976A804" w14:textId="77777777" w:rsidR="00D21EFB" w:rsidRPr="00B06351" w:rsidRDefault="00D21EFB" w:rsidP="00D21EFB">
      <w:pPr>
        <w:pStyle w:val="Parabase"/>
        <w:rPr>
          <w:lang w:eastAsia="en-GB"/>
        </w:rPr>
      </w:pPr>
      <w:r w:rsidRPr="00B06351">
        <w:rPr>
          <w:lang w:eastAsia="en-GB"/>
        </w:rPr>
        <w:t>Telephone: 0800 1111</w:t>
      </w:r>
    </w:p>
    <w:p w14:paraId="5818A3FA" w14:textId="77777777" w:rsidR="00D21EFB" w:rsidRPr="00B06351" w:rsidRDefault="00D21EFB" w:rsidP="00D21EFB">
      <w:pPr>
        <w:pStyle w:val="L4Headers"/>
      </w:pPr>
      <w:r w:rsidRPr="00B06351">
        <w:t>The Children’s Legal Centre (CLC):</w:t>
      </w:r>
    </w:p>
    <w:p w14:paraId="445797D8" w14:textId="77777777" w:rsidR="00D21EFB" w:rsidRPr="00B06351" w:rsidRDefault="00D21EFB" w:rsidP="00D21EFB">
      <w:r w:rsidRPr="00B06351">
        <w:t>The CLC provides legal advice, information and representation for children and young people.</w:t>
      </w:r>
    </w:p>
    <w:p w14:paraId="6F691421" w14:textId="77777777" w:rsidR="00D21EFB" w:rsidRPr="00B06351" w:rsidRDefault="00D21EFB" w:rsidP="00D21EFB">
      <w:pPr>
        <w:pStyle w:val="Parabase"/>
        <w:rPr>
          <w:lang w:eastAsia="en-GB"/>
        </w:rPr>
      </w:pPr>
      <w:r w:rsidRPr="00B06351">
        <w:rPr>
          <w:lang w:eastAsia="en-GB"/>
        </w:rPr>
        <w:t xml:space="preserve">Website: </w:t>
      </w:r>
      <w:hyperlink r:id="rId37" w:history="1">
        <w:r w:rsidRPr="00B06351">
          <w:rPr>
            <w:rStyle w:val="Hyperlink"/>
            <w:color w:val="000000"/>
            <w:lang w:eastAsia="en-GB"/>
          </w:rPr>
          <w:t>www.childrenslegalcentre.com</w:t>
        </w:r>
      </w:hyperlink>
    </w:p>
    <w:p w14:paraId="2D362DF3" w14:textId="77777777" w:rsidR="00D21EFB" w:rsidRPr="00B06351" w:rsidRDefault="00D21EFB" w:rsidP="00D21EFB">
      <w:pPr>
        <w:pStyle w:val="Parabase"/>
        <w:rPr>
          <w:lang w:eastAsia="en-GB"/>
        </w:rPr>
      </w:pPr>
      <w:r w:rsidRPr="00B06351">
        <w:rPr>
          <w:lang w:eastAsia="en-GB"/>
        </w:rPr>
        <w:t xml:space="preserve">Telephone: </w:t>
      </w:r>
      <w:r w:rsidRPr="00B06351">
        <w:rPr>
          <w:bCs/>
        </w:rPr>
        <w:t>08088 020 008 (Mon-Fri 8am-8pm)</w:t>
      </w:r>
    </w:p>
    <w:p w14:paraId="128D95C7" w14:textId="77777777" w:rsidR="00D21EFB" w:rsidRPr="00B06351" w:rsidRDefault="00D21EFB" w:rsidP="00D21EFB">
      <w:pPr>
        <w:pStyle w:val="L4Headers"/>
      </w:pPr>
      <w:r w:rsidRPr="00B06351">
        <w:t>Children’s Rights Alliance England (CRAE):</w:t>
      </w:r>
    </w:p>
    <w:p w14:paraId="5CB7A63E" w14:textId="77777777" w:rsidR="00D21EFB" w:rsidRPr="00B06351" w:rsidRDefault="00D21EFB" w:rsidP="00D21EFB">
      <w:r w:rsidRPr="00B06351">
        <w:t>CRAE provides free legal information and advice, raises awareness of children’s human rights, and undertakes research about children’s access to their rights.</w:t>
      </w:r>
    </w:p>
    <w:p w14:paraId="0C718626" w14:textId="77777777" w:rsidR="00D21EFB" w:rsidRPr="00B06351" w:rsidRDefault="00D21EFB" w:rsidP="00D21EFB">
      <w:pPr>
        <w:pStyle w:val="Parabase"/>
      </w:pPr>
      <w:r w:rsidRPr="00B06351">
        <w:t xml:space="preserve">Website: </w:t>
      </w:r>
      <w:r w:rsidRPr="00B06351">
        <w:rPr>
          <w:rStyle w:val="Hyperlink"/>
        </w:rPr>
        <w:t>www.crae.org.uk</w:t>
      </w:r>
      <w:r w:rsidRPr="00B06351">
        <w:t xml:space="preserve"> </w:t>
      </w:r>
    </w:p>
    <w:p w14:paraId="7A340950" w14:textId="77777777" w:rsidR="00D21EFB" w:rsidRPr="00B06351" w:rsidRDefault="00D21EFB" w:rsidP="00D21EFB">
      <w:pPr>
        <w:pStyle w:val="Parabase"/>
        <w:rPr>
          <w:lang w:eastAsia="en-GB"/>
        </w:rPr>
      </w:pPr>
      <w:r w:rsidRPr="00B06351">
        <w:rPr>
          <w:lang w:eastAsia="en-GB"/>
        </w:rPr>
        <w:t>Telephone: 020 7278 8222</w:t>
      </w:r>
    </w:p>
    <w:p w14:paraId="39563407" w14:textId="77777777" w:rsidR="00D21EFB" w:rsidRPr="00B06351" w:rsidRDefault="00D21EFB" w:rsidP="00D21EFB">
      <w:pPr>
        <w:pStyle w:val="Parabase"/>
        <w:rPr>
          <w:lang w:eastAsia="en-GB"/>
        </w:rPr>
      </w:pPr>
      <w:r w:rsidRPr="00B06351">
        <w:rPr>
          <w:lang w:eastAsia="en-GB"/>
        </w:rPr>
        <w:t>Advice line (Tues to Thurs 3.30-5.30pm): 0800 32 88 759</w:t>
      </w:r>
    </w:p>
    <w:p w14:paraId="3B16D506" w14:textId="77777777" w:rsidR="00D21EFB" w:rsidRPr="00B06351" w:rsidRDefault="00D21EFB" w:rsidP="00D21EFB">
      <w:pPr>
        <w:pStyle w:val="Parabase"/>
        <w:rPr>
          <w:lang w:eastAsia="en-GB"/>
        </w:rPr>
      </w:pPr>
      <w:r w:rsidRPr="00B06351">
        <w:rPr>
          <w:lang w:eastAsia="en-GB"/>
        </w:rPr>
        <w:t xml:space="preserve">Email: </w:t>
      </w:r>
      <w:hyperlink r:id="rId38" w:history="1">
        <w:r w:rsidRPr="00B06351">
          <w:rPr>
            <w:rStyle w:val="Hyperlink"/>
            <w:color w:val="000000"/>
            <w:lang w:eastAsia="en-GB"/>
          </w:rPr>
          <w:t>info@crae.org.uk</w:t>
        </w:r>
      </w:hyperlink>
    </w:p>
    <w:p w14:paraId="75F710E8" w14:textId="77777777" w:rsidR="00D21EFB" w:rsidRPr="00B06351" w:rsidRDefault="00D21EFB" w:rsidP="00D21EFB">
      <w:pPr>
        <w:pStyle w:val="Parabase"/>
        <w:rPr>
          <w:lang w:eastAsia="en-GB"/>
        </w:rPr>
      </w:pPr>
      <w:r w:rsidRPr="00B06351">
        <w:rPr>
          <w:lang w:eastAsia="en-GB"/>
        </w:rPr>
        <w:t xml:space="preserve">Advice email: </w:t>
      </w:r>
      <w:hyperlink r:id="rId39" w:history="1">
        <w:r w:rsidRPr="00B06351">
          <w:rPr>
            <w:rStyle w:val="Hyperlink"/>
            <w:color w:val="000000"/>
            <w:lang w:eastAsia="en-GB"/>
          </w:rPr>
          <w:t>advice@crae.org.uk</w:t>
        </w:r>
      </w:hyperlink>
    </w:p>
    <w:p w14:paraId="22508A4C" w14:textId="77777777" w:rsidR="00D21EFB" w:rsidRPr="00B06351" w:rsidRDefault="00D21EFB" w:rsidP="00D21EFB">
      <w:pPr>
        <w:pStyle w:val="L3Heading"/>
      </w:pPr>
      <w:bookmarkStart w:id="216" w:name="_Toc288573565"/>
      <w:bookmarkStart w:id="217" w:name="_Toc297103279"/>
      <w:bookmarkStart w:id="218" w:name="_Toc297112694"/>
      <w:bookmarkStart w:id="219" w:name="_Toc297124752"/>
      <w:bookmarkStart w:id="220" w:name="_Toc297300539"/>
      <w:r w:rsidRPr="00B06351">
        <w:t>Carers</w:t>
      </w:r>
      <w:bookmarkEnd w:id="216"/>
      <w:bookmarkEnd w:id="217"/>
      <w:bookmarkEnd w:id="218"/>
      <w:bookmarkEnd w:id="219"/>
      <w:bookmarkEnd w:id="220"/>
    </w:p>
    <w:p w14:paraId="06D63C63" w14:textId="77777777" w:rsidR="00D21EFB" w:rsidRPr="00B06351" w:rsidRDefault="00D21EFB" w:rsidP="00D21EFB">
      <w:pPr>
        <w:pStyle w:val="L4Headers"/>
      </w:pPr>
      <w:r w:rsidRPr="00B06351">
        <w:t xml:space="preserve">CarersTrust: </w:t>
      </w:r>
    </w:p>
    <w:p w14:paraId="63D74CF9" w14:textId="77777777" w:rsidR="00D21EFB" w:rsidRPr="00B06351" w:rsidRDefault="00D21EFB" w:rsidP="00D21EFB">
      <w:r w:rsidRPr="00B06351">
        <w:t>The Princess Royal Trust for Carers is the largest provider of comprehensive carers’ support services in the UK through its unique network of 144 independently managed Carers’ Centres, 85 young carers’ services and interactive websites. The Trust currently provides quality information, advice and support services to over 400,000 carers, including approximately 25,000 young carers.</w:t>
      </w:r>
    </w:p>
    <w:p w14:paraId="55B0D056" w14:textId="77777777" w:rsidR="00D21EFB" w:rsidRPr="00B06351" w:rsidRDefault="00D21EFB" w:rsidP="00D21EFB">
      <w:pPr>
        <w:pStyle w:val="Parabase"/>
        <w:rPr>
          <w:lang w:eastAsia="en-GB"/>
        </w:rPr>
      </w:pPr>
      <w:r w:rsidRPr="00B06351">
        <w:rPr>
          <w:lang w:eastAsia="en-GB"/>
        </w:rPr>
        <w:t xml:space="preserve">Website: </w:t>
      </w:r>
      <w:hyperlink r:id="rId40" w:history="1">
        <w:r w:rsidRPr="00B06351">
          <w:rPr>
            <w:rStyle w:val="Hyperlink"/>
            <w:color w:val="000000"/>
            <w:lang w:eastAsia="en-GB"/>
          </w:rPr>
          <w:t>www.carers.org</w:t>
        </w:r>
      </w:hyperlink>
      <w:r w:rsidRPr="00B06351">
        <w:rPr>
          <w:lang w:eastAsia="en-GB"/>
        </w:rPr>
        <w:t>/</w:t>
      </w:r>
      <w:hyperlink r:id="rId41" w:history="1">
        <w:r w:rsidRPr="00B06351">
          <w:rPr>
            <w:rStyle w:val="Hyperlink"/>
            <w:color w:val="000000"/>
            <w:lang w:eastAsia="en-GB"/>
          </w:rPr>
          <w:t>www.youngcarers.net</w:t>
        </w:r>
      </w:hyperlink>
    </w:p>
    <w:p w14:paraId="7B3551F3" w14:textId="77777777" w:rsidR="00D21EFB" w:rsidRPr="00B06351" w:rsidRDefault="00D21EFB" w:rsidP="00D21EFB">
      <w:pPr>
        <w:pStyle w:val="Parabase"/>
        <w:rPr>
          <w:lang w:eastAsia="en-GB"/>
        </w:rPr>
      </w:pPr>
      <w:r w:rsidRPr="00B06351">
        <w:rPr>
          <w:lang w:eastAsia="en-GB"/>
        </w:rPr>
        <w:t>Telephone: 0844 800 4361</w:t>
      </w:r>
    </w:p>
    <w:p w14:paraId="4795C7E5" w14:textId="77777777" w:rsidR="00D21EFB" w:rsidRPr="00B06351" w:rsidRDefault="00D21EFB" w:rsidP="00D21EFB">
      <w:pPr>
        <w:pStyle w:val="Parabase"/>
        <w:rPr>
          <w:lang w:eastAsia="en-GB"/>
        </w:rPr>
      </w:pPr>
      <w:r w:rsidRPr="00B06351">
        <w:rPr>
          <w:lang w:eastAsia="en-GB"/>
        </w:rPr>
        <w:t>Fax: 0844 800 4362</w:t>
      </w:r>
    </w:p>
    <w:p w14:paraId="58227654" w14:textId="77777777" w:rsidR="00D21EFB" w:rsidRPr="00B06351" w:rsidRDefault="00D21EFB" w:rsidP="00D21EFB">
      <w:pPr>
        <w:pStyle w:val="Parabase"/>
        <w:rPr>
          <w:lang w:eastAsia="en-GB"/>
        </w:rPr>
      </w:pPr>
      <w:r w:rsidRPr="00B06351">
        <w:rPr>
          <w:lang w:eastAsia="en-GB"/>
        </w:rPr>
        <w:t xml:space="preserve">Email: </w:t>
      </w:r>
      <w:hyperlink r:id="rId42" w:history="1">
        <w:r w:rsidRPr="00B06351">
          <w:rPr>
            <w:rStyle w:val="Hyperlink"/>
            <w:color w:val="000000"/>
            <w:lang w:eastAsia="en-GB"/>
          </w:rPr>
          <w:t>info@carers.org</w:t>
        </w:r>
      </w:hyperlink>
    </w:p>
    <w:p w14:paraId="3D226210" w14:textId="77777777" w:rsidR="00D21EFB" w:rsidRPr="00B06351" w:rsidRDefault="00D21EFB" w:rsidP="00D21EFB">
      <w:r w:rsidRPr="00B06351">
        <w:br w:type="page"/>
      </w:r>
    </w:p>
    <w:p w14:paraId="6B18C8B7" w14:textId="77777777" w:rsidR="00D21EFB" w:rsidRPr="00B06351" w:rsidRDefault="00D21EFB" w:rsidP="00D21EFB">
      <w:pPr>
        <w:pStyle w:val="L4Headers"/>
      </w:pPr>
      <w:r w:rsidRPr="00B06351">
        <w:t>Carers UK:</w:t>
      </w:r>
    </w:p>
    <w:p w14:paraId="30D90A92" w14:textId="77777777" w:rsidR="00D21EFB" w:rsidRPr="00B06351" w:rsidRDefault="00D21EFB" w:rsidP="00D21EFB">
      <w:r w:rsidRPr="00B06351">
        <w:t>The voice of carers. Carers provide unpaid care by looking after an ill, frail or disabled family member, friend or partner.</w:t>
      </w:r>
    </w:p>
    <w:p w14:paraId="117740B5" w14:textId="77777777" w:rsidR="00D21EFB" w:rsidRPr="00343BF7" w:rsidRDefault="00D21EFB" w:rsidP="00D21EFB">
      <w:pPr>
        <w:pStyle w:val="Heading5"/>
      </w:pPr>
      <w:r w:rsidRPr="00343BF7">
        <w:t>England</w:t>
      </w:r>
    </w:p>
    <w:p w14:paraId="26FA260A" w14:textId="77777777" w:rsidR="00D21EFB" w:rsidRPr="00B06351" w:rsidRDefault="00D21EFB" w:rsidP="00D21EFB">
      <w:pPr>
        <w:pStyle w:val="Parabase"/>
        <w:rPr>
          <w:lang w:eastAsia="en-GB"/>
        </w:rPr>
      </w:pPr>
      <w:r w:rsidRPr="00B06351">
        <w:rPr>
          <w:lang w:eastAsia="en-GB"/>
        </w:rPr>
        <w:t xml:space="preserve">Website: </w:t>
      </w:r>
      <w:hyperlink r:id="rId43" w:history="1">
        <w:r w:rsidRPr="00B06351">
          <w:rPr>
            <w:rStyle w:val="Hyperlink"/>
            <w:color w:val="000000"/>
            <w:lang w:eastAsia="en-GB"/>
          </w:rPr>
          <w:t>www.carersuk.org</w:t>
        </w:r>
      </w:hyperlink>
    </w:p>
    <w:p w14:paraId="65920FA5" w14:textId="77777777" w:rsidR="00D21EFB" w:rsidRPr="00B06351" w:rsidRDefault="00D21EFB" w:rsidP="00D21EFB">
      <w:pPr>
        <w:pStyle w:val="Parabase"/>
      </w:pPr>
      <w:r w:rsidRPr="00B06351">
        <w:rPr>
          <w:lang w:eastAsia="en-GB"/>
        </w:rPr>
        <w:t xml:space="preserve">Telephone: </w:t>
      </w:r>
      <w:r w:rsidRPr="00B06351">
        <w:t>0808 808 7777 (Mon to Fri, from 10am until 4pm)</w:t>
      </w:r>
    </w:p>
    <w:p w14:paraId="2F6F07C1" w14:textId="77777777" w:rsidR="00D21EFB" w:rsidRPr="00B06351" w:rsidRDefault="00D21EFB" w:rsidP="00D21EFB">
      <w:pPr>
        <w:pStyle w:val="Parabase"/>
        <w:rPr>
          <w:lang w:eastAsia="en-GB"/>
        </w:rPr>
      </w:pPr>
      <w:r w:rsidRPr="00B06351">
        <w:rPr>
          <w:lang w:eastAsia="en-GB"/>
        </w:rPr>
        <w:t xml:space="preserve">Email: </w:t>
      </w:r>
      <w:hyperlink r:id="rId44" w:history="1">
        <w:r w:rsidRPr="00B06351">
          <w:rPr>
            <w:rStyle w:val="Hyperlink"/>
            <w:lang w:eastAsia="en-GB"/>
          </w:rPr>
          <w:t>info@carersuk.org</w:t>
        </w:r>
      </w:hyperlink>
      <w:r w:rsidRPr="00B06351">
        <w:rPr>
          <w:lang w:eastAsia="en-GB"/>
        </w:rPr>
        <w:t xml:space="preserve"> </w:t>
      </w:r>
    </w:p>
    <w:p w14:paraId="518956A5" w14:textId="77777777" w:rsidR="00D21EFB" w:rsidRPr="00B06351" w:rsidRDefault="00D21EFB" w:rsidP="00D21EFB">
      <w:pPr>
        <w:pStyle w:val="L3Heading"/>
      </w:pPr>
      <w:bookmarkStart w:id="221" w:name="_Toc288573566"/>
      <w:bookmarkStart w:id="222" w:name="_Toc297103280"/>
      <w:bookmarkStart w:id="223" w:name="_Toc297112695"/>
      <w:bookmarkStart w:id="224" w:name="_Toc297124753"/>
      <w:bookmarkStart w:id="225" w:name="_Toc297300540"/>
      <w:r w:rsidRPr="00B06351">
        <w:t>Disability</w:t>
      </w:r>
      <w:bookmarkEnd w:id="221"/>
      <w:bookmarkEnd w:id="222"/>
      <w:bookmarkEnd w:id="223"/>
      <w:bookmarkEnd w:id="224"/>
      <w:bookmarkEnd w:id="225"/>
      <w:r w:rsidRPr="00B06351">
        <w:t xml:space="preserve"> </w:t>
      </w:r>
    </w:p>
    <w:p w14:paraId="1CCDE87C" w14:textId="77777777" w:rsidR="00D21EFB" w:rsidRPr="00B06351" w:rsidRDefault="00D21EFB" w:rsidP="00D21EFB">
      <w:pPr>
        <w:pStyle w:val="L4Headers"/>
      </w:pPr>
      <w:r w:rsidRPr="00B06351">
        <w:t xml:space="preserve">Disability Law Service (DLS): </w:t>
      </w:r>
    </w:p>
    <w:p w14:paraId="225CB025" w14:textId="77777777" w:rsidR="00D21EFB" w:rsidRPr="00B06351" w:rsidRDefault="00D21EFB" w:rsidP="00D21EFB">
      <w:r w:rsidRPr="00B06351">
        <w:t>The DLS is a national charity providing information and advice to disabled and Deaf people. It covers a wide range of topics including discrimination, consumer issues, education and employment.</w:t>
      </w:r>
    </w:p>
    <w:p w14:paraId="58DE3FC6" w14:textId="77777777" w:rsidR="00D21EFB" w:rsidRPr="00B06351" w:rsidRDefault="00D21EFB" w:rsidP="00D21EFB">
      <w:pPr>
        <w:pStyle w:val="Parabase"/>
        <w:rPr>
          <w:lang w:eastAsia="en-GB"/>
        </w:rPr>
      </w:pPr>
      <w:r w:rsidRPr="00B06351">
        <w:rPr>
          <w:lang w:eastAsia="en-GB"/>
        </w:rPr>
        <w:t xml:space="preserve">Website: </w:t>
      </w:r>
      <w:hyperlink r:id="rId45" w:history="1">
        <w:r w:rsidRPr="00B06351">
          <w:rPr>
            <w:rStyle w:val="Hyperlink"/>
            <w:color w:val="000000"/>
            <w:lang w:eastAsia="en-GB"/>
          </w:rPr>
          <w:t>www.dls.org.uk</w:t>
        </w:r>
      </w:hyperlink>
      <w:r w:rsidRPr="00B06351">
        <w:rPr>
          <w:lang w:eastAsia="en-GB"/>
        </w:rPr>
        <w:t xml:space="preserve"> </w:t>
      </w:r>
    </w:p>
    <w:p w14:paraId="614181F1" w14:textId="77777777" w:rsidR="00D21EFB" w:rsidRPr="00B06351" w:rsidRDefault="00D21EFB" w:rsidP="00D21EFB">
      <w:pPr>
        <w:pStyle w:val="Parabase"/>
        <w:rPr>
          <w:lang w:eastAsia="en-GB"/>
        </w:rPr>
      </w:pPr>
      <w:r w:rsidRPr="00B06351">
        <w:rPr>
          <w:lang w:eastAsia="en-GB"/>
        </w:rPr>
        <w:t>Telephone: 020 7791 9800</w:t>
      </w:r>
    </w:p>
    <w:p w14:paraId="2922F3C9" w14:textId="77777777" w:rsidR="00D21EFB" w:rsidRPr="00B06351" w:rsidRDefault="00D21EFB" w:rsidP="00D21EFB">
      <w:pPr>
        <w:pStyle w:val="Parabase"/>
        <w:rPr>
          <w:lang w:eastAsia="en-GB"/>
        </w:rPr>
      </w:pPr>
      <w:r w:rsidRPr="00B06351">
        <w:rPr>
          <w:lang w:eastAsia="en-GB"/>
        </w:rPr>
        <w:t xml:space="preserve">Minicom: 020 7791 9801 </w:t>
      </w:r>
    </w:p>
    <w:p w14:paraId="3CEF3BD0" w14:textId="77777777" w:rsidR="00D21EFB" w:rsidRPr="00B06351" w:rsidRDefault="00D21EFB" w:rsidP="00D21EFB">
      <w:pPr>
        <w:pStyle w:val="L4Headers"/>
      </w:pPr>
      <w:r w:rsidRPr="00B06351">
        <w:t>Mencap:</w:t>
      </w:r>
    </w:p>
    <w:p w14:paraId="40D67394" w14:textId="77777777" w:rsidR="00D21EFB" w:rsidRPr="00B06351" w:rsidRDefault="00D21EFB" w:rsidP="00D21EFB">
      <w:r w:rsidRPr="00B06351">
        <w:t>Mencap is the leading UK charity for people with a learning disability and their families. It provides a range of services including advice and information.</w:t>
      </w:r>
    </w:p>
    <w:p w14:paraId="7E1CC682" w14:textId="77777777" w:rsidR="00D21EFB" w:rsidRPr="00B06351" w:rsidRDefault="00D21EFB" w:rsidP="00D21EFB">
      <w:pPr>
        <w:pStyle w:val="Parabase"/>
        <w:rPr>
          <w:lang w:eastAsia="en-GB"/>
        </w:rPr>
      </w:pPr>
      <w:r w:rsidRPr="00B06351">
        <w:rPr>
          <w:lang w:eastAsia="en-GB"/>
        </w:rPr>
        <w:t xml:space="preserve">Website: </w:t>
      </w:r>
      <w:hyperlink r:id="rId46" w:history="1">
        <w:r w:rsidRPr="00B06351">
          <w:rPr>
            <w:rStyle w:val="Hyperlink"/>
            <w:color w:val="000000"/>
            <w:lang w:eastAsia="en-GB"/>
          </w:rPr>
          <w:t>www.mencap.org.uk</w:t>
        </w:r>
      </w:hyperlink>
    </w:p>
    <w:p w14:paraId="30F86FF3" w14:textId="77777777" w:rsidR="00D21EFB" w:rsidRPr="00B06351" w:rsidRDefault="00D21EFB" w:rsidP="00D21EFB">
      <w:pPr>
        <w:pStyle w:val="Parabase"/>
        <w:rPr>
          <w:lang w:eastAsia="en-GB"/>
        </w:rPr>
      </w:pPr>
      <w:r w:rsidRPr="00B06351">
        <w:rPr>
          <w:lang w:eastAsia="en-GB"/>
        </w:rPr>
        <w:t>Telephone: 0808 808 1111</w:t>
      </w:r>
    </w:p>
    <w:p w14:paraId="45EB8788" w14:textId="77777777" w:rsidR="00D21EFB" w:rsidRPr="00B06351" w:rsidRDefault="00D21EFB" w:rsidP="00D21EFB">
      <w:pPr>
        <w:pStyle w:val="Parabase"/>
        <w:rPr>
          <w:lang w:eastAsia="en-GB"/>
        </w:rPr>
      </w:pPr>
      <w:r w:rsidRPr="00B06351">
        <w:rPr>
          <w:lang w:eastAsia="en-GB"/>
        </w:rPr>
        <w:t xml:space="preserve">Fax: 020 7608 3254 </w:t>
      </w:r>
    </w:p>
    <w:p w14:paraId="77BB4678" w14:textId="77777777" w:rsidR="00D21EFB" w:rsidRPr="00B06351" w:rsidRDefault="00D21EFB" w:rsidP="00D21EFB">
      <w:pPr>
        <w:pStyle w:val="Parabase"/>
        <w:rPr>
          <w:lang w:eastAsia="en-GB"/>
        </w:rPr>
      </w:pPr>
      <w:r w:rsidRPr="00B06351">
        <w:rPr>
          <w:lang w:eastAsia="en-GB"/>
        </w:rPr>
        <w:t xml:space="preserve">Email: </w:t>
      </w:r>
      <w:hyperlink r:id="rId47" w:history="1">
        <w:r w:rsidRPr="00B06351">
          <w:rPr>
            <w:rStyle w:val="Hyperlink"/>
            <w:color w:val="000000"/>
            <w:lang w:eastAsia="en-GB"/>
          </w:rPr>
          <w:t>information@mencap.org.uk</w:t>
        </w:r>
      </w:hyperlink>
    </w:p>
    <w:p w14:paraId="668B502B" w14:textId="77777777" w:rsidR="00D21EFB" w:rsidRPr="00B06351" w:rsidRDefault="00D21EFB" w:rsidP="00D21EFB">
      <w:pPr>
        <w:pStyle w:val="L4Headers"/>
      </w:pPr>
      <w:r w:rsidRPr="00B06351">
        <w:t xml:space="preserve">Mind: </w:t>
      </w:r>
    </w:p>
    <w:p w14:paraId="098F7517" w14:textId="77777777" w:rsidR="00D21EFB" w:rsidRPr="00B06351" w:rsidRDefault="00D21EFB" w:rsidP="00D21EFB">
      <w:r w:rsidRPr="00B06351">
        <w:t>Mind is the leading mental health charity for England and Wales. It provides information to help promote understanding of mental health and campaigns to promote and protect good mental health. It has an info-line and a legal services line, and also provides online advice.</w:t>
      </w:r>
    </w:p>
    <w:p w14:paraId="5F8BA34F" w14:textId="77777777" w:rsidR="00D21EFB" w:rsidRPr="00B06351" w:rsidRDefault="00D21EFB" w:rsidP="00D21EFB">
      <w:pPr>
        <w:pStyle w:val="Parabase"/>
        <w:rPr>
          <w:lang w:eastAsia="en-GB"/>
        </w:rPr>
      </w:pPr>
      <w:r w:rsidRPr="00B06351">
        <w:rPr>
          <w:lang w:eastAsia="en-GB"/>
        </w:rPr>
        <w:t xml:space="preserve">Website: </w:t>
      </w:r>
      <w:hyperlink r:id="rId48" w:history="1">
        <w:r w:rsidRPr="00B06351">
          <w:rPr>
            <w:rStyle w:val="Hyperlink"/>
            <w:color w:val="000000"/>
            <w:lang w:eastAsia="en-GB"/>
          </w:rPr>
          <w:t>www.mind.org.uk</w:t>
        </w:r>
      </w:hyperlink>
    </w:p>
    <w:p w14:paraId="0B04F122" w14:textId="77777777" w:rsidR="00D21EFB" w:rsidRPr="00B06351" w:rsidRDefault="00D21EFB" w:rsidP="00D21EFB">
      <w:pPr>
        <w:pStyle w:val="Parabase"/>
        <w:rPr>
          <w:lang w:eastAsia="en-GB"/>
        </w:rPr>
      </w:pPr>
      <w:r w:rsidRPr="00B06351">
        <w:rPr>
          <w:lang w:eastAsia="en-GB"/>
        </w:rPr>
        <w:t>Infoline: 0845 766 0163</w:t>
      </w:r>
    </w:p>
    <w:p w14:paraId="57A35A40" w14:textId="77777777" w:rsidR="00D21EFB" w:rsidRPr="00B06351" w:rsidRDefault="00D21EFB" w:rsidP="00D21EFB">
      <w:pPr>
        <w:pStyle w:val="Parabase"/>
        <w:rPr>
          <w:lang w:eastAsia="en-GB"/>
        </w:rPr>
      </w:pPr>
      <w:r w:rsidRPr="00B06351">
        <w:rPr>
          <w:lang w:eastAsia="en-GB"/>
        </w:rPr>
        <w:t>Legal Advice Service: 0845 2259393</w:t>
      </w:r>
    </w:p>
    <w:p w14:paraId="30CA2C3B" w14:textId="77777777" w:rsidR="00D21EFB" w:rsidRPr="00B06351" w:rsidRDefault="00D21EFB" w:rsidP="00D21EFB">
      <w:pPr>
        <w:pStyle w:val="Parabase"/>
        <w:rPr>
          <w:lang w:eastAsia="en-GB"/>
        </w:rPr>
      </w:pPr>
      <w:r w:rsidRPr="00B06351">
        <w:rPr>
          <w:lang w:eastAsia="en-GB"/>
        </w:rPr>
        <w:t xml:space="preserve">Email: </w:t>
      </w:r>
      <w:hyperlink r:id="rId49" w:history="1">
        <w:r w:rsidRPr="00B06351">
          <w:rPr>
            <w:rStyle w:val="Hyperlink"/>
            <w:color w:val="000000"/>
            <w:lang w:eastAsia="en-GB"/>
          </w:rPr>
          <w:t>legal@mind.org.uk</w:t>
        </w:r>
      </w:hyperlink>
    </w:p>
    <w:p w14:paraId="570FAB40" w14:textId="77777777" w:rsidR="00D21EFB" w:rsidRPr="00B06351" w:rsidRDefault="00D21EFB" w:rsidP="00D21EFB">
      <w:pPr>
        <w:pStyle w:val="L4Headers"/>
      </w:pPr>
      <w:r w:rsidRPr="00B06351">
        <w:t>Disability Rights UK:</w:t>
      </w:r>
    </w:p>
    <w:p w14:paraId="0F298B99" w14:textId="77777777" w:rsidR="00D21EFB" w:rsidRPr="00B06351" w:rsidRDefault="00D21EFB" w:rsidP="00D21EFB">
      <w:r w:rsidRPr="00B06351">
        <w:t>Disability Rights UK is a national umbrella organisation with around 500 member groups. It campaigns for equal rights for disabled people and gives information and advice on disability issues.</w:t>
      </w:r>
    </w:p>
    <w:p w14:paraId="47DD1BC9" w14:textId="77777777" w:rsidR="00D21EFB" w:rsidRPr="00B06351" w:rsidRDefault="00D21EFB" w:rsidP="00D21EFB">
      <w:pPr>
        <w:pStyle w:val="Parabase"/>
        <w:rPr>
          <w:lang w:eastAsia="en-GB"/>
        </w:rPr>
      </w:pPr>
      <w:r w:rsidRPr="00B06351">
        <w:rPr>
          <w:lang w:eastAsia="en-GB"/>
        </w:rPr>
        <w:t xml:space="preserve">Website: </w:t>
      </w:r>
      <w:hyperlink r:id="rId50" w:history="1">
        <w:r w:rsidRPr="00B06351">
          <w:rPr>
            <w:rStyle w:val="Hyperlink"/>
            <w:lang w:eastAsia="en-GB"/>
          </w:rPr>
          <w:t>http://disabilityrightsuk.org/</w:t>
        </w:r>
      </w:hyperlink>
    </w:p>
    <w:p w14:paraId="087FD87F" w14:textId="77777777" w:rsidR="00D21EFB" w:rsidRPr="00B06351" w:rsidRDefault="00D21EFB" w:rsidP="00D21EFB">
      <w:pPr>
        <w:pStyle w:val="Parabase"/>
        <w:rPr>
          <w:lang w:eastAsia="en-GB"/>
        </w:rPr>
      </w:pPr>
      <w:r w:rsidRPr="00B06351">
        <w:rPr>
          <w:lang w:eastAsia="en-GB"/>
        </w:rPr>
        <w:t xml:space="preserve">Telephone: </w:t>
      </w:r>
      <w:r w:rsidRPr="00B06351">
        <w:t>020 7250 3222</w:t>
      </w:r>
    </w:p>
    <w:p w14:paraId="2BA137E3" w14:textId="77777777" w:rsidR="00D21EFB" w:rsidRPr="00B06351" w:rsidRDefault="00D21EFB" w:rsidP="00D21EFB">
      <w:pPr>
        <w:pStyle w:val="Parabase"/>
        <w:rPr>
          <w:lang w:eastAsia="en-GB"/>
        </w:rPr>
      </w:pPr>
      <w:r w:rsidRPr="00B06351">
        <w:rPr>
          <w:lang w:eastAsia="en-GB"/>
        </w:rPr>
        <w:t xml:space="preserve">Fax: </w:t>
      </w:r>
      <w:r w:rsidRPr="00B06351">
        <w:t>020 7247 8765</w:t>
      </w:r>
    </w:p>
    <w:p w14:paraId="62E9B855" w14:textId="77777777" w:rsidR="00D21EFB" w:rsidRPr="00B06351" w:rsidRDefault="00D21EFB" w:rsidP="00D21EFB">
      <w:pPr>
        <w:pStyle w:val="Parabase"/>
        <w:rPr>
          <w:lang w:eastAsia="en-GB"/>
        </w:rPr>
      </w:pPr>
      <w:r w:rsidRPr="00B06351">
        <w:rPr>
          <w:lang w:eastAsia="en-GB"/>
        </w:rPr>
        <w:t>Minicom: 020 7250 4119</w:t>
      </w:r>
    </w:p>
    <w:p w14:paraId="3B518FE9" w14:textId="77777777" w:rsidR="00D21EFB" w:rsidRPr="00B06351" w:rsidRDefault="00D21EFB" w:rsidP="00D21EFB">
      <w:pPr>
        <w:pStyle w:val="Parabase"/>
        <w:rPr>
          <w:lang w:eastAsia="en-GB"/>
        </w:rPr>
      </w:pPr>
      <w:r w:rsidRPr="00B06351">
        <w:rPr>
          <w:lang w:eastAsia="en-GB"/>
        </w:rPr>
        <w:t xml:space="preserve">Email: </w:t>
      </w:r>
      <w:hyperlink r:id="rId51" w:history="1">
        <w:r w:rsidRPr="00B06351">
          <w:rPr>
            <w:rStyle w:val="Hyperlink"/>
          </w:rPr>
          <w:t>enquiries@disabilityrightsuk.org</w:t>
        </w:r>
      </w:hyperlink>
      <w:r w:rsidRPr="00B06351">
        <w:t xml:space="preserve"> </w:t>
      </w:r>
    </w:p>
    <w:p w14:paraId="430AC139" w14:textId="77777777" w:rsidR="00D21EFB" w:rsidRPr="00B06351" w:rsidRDefault="00D21EFB" w:rsidP="00D21EFB">
      <w:pPr>
        <w:pStyle w:val="L4Headers"/>
      </w:pPr>
      <w:r w:rsidRPr="00B06351">
        <w:t>Rethink:</w:t>
      </w:r>
    </w:p>
    <w:p w14:paraId="0EA390E9" w14:textId="77777777" w:rsidR="00D21EFB" w:rsidRPr="00B06351" w:rsidRDefault="00D21EFB" w:rsidP="00D21EFB">
      <w:r w:rsidRPr="00B06351">
        <w:t>Rethink helps over 48,000 people every year through its services, support groups and by providing information on mental health conditions.</w:t>
      </w:r>
    </w:p>
    <w:p w14:paraId="33FAEF05" w14:textId="77777777" w:rsidR="00D21EFB" w:rsidRPr="00B06351" w:rsidRDefault="00D21EFB" w:rsidP="00D21EFB">
      <w:pPr>
        <w:pStyle w:val="Parabase"/>
        <w:rPr>
          <w:lang w:eastAsia="en-GB"/>
        </w:rPr>
      </w:pPr>
      <w:r w:rsidRPr="00B06351">
        <w:rPr>
          <w:lang w:eastAsia="en-GB"/>
        </w:rPr>
        <w:t xml:space="preserve">Website: </w:t>
      </w:r>
      <w:hyperlink r:id="rId52" w:history="1">
        <w:r w:rsidRPr="00B06351">
          <w:rPr>
            <w:rStyle w:val="Hyperlink"/>
            <w:color w:val="000000"/>
            <w:lang w:eastAsia="en-GB"/>
          </w:rPr>
          <w:t>www.rethink.org</w:t>
        </w:r>
      </w:hyperlink>
    </w:p>
    <w:p w14:paraId="3CB06B62" w14:textId="77777777" w:rsidR="00D21EFB" w:rsidRPr="00B06351" w:rsidRDefault="00D21EFB" w:rsidP="00D21EFB">
      <w:pPr>
        <w:pStyle w:val="Parabase"/>
        <w:rPr>
          <w:lang w:eastAsia="en-GB"/>
        </w:rPr>
      </w:pPr>
      <w:r w:rsidRPr="00B06351">
        <w:t>Telephone: 0300 5000 927</w:t>
      </w:r>
      <w:r w:rsidRPr="00B06351" w:rsidDel="00902D5A">
        <w:t xml:space="preserve"> </w:t>
      </w:r>
      <w:r w:rsidRPr="00B06351">
        <w:t>(10</w:t>
      </w:r>
      <w:r w:rsidRPr="00B06351">
        <w:rPr>
          <w:lang w:eastAsia="en-GB"/>
        </w:rPr>
        <w:t xml:space="preserve">:00 to 13:00 Monday–Friday) </w:t>
      </w:r>
    </w:p>
    <w:p w14:paraId="57145CE7" w14:textId="77777777" w:rsidR="00D21EFB" w:rsidRPr="00B06351" w:rsidRDefault="00D21EFB" w:rsidP="00D21EFB">
      <w:pPr>
        <w:pStyle w:val="Parabase"/>
        <w:rPr>
          <w:lang w:eastAsia="en-GB"/>
        </w:rPr>
      </w:pPr>
      <w:r w:rsidRPr="00B06351">
        <w:rPr>
          <w:lang w:eastAsia="en-GB"/>
        </w:rPr>
        <w:t xml:space="preserve">Email: </w:t>
      </w:r>
      <w:hyperlink r:id="rId53" w:history="1">
        <w:r w:rsidRPr="00B06351">
          <w:rPr>
            <w:rStyle w:val="Hyperlink"/>
            <w:color w:val="000000"/>
            <w:lang w:eastAsia="en-GB"/>
          </w:rPr>
          <w:t>advice@rethink.org</w:t>
        </w:r>
      </w:hyperlink>
    </w:p>
    <w:p w14:paraId="433CDCA4" w14:textId="77777777" w:rsidR="00D21EFB" w:rsidRPr="00B06351" w:rsidRDefault="00D21EFB" w:rsidP="00D21EFB">
      <w:pPr>
        <w:pStyle w:val="L4Headers"/>
      </w:pPr>
      <w:r w:rsidRPr="00B06351">
        <w:t>Royal National Institute for the Blind (RNIB):</w:t>
      </w:r>
    </w:p>
    <w:p w14:paraId="10E94770" w14:textId="77777777" w:rsidR="00D21EFB" w:rsidRPr="00B06351" w:rsidRDefault="00D21EFB" w:rsidP="00D21EFB">
      <w:r w:rsidRPr="00B06351">
        <w:t>The RNIB is the UK’s leading charity offering information, support and advice to over two million people with sight loss.</w:t>
      </w:r>
    </w:p>
    <w:p w14:paraId="60664E94" w14:textId="77777777" w:rsidR="00D21EFB" w:rsidRPr="00B06351" w:rsidRDefault="00D21EFB" w:rsidP="00D21EFB">
      <w:pPr>
        <w:pStyle w:val="Parabase"/>
        <w:rPr>
          <w:lang w:eastAsia="en-GB"/>
        </w:rPr>
      </w:pPr>
      <w:r w:rsidRPr="00B06351">
        <w:rPr>
          <w:lang w:eastAsia="en-GB"/>
        </w:rPr>
        <w:t xml:space="preserve">Website: </w:t>
      </w:r>
      <w:hyperlink r:id="rId54" w:history="1">
        <w:r w:rsidRPr="00B06351">
          <w:rPr>
            <w:rStyle w:val="Hyperlink"/>
            <w:color w:val="000000"/>
            <w:lang w:eastAsia="en-GB"/>
          </w:rPr>
          <w:t>www.rnib.org.uk</w:t>
        </w:r>
      </w:hyperlink>
    </w:p>
    <w:p w14:paraId="4FE17B20" w14:textId="77777777" w:rsidR="00D21EFB" w:rsidRPr="00B06351" w:rsidRDefault="00D21EFB" w:rsidP="00D21EFB">
      <w:pPr>
        <w:pStyle w:val="Parabase"/>
        <w:rPr>
          <w:lang w:eastAsia="en-GB"/>
        </w:rPr>
      </w:pPr>
      <w:r w:rsidRPr="00B06351">
        <w:rPr>
          <w:lang w:eastAsia="en-GB"/>
        </w:rPr>
        <w:t>Helpline: 0303 123 9999</w:t>
      </w:r>
    </w:p>
    <w:p w14:paraId="183D6207" w14:textId="77777777" w:rsidR="00D21EFB" w:rsidRPr="00B06351" w:rsidRDefault="00D21EFB" w:rsidP="00D21EFB">
      <w:pPr>
        <w:pStyle w:val="Parabase"/>
        <w:rPr>
          <w:lang w:eastAsia="en-GB"/>
        </w:rPr>
      </w:pPr>
      <w:r w:rsidRPr="00B06351">
        <w:rPr>
          <w:lang w:eastAsia="en-GB"/>
        </w:rPr>
        <w:t xml:space="preserve">Email: </w:t>
      </w:r>
      <w:hyperlink r:id="rId55" w:history="1">
        <w:r w:rsidRPr="00B06351">
          <w:rPr>
            <w:rStyle w:val="Hyperlink"/>
            <w:color w:val="000000"/>
            <w:lang w:eastAsia="en-GB"/>
          </w:rPr>
          <w:t>helpline@rnib.org.uk</w:t>
        </w:r>
      </w:hyperlink>
    </w:p>
    <w:p w14:paraId="05E67380" w14:textId="77777777" w:rsidR="00D21EFB" w:rsidRPr="00B06351" w:rsidRDefault="00D21EFB" w:rsidP="00D21EFB">
      <w:pPr>
        <w:pStyle w:val="L4Headers"/>
      </w:pPr>
      <w:r w:rsidRPr="00B06351">
        <w:t>Action on hearing loss:</w:t>
      </w:r>
    </w:p>
    <w:p w14:paraId="74E99784" w14:textId="77777777" w:rsidR="00D21EFB" w:rsidRPr="00B06351" w:rsidRDefault="00D21EFB" w:rsidP="00D21EFB">
      <w:r w:rsidRPr="00B06351">
        <w:t>Action on hearing loss (previously RNID) offers a range of services for Deaf and hard of hearing people and provides information and support on all aspects of deafness, hearing loss and tinnitus.</w:t>
      </w:r>
    </w:p>
    <w:p w14:paraId="40668EA0" w14:textId="77777777" w:rsidR="00D21EFB" w:rsidRPr="00B06351" w:rsidRDefault="00D21EFB" w:rsidP="00D21EFB">
      <w:pPr>
        <w:pStyle w:val="Parabase"/>
      </w:pPr>
      <w:r w:rsidRPr="00B06351">
        <w:t xml:space="preserve">Website: </w:t>
      </w:r>
      <w:hyperlink r:id="rId56" w:history="1">
        <w:r w:rsidRPr="00B06351">
          <w:rPr>
            <w:rStyle w:val="Hyperlink"/>
          </w:rPr>
          <w:t>http://www.actiononhearingloss.org.uk</w:t>
        </w:r>
      </w:hyperlink>
    </w:p>
    <w:p w14:paraId="397A6AB7" w14:textId="77777777" w:rsidR="00D21EFB" w:rsidRPr="00B06351" w:rsidRDefault="00D21EFB" w:rsidP="00D21EFB">
      <w:pPr>
        <w:pStyle w:val="Parabase"/>
        <w:rPr>
          <w:lang w:eastAsia="en-GB"/>
        </w:rPr>
      </w:pPr>
      <w:r w:rsidRPr="00B06351">
        <w:rPr>
          <w:lang w:eastAsia="en-GB"/>
        </w:rPr>
        <w:t>Telephone: 0808 808 0123</w:t>
      </w:r>
    </w:p>
    <w:p w14:paraId="285CB91C" w14:textId="77777777" w:rsidR="00D21EFB" w:rsidRPr="00B06351" w:rsidRDefault="00D21EFB" w:rsidP="00D21EFB">
      <w:pPr>
        <w:pStyle w:val="Parabase"/>
        <w:rPr>
          <w:lang w:eastAsia="en-GB"/>
        </w:rPr>
      </w:pPr>
      <w:r w:rsidRPr="00B06351">
        <w:rPr>
          <w:lang w:eastAsia="en-GB"/>
        </w:rPr>
        <w:t>Textphone: 0808 808 9000</w:t>
      </w:r>
    </w:p>
    <w:p w14:paraId="08363DB8" w14:textId="77777777" w:rsidR="00D21EFB" w:rsidRPr="00B06351" w:rsidRDefault="00D21EFB" w:rsidP="00D21EFB">
      <w:pPr>
        <w:pStyle w:val="Parabase"/>
      </w:pPr>
      <w:r w:rsidRPr="00B06351">
        <w:t xml:space="preserve">Email: </w:t>
      </w:r>
      <w:hyperlink r:id="rId57" w:history="1">
        <w:r w:rsidRPr="00B06351">
          <w:rPr>
            <w:rStyle w:val="Hyperlink"/>
          </w:rPr>
          <w:t>informationline@hearingloss.org.uk</w:t>
        </w:r>
      </w:hyperlink>
      <w:r w:rsidRPr="00B06351">
        <w:t xml:space="preserve"> </w:t>
      </w:r>
    </w:p>
    <w:p w14:paraId="23EA6774" w14:textId="77777777" w:rsidR="00D21EFB" w:rsidRPr="00B06351" w:rsidRDefault="00255B48" w:rsidP="00D21EFB">
      <w:pPr>
        <w:pStyle w:val="Parabase"/>
      </w:pPr>
      <w:hyperlink r:id="rId58" w:history="1">
        <w:r w:rsidR="00D21EFB" w:rsidRPr="00B06351">
          <w:rPr>
            <w:rStyle w:val="Hyperlink"/>
          </w:rPr>
          <w:t>tinnitushelpline@hearingloss.org.uk</w:t>
        </w:r>
      </w:hyperlink>
      <w:r w:rsidR="00D21EFB" w:rsidRPr="00B06351">
        <w:t xml:space="preserve"> </w:t>
      </w:r>
    </w:p>
    <w:p w14:paraId="728F9C0A" w14:textId="77777777" w:rsidR="00D21EFB" w:rsidRPr="00F11BDD" w:rsidRDefault="00D21EFB" w:rsidP="00D21EFB">
      <w:r w:rsidRPr="00F11BDD">
        <w:br w:type="page"/>
      </w:r>
    </w:p>
    <w:p w14:paraId="0A620FBE" w14:textId="77777777" w:rsidR="00D21EFB" w:rsidRPr="00B06351" w:rsidRDefault="00D21EFB" w:rsidP="00D21EFB">
      <w:pPr>
        <w:pStyle w:val="L4Headers"/>
      </w:pPr>
      <w:r w:rsidRPr="00B06351">
        <w:t>SCOPE:</w:t>
      </w:r>
    </w:p>
    <w:p w14:paraId="6F0292E9" w14:textId="77777777" w:rsidR="00D21EFB" w:rsidRPr="00B06351" w:rsidRDefault="00D21EFB" w:rsidP="00D21EFB">
      <w:r w:rsidRPr="00B06351">
        <w:t>Scope is the leading UK disability charity for children and adults with cerebral palsy. It provides information, help, support and advice on disability issues.</w:t>
      </w:r>
    </w:p>
    <w:p w14:paraId="50CAD8E6" w14:textId="77777777" w:rsidR="00D21EFB" w:rsidRPr="00B06351" w:rsidRDefault="00D21EFB" w:rsidP="00D21EFB">
      <w:pPr>
        <w:pStyle w:val="Parabase"/>
      </w:pPr>
      <w:r w:rsidRPr="00B06351">
        <w:t xml:space="preserve">Website: </w:t>
      </w:r>
      <w:hyperlink r:id="rId59" w:history="1">
        <w:r w:rsidRPr="00B06351">
          <w:rPr>
            <w:rStyle w:val="Hyperlink"/>
          </w:rPr>
          <w:t>www.scope.org.uk</w:t>
        </w:r>
      </w:hyperlink>
    </w:p>
    <w:p w14:paraId="10EFCAE5" w14:textId="77777777" w:rsidR="00D21EFB" w:rsidRPr="00B06351" w:rsidRDefault="00D21EFB" w:rsidP="00D21EFB">
      <w:pPr>
        <w:pStyle w:val="Parabase"/>
      </w:pPr>
      <w:r w:rsidRPr="00B06351">
        <w:t>Helpline: 0808 800 3333 (9am and 5pm on weekdays)</w:t>
      </w:r>
    </w:p>
    <w:p w14:paraId="5A4776C7" w14:textId="77777777" w:rsidR="00D21EFB" w:rsidRPr="00B06351" w:rsidRDefault="00D21EFB" w:rsidP="00D21EFB">
      <w:pPr>
        <w:pStyle w:val="Parabase"/>
      </w:pPr>
      <w:r w:rsidRPr="00B06351">
        <w:t>Text SCOPE, plus your message to 80039</w:t>
      </w:r>
    </w:p>
    <w:p w14:paraId="02A483FE" w14:textId="77777777" w:rsidR="00D21EFB" w:rsidRPr="00B06351" w:rsidRDefault="00D21EFB" w:rsidP="00D21EFB">
      <w:pPr>
        <w:pStyle w:val="Parabase"/>
      </w:pPr>
      <w:r w:rsidRPr="00B06351">
        <w:t xml:space="preserve">Email: </w:t>
      </w:r>
      <w:hyperlink r:id="rId60" w:history="1">
        <w:r w:rsidRPr="00B06351">
          <w:rPr>
            <w:rStyle w:val="Hyperlink"/>
          </w:rPr>
          <w:t>response@scope.org.uk</w:t>
        </w:r>
      </w:hyperlink>
      <w:r w:rsidRPr="00B06351">
        <w:t xml:space="preserve"> </w:t>
      </w:r>
    </w:p>
    <w:p w14:paraId="7C6856A0" w14:textId="77777777" w:rsidR="00D21EFB" w:rsidRPr="00B06351" w:rsidRDefault="00D21EFB" w:rsidP="00D21EFB">
      <w:pPr>
        <w:pStyle w:val="L4Headers"/>
      </w:pPr>
      <w:r w:rsidRPr="00B06351">
        <w:t>Terrence Higgins Trust:</w:t>
      </w:r>
    </w:p>
    <w:p w14:paraId="49D03089" w14:textId="77777777" w:rsidR="00D21EFB" w:rsidRPr="00B06351" w:rsidRDefault="00D21EFB" w:rsidP="00D21EFB">
      <w:r w:rsidRPr="00B06351">
        <w:t>Terrence Higgins Trust is the leading and largest HIV and sexual health charity in the UK. It offers a range of services including advice and information for people affected by HIV.</w:t>
      </w:r>
    </w:p>
    <w:p w14:paraId="52E2E4A4" w14:textId="77777777" w:rsidR="00D21EFB" w:rsidRPr="00B06351" w:rsidRDefault="00D21EFB" w:rsidP="00D21EFB">
      <w:pPr>
        <w:pStyle w:val="Parabase"/>
        <w:rPr>
          <w:lang w:eastAsia="en-GB"/>
        </w:rPr>
      </w:pPr>
      <w:r w:rsidRPr="00B06351">
        <w:rPr>
          <w:lang w:eastAsia="en-GB"/>
        </w:rPr>
        <w:t xml:space="preserve">Website: </w:t>
      </w:r>
      <w:hyperlink r:id="rId61" w:history="1">
        <w:r w:rsidRPr="00B06351">
          <w:rPr>
            <w:rStyle w:val="Hyperlink"/>
            <w:color w:val="000000"/>
            <w:lang w:eastAsia="en-GB"/>
          </w:rPr>
          <w:t>www.tht.org.uk</w:t>
        </w:r>
      </w:hyperlink>
    </w:p>
    <w:p w14:paraId="656A3E7E" w14:textId="77777777" w:rsidR="00D21EFB" w:rsidRPr="00B06351" w:rsidRDefault="00D21EFB" w:rsidP="00D21EFB">
      <w:pPr>
        <w:pStyle w:val="Parabase"/>
      </w:pPr>
      <w:r w:rsidRPr="00B06351">
        <w:t xml:space="preserve">Telephone: 0808 802 1221 (Mon to Fri, 9.30am to 5.30pm) </w:t>
      </w:r>
    </w:p>
    <w:p w14:paraId="37EC5C96" w14:textId="77777777" w:rsidR="00D21EFB" w:rsidRPr="00B06351" w:rsidRDefault="00D21EFB" w:rsidP="00D21EFB">
      <w:pPr>
        <w:pStyle w:val="Parabase"/>
      </w:pPr>
      <w:r w:rsidRPr="00B06351">
        <w:t>Fax: 020 7812 1601</w:t>
      </w:r>
    </w:p>
    <w:p w14:paraId="01A8C727" w14:textId="77777777" w:rsidR="00D21EFB" w:rsidRPr="00B06351" w:rsidRDefault="00D21EFB" w:rsidP="00D21EFB">
      <w:pPr>
        <w:pStyle w:val="Parabase"/>
      </w:pPr>
      <w:r w:rsidRPr="00B06351">
        <w:t xml:space="preserve">Email: </w:t>
      </w:r>
      <w:hyperlink r:id="rId62" w:history="1">
        <w:r w:rsidRPr="00B06351">
          <w:rPr>
            <w:rStyle w:val="Hyperlink"/>
          </w:rPr>
          <w:t>info@tht.org.uk</w:t>
        </w:r>
      </w:hyperlink>
      <w:r w:rsidRPr="00B06351">
        <w:t xml:space="preserve"> </w:t>
      </w:r>
    </w:p>
    <w:p w14:paraId="42ECE2C8" w14:textId="77777777" w:rsidR="00D21EFB" w:rsidRPr="00B06351" w:rsidRDefault="00D21EFB" w:rsidP="00D21EFB">
      <w:pPr>
        <w:pStyle w:val="L3Heading"/>
      </w:pPr>
      <w:bookmarkStart w:id="226" w:name="_Toc288573567"/>
      <w:bookmarkStart w:id="227" w:name="_Toc297103281"/>
      <w:bookmarkStart w:id="228" w:name="_Toc297112696"/>
      <w:bookmarkStart w:id="229" w:name="_Toc297124754"/>
      <w:bookmarkStart w:id="230" w:name="_Toc297300541"/>
      <w:r w:rsidRPr="00B06351">
        <w:t>Gender</w:t>
      </w:r>
      <w:bookmarkEnd w:id="226"/>
      <w:bookmarkEnd w:id="227"/>
      <w:bookmarkEnd w:id="228"/>
      <w:bookmarkEnd w:id="229"/>
      <w:bookmarkEnd w:id="230"/>
    </w:p>
    <w:p w14:paraId="14C4F4AB" w14:textId="77777777" w:rsidR="00D21EFB" w:rsidRPr="00B06351" w:rsidRDefault="00D21EFB" w:rsidP="00D21EFB">
      <w:pPr>
        <w:pStyle w:val="L4Headers"/>
      </w:pPr>
      <w:r w:rsidRPr="00B06351">
        <w:t>Gingerbread:</w:t>
      </w:r>
    </w:p>
    <w:p w14:paraId="62EAF32D" w14:textId="77777777" w:rsidR="00D21EFB" w:rsidRPr="00B06351" w:rsidRDefault="00D21EFB" w:rsidP="00D21EFB">
      <w:r w:rsidRPr="00B06351">
        <w:t>Gingerbread is a national and local charity working for, and with, single parent families, to improve their lives. It lobbies and campaigns to raise awareness and provides advice and information for single parents.</w:t>
      </w:r>
    </w:p>
    <w:p w14:paraId="6A7FE1E2" w14:textId="77777777" w:rsidR="00D21EFB" w:rsidRPr="00B06351" w:rsidRDefault="00D21EFB" w:rsidP="00D21EFB">
      <w:pPr>
        <w:pStyle w:val="Parabase"/>
        <w:rPr>
          <w:lang w:eastAsia="en-GB"/>
        </w:rPr>
      </w:pPr>
      <w:r w:rsidRPr="00B06351">
        <w:rPr>
          <w:lang w:eastAsia="en-GB"/>
        </w:rPr>
        <w:t xml:space="preserve">Website: </w:t>
      </w:r>
      <w:hyperlink r:id="rId63" w:history="1">
        <w:r w:rsidRPr="00B06351">
          <w:rPr>
            <w:rStyle w:val="Hyperlink"/>
            <w:color w:val="000000"/>
            <w:lang w:eastAsia="en-GB"/>
          </w:rPr>
          <w:t>www.gingerbread.org.uk</w:t>
        </w:r>
      </w:hyperlink>
    </w:p>
    <w:p w14:paraId="47098174" w14:textId="77777777" w:rsidR="00D21EFB" w:rsidRPr="00B06351" w:rsidRDefault="00D21EFB" w:rsidP="00D21EFB">
      <w:pPr>
        <w:pStyle w:val="Parabase"/>
        <w:rPr>
          <w:lang w:eastAsia="en-GB"/>
        </w:rPr>
      </w:pPr>
      <w:r w:rsidRPr="00B06351">
        <w:rPr>
          <w:lang w:eastAsia="en-GB"/>
        </w:rPr>
        <w:t>Telephone: 0808 802 0925 (single parent helpline)</w:t>
      </w:r>
    </w:p>
    <w:p w14:paraId="52B81DA0" w14:textId="77777777" w:rsidR="00D21EFB" w:rsidRPr="00B06351" w:rsidRDefault="00D21EFB" w:rsidP="00D21EFB">
      <w:pPr>
        <w:pStyle w:val="Parabase"/>
        <w:rPr>
          <w:lang w:eastAsia="en-GB"/>
        </w:rPr>
      </w:pPr>
      <w:r w:rsidRPr="00B06351">
        <w:rPr>
          <w:lang w:eastAsia="en-GB"/>
        </w:rPr>
        <w:t xml:space="preserve">Email: </w:t>
      </w:r>
      <w:hyperlink r:id="rId64" w:history="1">
        <w:r w:rsidRPr="00B06351">
          <w:rPr>
            <w:rStyle w:val="Hyperlink"/>
            <w:color w:val="000000"/>
            <w:lang w:eastAsia="en-GB"/>
          </w:rPr>
          <w:t>info@gingerbread.org.uk</w:t>
        </w:r>
      </w:hyperlink>
    </w:p>
    <w:p w14:paraId="7C555ED5" w14:textId="77777777" w:rsidR="00D21EFB" w:rsidRPr="00B06351" w:rsidRDefault="00D21EFB" w:rsidP="00D21EFB">
      <w:pPr>
        <w:pStyle w:val="L4Headers"/>
      </w:pPr>
      <w:r w:rsidRPr="00B06351">
        <w:t>Maternity Action:</w:t>
      </w:r>
    </w:p>
    <w:p w14:paraId="72241E2B" w14:textId="77777777" w:rsidR="00D21EFB" w:rsidRPr="00B06351" w:rsidRDefault="00D21EFB" w:rsidP="00D21EFB">
      <w:r w:rsidRPr="00B06351">
        <w:t>Maternity Action works to end inequality and promote the health and wellbeing of all pregnant women, their partners and children from before conception through to the child’s early years. It provides information sheets but cannot provide advice on individual cases.</w:t>
      </w:r>
    </w:p>
    <w:p w14:paraId="6EA63D25" w14:textId="77777777" w:rsidR="00D21EFB" w:rsidRPr="00B06351" w:rsidRDefault="00D21EFB" w:rsidP="00D21EFB">
      <w:pPr>
        <w:pStyle w:val="Parabase"/>
        <w:rPr>
          <w:lang w:eastAsia="en-GB"/>
        </w:rPr>
      </w:pPr>
      <w:r w:rsidRPr="00B06351">
        <w:rPr>
          <w:lang w:eastAsia="en-GB"/>
        </w:rPr>
        <w:t xml:space="preserve">Website: </w:t>
      </w:r>
      <w:hyperlink r:id="rId65" w:history="1">
        <w:r w:rsidRPr="00B06351">
          <w:rPr>
            <w:rStyle w:val="Hyperlink"/>
            <w:color w:val="000000"/>
            <w:lang w:eastAsia="en-GB"/>
          </w:rPr>
          <w:t>www.maternityaction.org.uk</w:t>
        </w:r>
      </w:hyperlink>
    </w:p>
    <w:p w14:paraId="7A84B970" w14:textId="20F1C5D4" w:rsidR="00D21EFB" w:rsidRDefault="00D21EFB" w:rsidP="00D21EFB">
      <w:pPr>
        <w:pStyle w:val="Parabase"/>
        <w:rPr>
          <w:szCs w:val="36"/>
        </w:rPr>
      </w:pPr>
      <w:r w:rsidRPr="00B06351">
        <w:rPr>
          <w:lang w:eastAsia="en-GB"/>
        </w:rPr>
        <w:t xml:space="preserve">Telephone: </w:t>
      </w:r>
      <w:r w:rsidRPr="00B06351">
        <w:rPr>
          <w:szCs w:val="36"/>
        </w:rPr>
        <w:t>0845 600 8533</w:t>
      </w:r>
    </w:p>
    <w:p w14:paraId="50CAE769" w14:textId="77777777" w:rsidR="00D21EFB" w:rsidRPr="00F11BDD" w:rsidRDefault="00D21EFB" w:rsidP="00D21EFB">
      <w:r w:rsidRPr="00F11BDD">
        <w:br w:type="page"/>
      </w:r>
    </w:p>
    <w:p w14:paraId="131C8C60" w14:textId="77777777" w:rsidR="00D21EFB" w:rsidRPr="00B06351" w:rsidRDefault="00D21EFB" w:rsidP="00D21EFB">
      <w:pPr>
        <w:pStyle w:val="L4Headers"/>
      </w:pPr>
      <w:r w:rsidRPr="00B06351">
        <w:t>Rights of Women (RoW):</w:t>
      </w:r>
    </w:p>
    <w:p w14:paraId="49420190" w14:textId="77777777" w:rsidR="00D21EFB" w:rsidRPr="00B06351" w:rsidRDefault="00D21EFB" w:rsidP="00D21EFB">
      <w:r w:rsidRPr="00B06351">
        <w:t>RoW is a UK voluntary organisation working to attain justice and equality by informing, educating and empowering women on their legal rights. It provides free, confidential advice on a range of issues.</w:t>
      </w:r>
    </w:p>
    <w:p w14:paraId="0442BE1E" w14:textId="77777777" w:rsidR="00D21EFB" w:rsidRPr="00B06351" w:rsidRDefault="00D21EFB" w:rsidP="00D21EFB">
      <w:pPr>
        <w:pStyle w:val="Parabase"/>
        <w:rPr>
          <w:lang w:eastAsia="en-GB"/>
        </w:rPr>
      </w:pPr>
      <w:r w:rsidRPr="00B06351">
        <w:rPr>
          <w:lang w:eastAsia="en-GB"/>
        </w:rPr>
        <w:t xml:space="preserve">Website: </w:t>
      </w:r>
      <w:hyperlink r:id="rId66" w:history="1">
        <w:r w:rsidRPr="00B06351">
          <w:rPr>
            <w:rStyle w:val="Hyperlink"/>
            <w:color w:val="000000"/>
            <w:lang w:eastAsia="en-GB"/>
          </w:rPr>
          <w:t>www.row.org.uk</w:t>
        </w:r>
      </w:hyperlink>
    </w:p>
    <w:p w14:paraId="0F843F59" w14:textId="77777777" w:rsidR="00D21EFB" w:rsidRPr="00B06351" w:rsidRDefault="00D21EFB" w:rsidP="00D21EFB">
      <w:pPr>
        <w:pStyle w:val="Parabase"/>
        <w:rPr>
          <w:lang w:eastAsia="en-GB"/>
        </w:rPr>
      </w:pPr>
      <w:r w:rsidRPr="00B06351">
        <w:rPr>
          <w:lang w:eastAsia="en-GB"/>
        </w:rPr>
        <w:t>Telephone: 020 7251 6577</w:t>
      </w:r>
    </w:p>
    <w:p w14:paraId="5F7EE085" w14:textId="77777777" w:rsidR="00D21EFB" w:rsidRPr="00B06351" w:rsidRDefault="00D21EFB" w:rsidP="00D21EFB">
      <w:pPr>
        <w:pStyle w:val="Parabase"/>
      </w:pPr>
      <w:r w:rsidRPr="00B06351">
        <w:t>Textphone: 020 7490 2562 </w:t>
      </w:r>
    </w:p>
    <w:p w14:paraId="21782815" w14:textId="77777777" w:rsidR="00D21EFB" w:rsidRPr="00B06351" w:rsidRDefault="00D21EFB" w:rsidP="00D21EFB">
      <w:pPr>
        <w:pStyle w:val="Parabase"/>
        <w:rPr>
          <w:lang w:eastAsia="en-GB"/>
        </w:rPr>
      </w:pPr>
      <w:r w:rsidRPr="00B06351">
        <w:rPr>
          <w:lang w:eastAsia="en-GB"/>
        </w:rPr>
        <w:t xml:space="preserve">Email: </w:t>
      </w:r>
      <w:hyperlink r:id="rId67" w:history="1">
        <w:r w:rsidRPr="00B06351">
          <w:rPr>
            <w:rStyle w:val="Hyperlink"/>
            <w:color w:val="000000"/>
            <w:lang w:eastAsia="en-GB"/>
          </w:rPr>
          <w:t>info@row.org.uk</w:t>
        </w:r>
      </w:hyperlink>
    </w:p>
    <w:p w14:paraId="19A67856" w14:textId="77777777" w:rsidR="00D21EFB" w:rsidRPr="00B06351" w:rsidRDefault="00D21EFB" w:rsidP="00D21EFB">
      <w:pPr>
        <w:pStyle w:val="L4Headers"/>
      </w:pPr>
      <w:r w:rsidRPr="00B06351">
        <w:t>Women’s Aid:</w:t>
      </w:r>
    </w:p>
    <w:p w14:paraId="22633264" w14:textId="77777777" w:rsidR="00D21EFB" w:rsidRPr="00B06351" w:rsidRDefault="00D21EFB" w:rsidP="00D21EFB">
      <w:r w:rsidRPr="00B06351">
        <w:t>Women’s Aid is the key national charity working to end domestic violence against women and children. It supports a network of over 500 domestic and sexual violence services across the UK and provides a free 24-hour helpline.</w:t>
      </w:r>
    </w:p>
    <w:p w14:paraId="5290F42E" w14:textId="77777777" w:rsidR="00D21EFB" w:rsidRPr="00B06351" w:rsidRDefault="00D21EFB" w:rsidP="00D21EFB">
      <w:pPr>
        <w:pStyle w:val="Parabase"/>
        <w:rPr>
          <w:lang w:eastAsia="en-GB"/>
        </w:rPr>
      </w:pPr>
      <w:r w:rsidRPr="00B06351">
        <w:rPr>
          <w:lang w:eastAsia="en-GB"/>
        </w:rPr>
        <w:t xml:space="preserve">Website: </w:t>
      </w:r>
      <w:hyperlink r:id="rId68" w:history="1">
        <w:r w:rsidRPr="00B06351">
          <w:rPr>
            <w:rStyle w:val="Hyperlink"/>
            <w:color w:val="000000"/>
            <w:lang w:eastAsia="en-GB"/>
          </w:rPr>
          <w:t>www.womensaid.org.uk</w:t>
        </w:r>
      </w:hyperlink>
    </w:p>
    <w:p w14:paraId="1DF457FD" w14:textId="77777777" w:rsidR="00D21EFB" w:rsidRPr="00B06351" w:rsidRDefault="00D21EFB" w:rsidP="00D21EFB">
      <w:pPr>
        <w:pStyle w:val="Parabase"/>
        <w:rPr>
          <w:lang w:eastAsia="en-GB"/>
        </w:rPr>
      </w:pPr>
      <w:r w:rsidRPr="00B06351">
        <w:rPr>
          <w:lang w:eastAsia="en-GB"/>
        </w:rPr>
        <w:t>Telephone: 0808 2000 247</w:t>
      </w:r>
    </w:p>
    <w:p w14:paraId="41E03F21" w14:textId="77777777" w:rsidR="00D21EFB" w:rsidRPr="00B06351" w:rsidRDefault="00D21EFB" w:rsidP="00D21EFB">
      <w:pPr>
        <w:pStyle w:val="Parabase"/>
        <w:rPr>
          <w:lang w:eastAsia="en-GB"/>
        </w:rPr>
      </w:pPr>
      <w:r w:rsidRPr="00B06351">
        <w:rPr>
          <w:lang w:eastAsia="en-GB"/>
        </w:rPr>
        <w:t xml:space="preserve">Email: </w:t>
      </w:r>
      <w:hyperlink r:id="rId69" w:history="1">
        <w:r w:rsidRPr="00B06351">
          <w:rPr>
            <w:rStyle w:val="Hyperlink"/>
            <w:color w:val="000000"/>
            <w:lang w:eastAsia="en-GB"/>
          </w:rPr>
          <w:t>info@womensaid.org.uk</w:t>
        </w:r>
      </w:hyperlink>
      <w:r w:rsidRPr="00B06351">
        <w:rPr>
          <w:lang w:eastAsia="en-GB"/>
        </w:rPr>
        <w:t xml:space="preserve"> </w:t>
      </w:r>
    </w:p>
    <w:p w14:paraId="52E2B3FF" w14:textId="77777777" w:rsidR="00D21EFB" w:rsidRPr="00B06351" w:rsidRDefault="00D21EFB" w:rsidP="00D21EFB">
      <w:pPr>
        <w:pStyle w:val="Parabase"/>
        <w:rPr>
          <w:lang w:eastAsia="en-GB"/>
        </w:rPr>
      </w:pPr>
      <w:r w:rsidRPr="00B06351">
        <w:rPr>
          <w:lang w:eastAsia="en-GB"/>
        </w:rPr>
        <w:t xml:space="preserve">Helpline: </w:t>
      </w:r>
      <w:hyperlink r:id="rId70" w:history="1">
        <w:r w:rsidRPr="00B06351">
          <w:rPr>
            <w:rStyle w:val="Hyperlink"/>
            <w:color w:val="000000"/>
            <w:lang w:eastAsia="en-GB"/>
          </w:rPr>
          <w:t>helpline@womensaid.org.uk</w:t>
        </w:r>
      </w:hyperlink>
    </w:p>
    <w:p w14:paraId="5E2023C3" w14:textId="77777777" w:rsidR="00D21EFB" w:rsidRPr="00B06351" w:rsidRDefault="00D21EFB" w:rsidP="00D21EFB">
      <w:pPr>
        <w:pStyle w:val="L3Heading"/>
      </w:pPr>
      <w:bookmarkStart w:id="231" w:name="_Toc288573568"/>
      <w:bookmarkStart w:id="232" w:name="_Toc297103282"/>
      <w:bookmarkStart w:id="233" w:name="_Toc297112697"/>
      <w:bookmarkStart w:id="234" w:name="_Toc297124755"/>
      <w:bookmarkStart w:id="235" w:name="_Toc297300542"/>
      <w:r w:rsidRPr="00B06351">
        <w:t>Gender reassignment</w:t>
      </w:r>
      <w:bookmarkEnd w:id="231"/>
      <w:bookmarkEnd w:id="232"/>
      <w:bookmarkEnd w:id="233"/>
      <w:bookmarkEnd w:id="234"/>
      <w:bookmarkEnd w:id="235"/>
    </w:p>
    <w:p w14:paraId="1208DFC9" w14:textId="77777777" w:rsidR="00D21EFB" w:rsidRPr="00B06351" w:rsidRDefault="00D21EFB" w:rsidP="00D21EFB">
      <w:pPr>
        <w:pStyle w:val="L4Headers"/>
      </w:pPr>
      <w:r w:rsidRPr="00B06351">
        <w:t>Gender Identity Research and Education Society (GIRES):</w:t>
      </w:r>
    </w:p>
    <w:p w14:paraId="797DE3BA" w14:textId="6C296351" w:rsidR="00D21EFB" w:rsidRPr="00B06351" w:rsidRDefault="00D21EFB" w:rsidP="00D21EFB">
      <w:r w:rsidRPr="00B06351">
        <w:t>GIRES provides a</w:t>
      </w:r>
      <w:r w:rsidR="009E2D17">
        <w:t xml:space="preserve"> wide range of information for t</w:t>
      </w:r>
      <w:r w:rsidRPr="00B06351">
        <w:t xml:space="preserve">rans people, their families and professionals who care for them. </w:t>
      </w:r>
    </w:p>
    <w:p w14:paraId="6D96623C" w14:textId="77777777" w:rsidR="00D21EFB" w:rsidRPr="00B06351" w:rsidRDefault="00D21EFB" w:rsidP="00D21EFB">
      <w:pPr>
        <w:pStyle w:val="Parabase"/>
        <w:rPr>
          <w:lang w:eastAsia="en-GB"/>
        </w:rPr>
      </w:pPr>
      <w:r w:rsidRPr="00B06351">
        <w:rPr>
          <w:lang w:eastAsia="en-GB"/>
        </w:rPr>
        <w:t xml:space="preserve">Website: </w:t>
      </w:r>
      <w:hyperlink r:id="rId71" w:history="1">
        <w:r w:rsidRPr="00B06351">
          <w:rPr>
            <w:rStyle w:val="Hyperlink"/>
            <w:color w:val="000000"/>
            <w:lang w:eastAsia="en-GB"/>
          </w:rPr>
          <w:t>www.gires.org.uk</w:t>
        </w:r>
      </w:hyperlink>
    </w:p>
    <w:p w14:paraId="3D4387D1" w14:textId="77777777" w:rsidR="00D21EFB" w:rsidRPr="00B06351" w:rsidRDefault="00D21EFB" w:rsidP="00D21EFB">
      <w:pPr>
        <w:pStyle w:val="Parabase"/>
        <w:rPr>
          <w:lang w:eastAsia="en-GB"/>
        </w:rPr>
      </w:pPr>
      <w:r w:rsidRPr="00B06351">
        <w:rPr>
          <w:lang w:eastAsia="en-GB"/>
        </w:rPr>
        <w:t>Telephone: 01372 801 554</w:t>
      </w:r>
    </w:p>
    <w:p w14:paraId="62BE25AE" w14:textId="77777777" w:rsidR="00D21EFB" w:rsidRPr="00B06351" w:rsidRDefault="00D21EFB" w:rsidP="00D21EFB">
      <w:pPr>
        <w:pStyle w:val="Parabase"/>
        <w:rPr>
          <w:lang w:eastAsia="en-GB"/>
        </w:rPr>
      </w:pPr>
      <w:r w:rsidRPr="00B06351">
        <w:rPr>
          <w:lang w:eastAsia="en-GB"/>
        </w:rPr>
        <w:t>Fax: 01372 272 297</w:t>
      </w:r>
    </w:p>
    <w:p w14:paraId="33B86C5D" w14:textId="77777777" w:rsidR="00D21EFB" w:rsidRPr="00B06351" w:rsidRDefault="00D21EFB" w:rsidP="00D21EFB">
      <w:pPr>
        <w:pStyle w:val="Parabase"/>
        <w:rPr>
          <w:lang w:eastAsia="en-GB"/>
        </w:rPr>
      </w:pPr>
      <w:r w:rsidRPr="00B06351">
        <w:rPr>
          <w:lang w:eastAsia="en-GB"/>
        </w:rPr>
        <w:t xml:space="preserve">Email: </w:t>
      </w:r>
      <w:hyperlink r:id="rId72" w:history="1">
        <w:r w:rsidRPr="00B06351">
          <w:rPr>
            <w:rStyle w:val="Hyperlink"/>
            <w:color w:val="000000"/>
            <w:lang w:eastAsia="en-GB"/>
          </w:rPr>
          <w:t>info@gires.org.uk</w:t>
        </w:r>
      </w:hyperlink>
    </w:p>
    <w:p w14:paraId="4521F1B1" w14:textId="77777777" w:rsidR="00D21EFB" w:rsidRPr="00B06351" w:rsidRDefault="00D21EFB" w:rsidP="00D21EFB">
      <w:pPr>
        <w:pStyle w:val="L4Headers"/>
      </w:pPr>
      <w:r w:rsidRPr="00B06351">
        <w:t>The Gender Trust:</w:t>
      </w:r>
    </w:p>
    <w:p w14:paraId="4241FF33" w14:textId="77777777" w:rsidR="00D21EFB" w:rsidRPr="00B06351" w:rsidRDefault="00D21EFB" w:rsidP="00D21EFB">
      <w:r w:rsidRPr="00B06351">
        <w:t>The Gender Trust is the UK’s largest charity working to support transsexual, gender dysphoric and transgender people or those who are affected by gender identity issues. It has a helpline and provides training and information for employers and organisations.</w:t>
      </w:r>
    </w:p>
    <w:p w14:paraId="78E81094" w14:textId="77777777" w:rsidR="00D21EFB" w:rsidRPr="00B06351" w:rsidRDefault="00D21EFB" w:rsidP="00D21EFB">
      <w:pPr>
        <w:pStyle w:val="Parabase"/>
        <w:rPr>
          <w:lang w:eastAsia="en-GB"/>
        </w:rPr>
      </w:pPr>
      <w:r w:rsidRPr="00B06351">
        <w:rPr>
          <w:lang w:eastAsia="en-GB"/>
        </w:rPr>
        <w:t xml:space="preserve">Website: </w:t>
      </w:r>
      <w:hyperlink r:id="rId73" w:history="1">
        <w:r w:rsidRPr="00B06351">
          <w:rPr>
            <w:rStyle w:val="Hyperlink"/>
            <w:color w:val="000000"/>
            <w:lang w:eastAsia="en-GB"/>
          </w:rPr>
          <w:t>www.gendertrust.org.uk</w:t>
        </w:r>
      </w:hyperlink>
    </w:p>
    <w:p w14:paraId="79D101C9" w14:textId="77777777" w:rsidR="00D21EFB" w:rsidRPr="00B06351" w:rsidRDefault="00D21EFB" w:rsidP="00D21EFB">
      <w:pPr>
        <w:pStyle w:val="Parabase"/>
      </w:pPr>
      <w:r w:rsidRPr="00B06351">
        <w:rPr>
          <w:lang w:eastAsia="en-GB"/>
        </w:rPr>
        <w:t xml:space="preserve">Telephone: </w:t>
      </w:r>
      <w:r w:rsidRPr="00B06351">
        <w:t>01527 894 838</w:t>
      </w:r>
    </w:p>
    <w:p w14:paraId="623E7E51" w14:textId="77777777" w:rsidR="00D21EFB" w:rsidRPr="00B06351" w:rsidRDefault="00D21EFB" w:rsidP="00D21EFB">
      <w:pPr>
        <w:pStyle w:val="Parabase"/>
      </w:pPr>
      <w:r w:rsidRPr="00B06351">
        <w:t xml:space="preserve">Email: </w:t>
      </w:r>
      <w:r w:rsidRPr="00B06351">
        <w:rPr>
          <w:rStyle w:val="Hyperlink"/>
        </w:rPr>
        <w:t>i</w:t>
      </w:r>
      <w:hyperlink r:id="rId74" w:history="1">
        <w:r w:rsidRPr="00B06351">
          <w:rPr>
            <w:rStyle w:val="Hyperlink"/>
          </w:rPr>
          <w:t>nfo@gendertrust.org.uk</w:t>
        </w:r>
      </w:hyperlink>
      <w:r w:rsidRPr="00B06351">
        <w:t xml:space="preserve"> </w:t>
      </w:r>
    </w:p>
    <w:p w14:paraId="1280E4D6" w14:textId="77777777" w:rsidR="00D21EFB" w:rsidRPr="00B06351" w:rsidRDefault="00D21EFB" w:rsidP="00D21EFB">
      <w:pPr>
        <w:pStyle w:val="L4Headers"/>
      </w:pPr>
      <w:r w:rsidRPr="00B06351">
        <w:t>Press for Change (PfC):</w:t>
      </w:r>
    </w:p>
    <w:p w14:paraId="75D79F6F" w14:textId="77777777" w:rsidR="00D21EFB" w:rsidRPr="00B06351" w:rsidRDefault="00D21EFB" w:rsidP="00D21EFB">
      <w:r w:rsidRPr="00B06351">
        <w:t>PfC is a political lobbying and educational organisation. It campaigns to achieve equality and human rights for all trans people in the UK through legislation and social change. It provides legal advice, training and consultancy for employers and organisations as well as undertaking commissioned research.</w:t>
      </w:r>
    </w:p>
    <w:p w14:paraId="6C0C6047" w14:textId="77777777" w:rsidR="00D21EFB" w:rsidRPr="00B06351" w:rsidRDefault="00D21EFB" w:rsidP="00D21EFB">
      <w:pPr>
        <w:pStyle w:val="Parabase"/>
        <w:rPr>
          <w:lang w:eastAsia="en-GB"/>
        </w:rPr>
      </w:pPr>
      <w:r w:rsidRPr="00B06351">
        <w:rPr>
          <w:lang w:eastAsia="en-GB"/>
        </w:rPr>
        <w:t xml:space="preserve">Website: </w:t>
      </w:r>
      <w:hyperlink r:id="rId75" w:history="1">
        <w:r w:rsidRPr="00B06351">
          <w:rPr>
            <w:rStyle w:val="Hyperlink"/>
            <w:color w:val="000000"/>
            <w:lang w:eastAsia="en-GB"/>
          </w:rPr>
          <w:t>www.pfc.org.uk</w:t>
        </w:r>
      </w:hyperlink>
    </w:p>
    <w:p w14:paraId="31D686D8" w14:textId="77777777" w:rsidR="00D21EFB" w:rsidRPr="00B06351" w:rsidRDefault="00D21EFB" w:rsidP="00D21EFB">
      <w:pPr>
        <w:pStyle w:val="Parabase"/>
        <w:rPr>
          <w:lang w:eastAsia="en-GB"/>
        </w:rPr>
      </w:pPr>
      <w:r w:rsidRPr="00B06351">
        <w:rPr>
          <w:lang w:eastAsia="en-GB"/>
        </w:rPr>
        <w:t xml:space="preserve">Telephone: </w:t>
      </w:r>
      <w:r w:rsidRPr="00B06351">
        <w:t>08448 708165</w:t>
      </w:r>
    </w:p>
    <w:p w14:paraId="0DFFDA79" w14:textId="77777777" w:rsidR="00D21EFB" w:rsidRPr="00B06351" w:rsidRDefault="00D21EFB" w:rsidP="00D21EFB">
      <w:pPr>
        <w:pStyle w:val="Parabase"/>
      </w:pPr>
      <w:r w:rsidRPr="00B06351">
        <w:rPr>
          <w:lang w:eastAsia="en-GB"/>
        </w:rPr>
        <w:t xml:space="preserve">Email: </w:t>
      </w:r>
      <w:hyperlink r:id="rId76" w:history="1">
        <w:r w:rsidRPr="00B06351">
          <w:rPr>
            <w:rStyle w:val="Hyperlink"/>
          </w:rPr>
          <w:t>office@pfc.org.uk</w:t>
        </w:r>
      </w:hyperlink>
      <w:r w:rsidRPr="00B06351">
        <w:t xml:space="preserve"> </w:t>
      </w:r>
    </w:p>
    <w:p w14:paraId="2B6D0ACE" w14:textId="77777777" w:rsidR="00D21EFB" w:rsidRPr="00B06351" w:rsidRDefault="00D21EFB" w:rsidP="00D21EFB">
      <w:pPr>
        <w:pStyle w:val="L3Heading"/>
      </w:pPr>
      <w:bookmarkStart w:id="236" w:name="_Toc288573569"/>
      <w:bookmarkStart w:id="237" w:name="_Toc297103283"/>
      <w:bookmarkStart w:id="238" w:name="_Toc297112698"/>
      <w:bookmarkStart w:id="239" w:name="_Toc297124756"/>
      <w:bookmarkStart w:id="240" w:name="_Toc297300543"/>
      <w:r w:rsidRPr="00B06351">
        <w:t>Religion or belief</w:t>
      </w:r>
      <w:bookmarkEnd w:id="236"/>
      <w:bookmarkEnd w:id="237"/>
      <w:bookmarkEnd w:id="238"/>
      <w:bookmarkEnd w:id="239"/>
      <w:bookmarkEnd w:id="240"/>
    </w:p>
    <w:p w14:paraId="1144592E" w14:textId="77777777" w:rsidR="00D21EFB" w:rsidRPr="00B06351" w:rsidRDefault="00D21EFB" w:rsidP="00D21EFB">
      <w:pPr>
        <w:pStyle w:val="L4Headers"/>
      </w:pPr>
      <w:r w:rsidRPr="00B06351">
        <w:t>Inter Faith Network:</w:t>
      </w:r>
    </w:p>
    <w:p w14:paraId="061DF31C" w14:textId="77777777" w:rsidR="00D21EFB" w:rsidRPr="00A4774F" w:rsidRDefault="00D21EFB" w:rsidP="00D21EFB">
      <w:pPr>
        <w:rPr>
          <w:spacing w:val="-4"/>
        </w:rPr>
      </w:pPr>
      <w:r w:rsidRPr="00A4774F">
        <w:rPr>
          <w:spacing w:val="-4"/>
        </w:rPr>
        <w:t>The Inter Faith Network for the UK promotes good relations between people of different faiths. It has a list of contact details for faith groups and organisations across the UK.</w:t>
      </w:r>
    </w:p>
    <w:p w14:paraId="460431E4" w14:textId="77777777" w:rsidR="00D21EFB" w:rsidRPr="00B06351" w:rsidRDefault="00D21EFB" w:rsidP="00D21EFB">
      <w:pPr>
        <w:pStyle w:val="Parabase"/>
        <w:rPr>
          <w:lang w:eastAsia="en-GB"/>
        </w:rPr>
      </w:pPr>
      <w:r w:rsidRPr="00B06351">
        <w:rPr>
          <w:lang w:eastAsia="en-GB"/>
        </w:rPr>
        <w:t xml:space="preserve">Website: </w:t>
      </w:r>
      <w:hyperlink r:id="rId77" w:history="1">
        <w:r w:rsidRPr="00B06351">
          <w:rPr>
            <w:rStyle w:val="Hyperlink"/>
            <w:color w:val="000000"/>
            <w:lang w:eastAsia="en-GB"/>
          </w:rPr>
          <w:t>www.interfaith.org.uk</w:t>
        </w:r>
      </w:hyperlink>
    </w:p>
    <w:p w14:paraId="29FAE4ED" w14:textId="77777777" w:rsidR="00D21EFB" w:rsidRPr="00B06351" w:rsidRDefault="00D21EFB" w:rsidP="00D21EFB">
      <w:pPr>
        <w:pStyle w:val="Parabase"/>
      </w:pPr>
      <w:r w:rsidRPr="00B06351">
        <w:rPr>
          <w:lang w:eastAsia="en-GB"/>
        </w:rPr>
        <w:t xml:space="preserve">Telephone: </w:t>
      </w:r>
      <w:r w:rsidRPr="00B06351">
        <w:t>020 7730 0410</w:t>
      </w:r>
    </w:p>
    <w:p w14:paraId="192D1D8F" w14:textId="77777777" w:rsidR="00D21EFB" w:rsidRPr="00B06351" w:rsidRDefault="00D21EFB" w:rsidP="00D21EFB">
      <w:pPr>
        <w:pStyle w:val="L3Heading"/>
      </w:pPr>
      <w:bookmarkStart w:id="241" w:name="_Toc288573570"/>
      <w:bookmarkStart w:id="242" w:name="_Toc297103284"/>
      <w:bookmarkStart w:id="243" w:name="_Toc297112699"/>
      <w:bookmarkStart w:id="244" w:name="_Toc297124757"/>
      <w:bookmarkStart w:id="245" w:name="_Toc297300544"/>
      <w:r w:rsidRPr="00B06351">
        <w:t>Sexual orientation</w:t>
      </w:r>
      <w:bookmarkEnd w:id="241"/>
      <w:bookmarkEnd w:id="242"/>
      <w:bookmarkEnd w:id="243"/>
      <w:bookmarkEnd w:id="244"/>
      <w:bookmarkEnd w:id="245"/>
    </w:p>
    <w:p w14:paraId="72D3B908" w14:textId="77777777" w:rsidR="00D21EFB" w:rsidRPr="00B06351" w:rsidRDefault="00D21EFB" w:rsidP="00D21EFB">
      <w:pPr>
        <w:pStyle w:val="L4Headers"/>
      </w:pPr>
      <w:r w:rsidRPr="00B06351">
        <w:t>The Albert Kennedy Trust:</w:t>
      </w:r>
    </w:p>
    <w:p w14:paraId="3F6E700D" w14:textId="77777777" w:rsidR="00D21EFB" w:rsidRPr="00B06351" w:rsidRDefault="00D21EFB" w:rsidP="00D21EFB">
      <w:r w:rsidRPr="00B06351">
        <w:t>The Albert Kennedy Trust provides information and support to lesbian, gay, bisexual and trans homeless young people.</w:t>
      </w:r>
    </w:p>
    <w:p w14:paraId="0ACD7E37" w14:textId="77777777" w:rsidR="00D21EFB" w:rsidRPr="00B06351" w:rsidRDefault="00D21EFB" w:rsidP="00D21EFB">
      <w:pPr>
        <w:pStyle w:val="Parabase"/>
        <w:rPr>
          <w:lang w:eastAsia="en-GB"/>
        </w:rPr>
      </w:pPr>
      <w:r w:rsidRPr="00B06351">
        <w:rPr>
          <w:lang w:eastAsia="en-GB"/>
        </w:rPr>
        <w:t xml:space="preserve">Website: </w:t>
      </w:r>
      <w:hyperlink r:id="rId78" w:history="1">
        <w:r w:rsidRPr="00B06351">
          <w:rPr>
            <w:rStyle w:val="Hyperlink"/>
            <w:color w:val="000000"/>
            <w:lang w:eastAsia="en-GB"/>
          </w:rPr>
          <w:t>www.akt.org.uk</w:t>
        </w:r>
      </w:hyperlink>
    </w:p>
    <w:p w14:paraId="086FAF25" w14:textId="77777777" w:rsidR="00D21EFB" w:rsidRPr="00B06351" w:rsidRDefault="00D21EFB" w:rsidP="00D21EFB">
      <w:pPr>
        <w:pStyle w:val="Parabase"/>
        <w:rPr>
          <w:lang w:eastAsia="en-GB"/>
        </w:rPr>
      </w:pPr>
      <w:r w:rsidRPr="00B06351">
        <w:rPr>
          <w:lang w:eastAsia="en-GB"/>
        </w:rPr>
        <w:t>Telephone: 020 7831 6562 (London)</w:t>
      </w:r>
    </w:p>
    <w:p w14:paraId="3F9EC388" w14:textId="77777777" w:rsidR="00D21EFB" w:rsidRPr="00B06351" w:rsidRDefault="00D21EFB" w:rsidP="00D21EFB">
      <w:pPr>
        <w:pStyle w:val="Parabase"/>
        <w:rPr>
          <w:lang w:eastAsia="en-GB"/>
        </w:rPr>
      </w:pPr>
      <w:r w:rsidRPr="00B06351">
        <w:rPr>
          <w:lang w:eastAsia="en-GB"/>
        </w:rPr>
        <w:t>Telephone: 0161 228 3308 (Manchester)</w:t>
      </w:r>
    </w:p>
    <w:p w14:paraId="48C00EE0" w14:textId="77777777" w:rsidR="00D21EFB" w:rsidRPr="00B06351" w:rsidRDefault="00D21EFB" w:rsidP="00D21EFB">
      <w:pPr>
        <w:pStyle w:val="Parabase"/>
        <w:rPr>
          <w:lang w:eastAsia="en-GB"/>
        </w:rPr>
      </w:pPr>
      <w:r w:rsidRPr="00B06351">
        <w:rPr>
          <w:lang w:eastAsia="en-GB"/>
        </w:rPr>
        <w:t>Telephone: 0191 281 0099 (Newcastle-upon-Tyne)</w:t>
      </w:r>
    </w:p>
    <w:p w14:paraId="0B077262" w14:textId="77777777" w:rsidR="00D21EFB" w:rsidRPr="00B06351" w:rsidRDefault="00D21EFB" w:rsidP="00D21EFB">
      <w:pPr>
        <w:pStyle w:val="Parabase"/>
        <w:rPr>
          <w:lang w:eastAsia="en-GB"/>
        </w:rPr>
      </w:pPr>
      <w:r w:rsidRPr="00B06351">
        <w:rPr>
          <w:lang w:eastAsia="en-GB"/>
        </w:rPr>
        <w:t>Telephone: 0161 228 3308</w:t>
      </w:r>
    </w:p>
    <w:p w14:paraId="37BBC642" w14:textId="77777777" w:rsidR="00D21EFB" w:rsidRPr="00B06351" w:rsidRDefault="00D21EFB" w:rsidP="00D21EFB">
      <w:pPr>
        <w:pStyle w:val="Parabase"/>
        <w:rPr>
          <w:lang w:eastAsia="en-GB"/>
        </w:rPr>
      </w:pPr>
      <w:r w:rsidRPr="00B06351">
        <w:rPr>
          <w:lang w:eastAsia="en-GB"/>
        </w:rPr>
        <w:t xml:space="preserve">Email: </w:t>
      </w:r>
      <w:hyperlink r:id="rId79" w:history="1">
        <w:r w:rsidRPr="00B06351">
          <w:rPr>
            <w:rStyle w:val="Hyperlink"/>
            <w:color w:val="000000"/>
            <w:lang w:eastAsia="en-GB"/>
          </w:rPr>
          <w:t>contact@akt.org.uk</w:t>
        </w:r>
      </w:hyperlink>
    </w:p>
    <w:p w14:paraId="39B1B5B5" w14:textId="77777777" w:rsidR="00D21EFB" w:rsidRPr="00B06351" w:rsidRDefault="00D21EFB" w:rsidP="00D21EFB">
      <w:pPr>
        <w:pStyle w:val="L4Headers"/>
      </w:pPr>
      <w:r w:rsidRPr="00B06351">
        <w:t>Equality Network:</w:t>
      </w:r>
    </w:p>
    <w:p w14:paraId="7194B186" w14:textId="77777777" w:rsidR="00D21EFB" w:rsidRPr="00B06351" w:rsidRDefault="00D21EFB" w:rsidP="00D21EFB">
      <w:r w:rsidRPr="00B06351">
        <w:t>The Equality Network works for lesbian, gay, bisexual and transgender equality and human rights in Scotland. It provides information, and carries out campaigning and policy work.</w:t>
      </w:r>
    </w:p>
    <w:p w14:paraId="706B5A89" w14:textId="77777777" w:rsidR="00D21EFB" w:rsidRPr="00B06351" w:rsidRDefault="00D21EFB" w:rsidP="00D21EFB">
      <w:pPr>
        <w:pStyle w:val="Parabase"/>
        <w:rPr>
          <w:lang w:eastAsia="en-GB"/>
        </w:rPr>
      </w:pPr>
      <w:r w:rsidRPr="00B06351">
        <w:rPr>
          <w:lang w:eastAsia="en-GB"/>
        </w:rPr>
        <w:t xml:space="preserve">Website: </w:t>
      </w:r>
      <w:hyperlink r:id="rId80" w:history="1">
        <w:r w:rsidRPr="00B06351">
          <w:rPr>
            <w:rStyle w:val="Hyperlink"/>
            <w:color w:val="000000"/>
            <w:lang w:eastAsia="en-GB"/>
          </w:rPr>
          <w:t>www.equality-network.org</w:t>
        </w:r>
      </w:hyperlink>
    </w:p>
    <w:p w14:paraId="617D3985" w14:textId="77777777" w:rsidR="00D21EFB" w:rsidRPr="00B06351" w:rsidRDefault="00D21EFB" w:rsidP="00D21EFB">
      <w:pPr>
        <w:pStyle w:val="Parabase"/>
        <w:rPr>
          <w:lang w:eastAsia="en-GB"/>
        </w:rPr>
      </w:pPr>
      <w:r w:rsidRPr="00B06351">
        <w:rPr>
          <w:lang w:eastAsia="en-GB"/>
        </w:rPr>
        <w:t xml:space="preserve">Telephone: </w:t>
      </w:r>
      <w:r w:rsidRPr="00B06351">
        <w:t>0131 467 6039</w:t>
      </w:r>
    </w:p>
    <w:p w14:paraId="1C1497FB" w14:textId="77777777" w:rsidR="00D21EFB" w:rsidRPr="00B06351" w:rsidRDefault="00D21EFB" w:rsidP="00D21EFB">
      <w:pPr>
        <w:pStyle w:val="Parabase"/>
        <w:rPr>
          <w:lang w:eastAsia="en-GB"/>
        </w:rPr>
      </w:pPr>
      <w:r w:rsidRPr="00B06351">
        <w:rPr>
          <w:lang w:eastAsia="en-GB"/>
        </w:rPr>
        <w:t xml:space="preserve">Fax: </w:t>
      </w:r>
      <w:r w:rsidRPr="00B06351">
        <w:t>0131 476 9006</w:t>
      </w:r>
    </w:p>
    <w:p w14:paraId="5D174AE7" w14:textId="77777777" w:rsidR="00D21EFB" w:rsidRPr="00B06351" w:rsidRDefault="00D21EFB" w:rsidP="00D21EFB">
      <w:pPr>
        <w:pStyle w:val="Parabase"/>
        <w:rPr>
          <w:lang w:eastAsia="en-GB"/>
        </w:rPr>
      </w:pPr>
      <w:r w:rsidRPr="00B06351">
        <w:rPr>
          <w:lang w:eastAsia="en-GB"/>
        </w:rPr>
        <w:t xml:space="preserve">Email: </w:t>
      </w:r>
      <w:hyperlink r:id="rId81" w:history="1">
        <w:r w:rsidRPr="00B06351">
          <w:rPr>
            <w:rStyle w:val="Hyperlink"/>
            <w:color w:val="000000"/>
            <w:lang w:eastAsia="en-GB"/>
          </w:rPr>
          <w:t>en@equality-network.org</w:t>
        </w:r>
      </w:hyperlink>
    </w:p>
    <w:p w14:paraId="61A16E23" w14:textId="77777777" w:rsidR="00D21EFB" w:rsidRPr="00B06351" w:rsidRDefault="00D21EFB" w:rsidP="00D21EFB">
      <w:pPr>
        <w:pStyle w:val="L4Headers"/>
      </w:pPr>
      <w:r w:rsidRPr="00B06351">
        <w:t xml:space="preserve">Galop: </w:t>
      </w:r>
    </w:p>
    <w:p w14:paraId="090B15FA" w14:textId="77777777" w:rsidR="00D21EFB" w:rsidRPr="00B06351" w:rsidRDefault="00D21EFB" w:rsidP="00D21EFB">
      <w:r w:rsidRPr="00B06351">
        <w:t>Galop works to prevent and challenge homophobic and transphobic hate crime in Greater London. It aims to reduce crimes against lesbian, gay, bisexual and transgender people, and campaigns for an improved criminal justice system.</w:t>
      </w:r>
    </w:p>
    <w:p w14:paraId="0956C275" w14:textId="77777777" w:rsidR="00D21EFB" w:rsidRPr="00B06351" w:rsidRDefault="00D21EFB" w:rsidP="00D21EFB">
      <w:pPr>
        <w:pStyle w:val="Parabase"/>
        <w:rPr>
          <w:lang w:eastAsia="en-GB"/>
        </w:rPr>
      </w:pPr>
      <w:r w:rsidRPr="00B06351">
        <w:rPr>
          <w:lang w:eastAsia="en-GB"/>
        </w:rPr>
        <w:t xml:space="preserve">Website: </w:t>
      </w:r>
      <w:hyperlink r:id="rId82" w:history="1">
        <w:r w:rsidRPr="00B06351">
          <w:rPr>
            <w:rStyle w:val="Hyperlink"/>
            <w:color w:val="000000"/>
            <w:lang w:eastAsia="en-GB"/>
          </w:rPr>
          <w:t>www.galop.org.uk</w:t>
        </w:r>
      </w:hyperlink>
    </w:p>
    <w:p w14:paraId="606EC38A" w14:textId="77777777" w:rsidR="00D21EFB" w:rsidRPr="00B06351" w:rsidRDefault="00D21EFB" w:rsidP="00D21EFB">
      <w:pPr>
        <w:pStyle w:val="Parabase"/>
        <w:rPr>
          <w:lang w:eastAsia="en-GB"/>
        </w:rPr>
      </w:pPr>
      <w:r w:rsidRPr="00B06351">
        <w:rPr>
          <w:lang w:eastAsia="en-GB"/>
        </w:rPr>
        <w:t>Helpline: 020 7704 2040</w:t>
      </w:r>
    </w:p>
    <w:p w14:paraId="14507873" w14:textId="77777777" w:rsidR="00D21EFB" w:rsidRPr="00B06351" w:rsidRDefault="00D21EFB" w:rsidP="00D21EFB">
      <w:pPr>
        <w:pStyle w:val="Parabase"/>
        <w:rPr>
          <w:lang w:eastAsia="en-GB"/>
        </w:rPr>
      </w:pPr>
      <w:r w:rsidRPr="00B06351">
        <w:rPr>
          <w:lang w:eastAsia="en-GB"/>
        </w:rPr>
        <w:t>Fax: 020 7704 6707</w:t>
      </w:r>
    </w:p>
    <w:p w14:paraId="6E299C28" w14:textId="77777777" w:rsidR="00D21EFB" w:rsidRPr="00B06351" w:rsidRDefault="00D21EFB" w:rsidP="00D21EFB">
      <w:pPr>
        <w:pStyle w:val="Parabase"/>
        <w:rPr>
          <w:lang w:eastAsia="en-GB"/>
        </w:rPr>
      </w:pPr>
      <w:r w:rsidRPr="00B06351">
        <w:rPr>
          <w:lang w:eastAsia="en-GB"/>
        </w:rPr>
        <w:t xml:space="preserve">Email: </w:t>
      </w:r>
      <w:hyperlink r:id="rId83" w:history="1">
        <w:r w:rsidRPr="00B06351">
          <w:rPr>
            <w:rStyle w:val="Hyperlink"/>
            <w:color w:val="000000"/>
            <w:lang w:eastAsia="en-GB"/>
          </w:rPr>
          <w:t>info@galop.org.uk</w:t>
        </w:r>
      </w:hyperlink>
    </w:p>
    <w:p w14:paraId="4D589634" w14:textId="77777777" w:rsidR="00D21EFB" w:rsidRPr="00B06351" w:rsidRDefault="00D21EFB" w:rsidP="00D21EFB">
      <w:pPr>
        <w:pStyle w:val="L4Headers"/>
      </w:pPr>
      <w:r w:rsidRPr="00B06351">
        <w:t>The Lesbian and Gay Foundation (LGF):</w:t>
      </w:r>
    </w:p>
    <w:p w14:paraId="5A87237A" w14:textId="77777777" w:rsidR="00D21EFB" w:rsidRPr="00B06351" w:rsidRDefault="00D21EFB" w:rsidP="00D21EFB">
      <w:r w:rsidRPr="00B06351">
        <w:t>The LGF is a North-West based charity working to support lesbian, gay and bisexual people. It provides advice and information, counselling, and support groups.</w:t>
      </w:r>
    </w:p>
    <w:p w14:paraId="0D68F051" w14:textId="77777777" w:rsidR="00D21EFB" w:rsidRPr="00B06351" w:rsidRDefault="00D21EFB" w:rsidP="00D21EFB">
      <w:pPr>
        <w:pStyle w:val="Parabase"/>
        <w:rPr>
          <w:lang w:eastAsia="en-GB"/>
        </w:rPr>
      </w:pPr>
      <w:r w:rsidRPr="00B06351">
        <w:rPr>
          <w:lang w:eastAsia="en-GB"/>
        </w:rPr>
        <w:t xml:space="preserve">Website: </w:t>
      </w:r>
      <w:hyperlink r:id="rId84" w:history="1">
        <w:r w:rsidRPr="00B06351">
          <w:rPr>
            <w:rStyle w:val="Hyperlink"/>
            <w:color w:val="000000"/>
            <w:lang w:eastAsia="en-GB"/>
          </w:rPr>
          <w:t>www.lgf.org.uk</w:t>
        </w:r>
      </w:hyperlink>
    </w:p>
    <w:p w14:paraId="0DD8039C" w14:textId="77777777" w:rsidR="00D21EFB" w:rsidRPr="00B06351" w:rsidRDefault="00D21EFB" w:rsidP="00D21EFB">
      <w:pPr>
        <w:pStyle w:val="Parabase"/>
        <w:rPr>
          <w:lang w:eastAsia="en-GB"/>
        </w:rPr>
      </w:pPr>
      <w:r w:rsidRPr="00B06351">
        <w:rPr>
          <w:lang w:eastAsia="en-GB"/>
        </w:rPr>
        <w:t>Telephone: 0845 3 30 30 30</w:t>
      </w:r>
    </w:p>
    <w:p w14:paraId="330F2348" w14:textId="77777777" w:rsidR="00D21EFB" w:rsidRPr="00B06351" w:rsidRDefault="00D21EFB" w:rsidP="00D21EFB">
      <w:pPr>
        <w:pStyle w:val="Parabase"/>
        <w:rPr>
          <w:lang w:eastAsia="en-GB"/>
        </w:rPr>
      </w:pPr>
      <w:r w:rsidRPr="00B06351">
        <w:t>Fax: 0161 235 8036</w:t>
      </w:r>
    </w:p>
    <w:p w14:paraId="66C9500E" w14:textId="77777777" w:rsidR="00D21EFB" w:rsidRPr="00B06351" w:rsidRDefault="00D21EFB" w:rsidP="00D21EFB">
      <w:pPr>
        <w:pStyle w:val="Parabase"/>
        <w:rPr>
          <w:lang w:eastAsia="en-GB"/>
        </w:rPr>
      </w:pPr>
      <w:r w:rsidRPr="00B06351">
        <w:rPr>
          <w:lang w:eastAsia="en-GB"/>
        </w:rPr>
        <w:t xml:space="preserve">Email: </w:t>
      </w:r>
      <w:hyperlink r:id="rId85" w:history="1">
        <w:r w:rsidRPr="00B06351">
          <w:rPr>
            <w:rStyle w:val="Hyperlink"/>
            <w:color w:val="000000"/>
            <w:lang w:eastAsia="en-GB"/>
          </w:rPr>
          <w:t>info@lgf.org.uk</w:t>
        </w:r>
      </w:hyperlink>
    </w:p>
    <w:p w14:paraId="54110D30" w14:textId="77777777" w:rsidR="00D21EFB" w:rsidRPr="00B06351" w:rsidRDefault="00D21EFB" w:rsidP="00D21EFB">
      <w:pPr>
        <w:pStyle w:val="L4Headers"/>
      </w:pPr>
      <w:r w:rsidRPr="00B06351">
        <w:t>Stonewall:</w:t>
      </w:r>
    </w:p>
    <w:p w14:paraId="2D33DE0E" w14:textId="77777777" w:rsidR="00D21EFB" w:rsidRPr="00B06351" w:rsidRDefault="00D21EFB" w:rsidP="00D21EFB">
      <w:r w:rsidRPr="00B06351">
        <w:t>Stonewall is the UK’s leading lesbian, gay and bisexual charity and carries out campaigning, lobbying and research work as well as providing a free information service for individuals, organisations and employers.</w:t>
      </w:r>
    </w:p>
    <w:p w14:paraId="39DA7CFA" w14:textId="77777777" w:rsidR="00D21EFB" w:rsidRPr="00B06351" w:rsidRDefault="00D21EFB" w:rsidP="00D21EFB">
      <w:pPr>
        <w:pStyle w:val="Parabase"/>
        <w:rPr>
          <w:lang w:eastAsia="en-GB"/>
        </w:rPr>
      </w:pPr>
      <w:r w:rsidRPr="00B06351">
        <w:rPr>
          <w:lang w:eastAsia="en-GB"/>
        </w:rPr>
        <w:t xml:space="preserve">Website: </w:t>
      </w:r>
      <w:hyperlink r:id="rId86" w:history="1">
        <w:r w:rsidRPr="00B06351">
          <w:rPr>
            <w:rStyle w:val="Hyperlink"/>
            <w:color w:val="000000"/>
            <w:lang w:eastAsia="en-GB"/>
          </w:rPr>
          <w:t>www.stonewall.org.uk</w:t>
        </w:r>
      </w:hyperlink>
    </w:p>
    <w:p w14:paraId="0DF95E03" w14:textId="77777777" w:rsidR="00D21EFB" w:rsidRPr="00B06351" w:rsidRDefault="00D21EFB" w:rsidP="00D21EFB">
      <w:pPr>
        <w:pStyle w:val="Parabase"/>
        <w:rPr>
          <w:lang w:eastAsia="en-GB"/>
        </w:rPr>
      </w:pPr>
      <w:r w:rsidRPr="00B06351">
        <w:rPr>
          <w:lang w:eastAsia="en-GB"/>
        </w:rPr>
        <w:t>Telephone: 08000 50 20 20</w:t>
      </w:r>
    </w:p>
    <w:p w14:paraId="1811849A" w14:textId="779E3796" w:rsidR="00D21EFB" w:rsidRPr="00B06351" w:rsidRDefault="00D21EFB" w:rsidP="00D21EFB">
      <w:pPr>
        <w:pStyle w:val="Parabase"/>
        <w:rPr>
          <w:lang w:eastAsia="en-GB"/>
        </w:rPr>
      </w:pPr>
      <w:r w:rsidRPr="00B06351">
        <w:rPr>
          <w:lang w:eastAsia="en-GB"/>
        </w:rPr>
        <w:t xml:space="preserve">Email: </w:t>
      </w:r>
      <w:hyperlink r:id="rId87" w:history="1">
        <w:r w:rsidRPr="00B06351">
          <w:rPr>
            <w:rStyle w:val="Hyperlink"/>
            <w:color w:val="000000"/>
            <w:lang w:eastAsia="en-GB"/>
          </w:rPr>
          <w:t>info@stonewall.org.uk</w:t>
        </w:r>
      </w:hyperlink>
    </w:p>
    <w:p w14:paraId="7318B68C" w14:textId="77777777" w:rsidR="00D21EFB" w:rsidRPr="00727413" w:rsidRDefault="00D21EFB" w:rsidP="00727413"/>
    <w:p w14:paraId="74A47739" w14:textId="77777777" w:rsidR="00727413" w:rsidRPr="00727413" w:rsidRDefault="00727413" w:rsidP="00727413">
      <w:pPr>
        <w:sectPr w:rsidR="00727413" w:rsidRPr="00727413" w:rsidSect="008B6E48">
          <w:pgSz w:w="11906" w:h="16838" w:code="9"/>
          <w:pgMar w:top="1418" w:right="1418" w:bottom="1418" w:left="1418" w:header="624" w:footer="624" w:gutter="0"/>
          <w:cols w:space="720"/>
          <w:noEndnote/>
        </w:sectPr>
      </w:pPr>
    </w:p>
    <w:p w14:paraId="16201851" w14:textId="77777777" w:rsidR="00D21EFB" w:rsidRPr="00B06351" w:rsidRDefault="00D21EFB" w:rsidP="00D21EFB">
      <w:pPr>
        <w:pStyle w:val="L1Headers"/>
      </w:pPr>
      <w:bookmarkStart w:id="246" w:name="glossary"/>
      <w:bookmarkStart w:id="247" w:name="_Toc288557254"/>
      <w:bookmarkStart w:id="248" w:name="_Toc402881179"/>
      <w:bookmarkStart w:id="249" w:name="_Toc296925476"/>
      <w:bookmarkStart w:id="250" w:name="_Toc297103285"/>
      <w:bookmarkStart w:id="251" w:name="_Toc297112700"/>
      <w:bookmarkStart w:id="252" w:name="_Toc297300545"/>
      <w:bookmarkEnd w:id="246"/>
      <w:r w:rsidRPr="00B06351">
        <w:t>Glossary</w:t>
      </w:r>
      <w:bookmarkEnd w:id="247"/>
      <w:bookmarkEnd w:id="248"/>
      <w:bookmarkEnd w:id="249"/>
      <w:bookmarkEnd w:id="250"/>
      <w:bookmarkEnd w:id="251"/>
      <w:bookmarkEnd w:id="252"/>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770"/>
        <w:gridCol w:w="6414"/>
      </w:tblGrid>
      <w:tr w:rsidR="00D21EFB" w:rsidRPr="00B06351" w14:paraId="0DDD80C7" w14:textId="77777777" w:rsidTr="008B6E48">
        <w:trPr>
          <w:cantSplit/>
          <w:trHeight w:val="1015"/>
        </w:trPr>
        <w:tc>
          <w:tcPr>
            <w:tcW w:w="1508" w:type="pct"/>
            <w:shd w:val="clear" w:color="auto" w:fill="auto"/>
          </w:tcPr>
          <w:p w14:paraId="68518DDA" w14:textId="77777777" w:rsidR="00D21EFB" w:rsidRPr="00B06351" w:rsidRDefault="00D21EFB" w:rsidP="008B6E48">
            <w:pPr>
              <w:pStyle w:val="Glossarynoindent"/>
              <w:rPr>
                <w:rStyle w:val="Strong"/>
              </w:rPr>
            </w:pPr>
            <w:r w:rsidRPr="00B06351">
              <w:rPr>
                <w:rStyle w:val="Strong"/>
              </w:rPr>
              <w:t>accessible venue</w:t>
            </w:r>
          </w:p>
        </w:tc>
        <w:tc>
          <w:tcPr>
            <w:tcW w:w="3492" w:type="pct"/>
            <w:shd w:val="clear" w:color="auto" w:fill="auto"/>
          </w:tcPr>
          <w:p w14:paraId="1BBBC767" w14:textId="77777777" w:rsidR="00D21EFB" w:rsidRPr="00B06351" w:rsidRDefault="00D21EFB" w:rsidP="008B6E48">
            <w:pPr>
              <w:pStyle w:val="Glossarynoindent"/>
            </w:pPr>
            <w:r w:rsidRPr="00B06351">
              <w:t>A building designed and/or altered to ensure that people, including disabled people, can enter and move round freely and access its events and facilities.</w:t>
            </w:r>
          </w:p>
        </w:tc>
      </w:tr>
      <w:tr w:rsidR="00D21EFB" w:rsidRPr="00B06351" w14:paraId="28393C2C" w14:textId="77777777" w:rsidTr="008B6E48">
        <w:trPr>
          <w:cantSplit/>
        </w:trPr>
        <w:tc>
          <w:tcPr>
            <w:tcW w:w="1508" w:type="pct"/>
            <w:shd w:val="clear" w:color="auto" w:fill="auto"/>
          </w:tcPr>
          <w:p w14:paraId="05A21B47" w14:textId="77777777" w:rsidR="00D21EFB" w:rsidRPr="00B06351" w:rsidRDefault="00D21EFB" w:rsidP="008B6E48">
            <w:pPr>
              <w:pStyle w:val="Glossarynoindent"/>
              <w:rPr>
                <w:rStyle w:val="Strong"/>
              </w:rPr>
            </w:pPr>
            <w:r w:rsidRPr="00B06351">
              <w:rPr>
                <w:rStyle w:val="Strong"/>
              </w:rPr>
              <w:t>Act</w:t>
            </w:r>
          </w:p>
        </w:tc>
        <w:tc>
          <w:tcPr>
            <w:tcW w:w="3492" w:type="pct"/>
            <w:shd w:val="clear" w:color="auto" w:fill="auto"/>
          </w:tcPr>
          <w:p w14:paraId="36FD231F" w14:textId="77777777" w:rsidR="00D21EFB" w:rsidRPr="00B06351" w:rsidRDefault="00D21EFB" w:rsidP="008B6E48">
            <w:pPr>
              <w:pStyle w:val="Glossarynoindent"/>
            </w:pPr>
            <w:r w:rsidRPr="00B06351">
              <w:t xml:space="preserve">A law or piece of legislation passed by both Houses of Parliament and agreed to by the Crown, which then becomes part of statutory law (ie is </w:t>
            </w:r>
            <w:r w:rsidRPr="00B06351">
              <w:rPr>
                <w:rStyle w:val="Emphasis"/>
              </w:rPr>
              <w:t>enacted</w:t>
            </w:r>
            <w:r w:rsidRPr="00B06351">
              <w:t>).</w:t>
            </w:r>
          </w:p>
        </w:tc>
      </w:tr>
      <w:tr w:rsidR="00D21EFB" w:rsidRPr="00B06351" w14:paraId="2C22FA89" w14:textId="77777777" w:rsidTr="008B6E48">
        <w:trPr>
          <w:cantSplit/>
        </w:trPr>
        <w:tc>
          <w:tcPr>
            <w:tcW w:w="1508" w:type="pct"/>
            <w:shd w:val="clear" w:color="auto" w:fill="auto"/>
          </w:tcPr>
          <w:p w14:paraId="36C62AA5" w14:textId="77777777" w:rsidR="00D21EFB" w:rsidRPr="00B06351" w:rsidRDefault="00D21EFB" w:rsidP="008B6E48">
            <w:pPr>
              <w:pStyle w:val="Glossarynoindent"/>
              <w:rPr>
                <w:rStyle w:val="Strong"/>
              </w:rPr>
            </w:pPr>
            <w:r w:rsidRPr="00B06351">
              <w:rPr>
                <w:rStyle w:val="Strong"/>
              </w:rPr>
              <w:t>age</w:t>
            </w:r>
          </w:p>
        </w:tc>
        <w:tc>
          <w:tcPr>
            <w:tcW w:w="3492" w:type="pct"/>
            <w:shd w:val="clear" w:color="auto" w:fill="auto"/>
          </w:tcPr>
          <w:p w14:paraId="6B5EBA6E" w14:textId="77777777" w:rsidR="00D21EFB" w:rsidRPr="00B06351" w:rsidRDefault="00D21EFB" w:rsidP="008B6E48">
            <w:pPr>
              <w:pStyle w:val="Glossarynoindent"/>
            </w:pPr>
            <w:r w:rsidRPr="00B06351">
              <w:t>This refers to a person belonging to a particular age group, which can mean people of the same age (e.g. 32-year-olds) or range of ages (e.g. 18–30-year-olds, or people over 50). The prohibition on age discrimination in relation to associations applies to those under and over the age of 18. The prohibition on age discrimination in services and public functions does not apply to those under the age of 18.</w:t>
            </w:r>
          </w:p>
        </w:tc>
      </w:tr>
      <w:tr w:rsidR="00D21EFB" w:rsidRPr="00B06351" w14:paraId="48B7A730" w14:textId="77777777" w:rsidTr="008B6E48">
        <w:trPr>
          <w:cantSplit/>
        </w:trPr>
        <w:tc>
          <w:tcPr>
            <w:tcW w:w="1508" w:type="pct"/>
            <w:shd w:val="clear" w:color="auto" w:fill="auto"/>
          </w:tcPr>
          <w:p w14:paraId="54F214E3" w14:textId="77777777" w:rsidR="00D21EFB" w:rsidRPr="00B06351" w:rsidRDefault="00D21EFB" w:rsidP="008B6E48">
            <w:pPr>
              <w:pStyle w:val="Glossarynoindent"/>
              <w:rPr>
                <w:rStyle w:val="Strong"/>
              </w:rPr>
            </w:pPr>
            <w:r w:rsidRPr="00B06351">
              <w:rPr>
                <w:rStyle w:val="Strong"/>
              </w:rPr>
              <w:t>agent</w:t>
            </w:r>
          </w:p>
        </w:tc>
        <w:tc>
          <w:tcPr>
            <w:tcW w:w="3492" w:type="pct"/>
            <w:shd w:val="clear" w:color="auto" w:fill="auto"/>
          </w:tcPr>
          <w:p w14:paraId="66182E5E" w14:textId="77777777" w:rsidR="00D21EFB" w:rsidRPr="00B06351" w:rsidRDefault="00D21EFB" w:rsidP="008B6E48">
            <w:pPr>
              <w:pStyle w:val="Glossarynoindent"/>
            </w:pPr>
            <w:r w:rsidRPr="00B06351">
              <w:t xml:space="preserve">A person who has authority to act on behalf of another ('the principal') but who is not an </w:t>
            </w:r>
            <w:r w:rsidRPr="00B06351">
              <w:rPr>
                <w:rStyle w:val="Strong"/>
              </w:rPr>
              <w:t>employee</w:t>
            </w:r>
            <w:r w:rsidRPr="00B06351">
              <w:t xml:space="preserve"> or </w:t>
            </w:r>
            <w:r w:rsidRPr="00B06351">
              <w:rPr>
                <w:rStyle w:val="Strong"/>
              </w:rPr>
              <w:t>worker</w:t>
            </w:r>
            <w:r w:rsidRPr="00B06351">
              <w:t xml:space="preserve"> employed by the employer.</w:t>
            </w:r>
          </w:p>
        </w:tc>
      </w:tr>
      <w:tr w:rsidR="00D21EFB" w:rsidRPr="00B06351" w14:paraId="1BBD24CA" w14:textId="77777777" w:rsidTr="008B6E48">
        <w:trPr>
          <w:cantSplit/>
        </w:trPr>
        <w:tc>
          <w:tcPr>
            <w:tcW w:w="1508" w:type="pct"/>
            <w:shd w:val="clear" w:color="auto" w:fill="auto"/>
          </w:tcPr>
          <w:p w14:paraId="4895AA83" w14:textId="77777777" w:rsidR="00D21EFB" w:rsidRPr="00B06351" w:rsidRDefault="00D21EFB" w:rsidP="008B6E48">
            <w:pPr>
              <w:pStyle w:val="Glossarynoindent"/>
              <w:rPr>
                <w:rStyle w:val="Strong"/>
              </w:rPr>
            </w:pPr>
            <w:r w:rsidRPr="00B06351">
              <w:rPr>
                <w:rStyle w:val="Strong"/>
              </w:rPr>
              <w:t>alternative format</w:t>
            </w:r>
          </w:p>
        </w:tc>
        <w:tc>
          <w:tcPr>
            <w:tcW w:w="3492" w:type="pct"/>
            <w:shd w:val="clear" w:color="auto" w:fill="auto"/>
          </w:tcPr>
          <w:p w14:paraId="30BB47C5" w14:textId="77777777" w:rsidR="00D21EFB" w:rsidRPr="00B06351" w:rsidRDefault="00D21EFB" w:rsidP="008B6E48">
            <w:pPr>
              <w:pStyle w:val="Glossarynoindent"/>
            </w:pPr>
            <w:r w:rsidRPr="00B06351">
              <w:t>Media formats which are accessible to disabled people with specific impairments, for example Braille, audio description, subtitles and Easy Read.</w:t>
            </w:r>
          </w:p>
        </w:tc>
      </w:tr>
      <w:tr w:rsidR="00D21EFB" w:rsidRPr="00B06351" w14:paraId="065CD06E" w14:textId="77777777" w:rsidTr="008B6E48">
        <w:trPr>
          <w:cantSplit/>
        </w:trPr>
        <w:tc>
          <w:tcPr>
            <w:tcW w:w="1508" w:type="pct"/>
            <w:shd w:val="clear" w:color="auto" w:fill="auto"/>
          </w:tcPr>
          <w:p w14:paraId="42391327" w14:textId="77777777" w:rsidR="00D21EFB" w:rsidRPr="00B06351" w:rsidRDefault="00D21EFB" w:rsidP="008B6E48">
            <w:pPr>
              <w:pStyle w:val="Glossarynoindent"/>
              <w:rPr>
                <w:rStyle w:val="Strong"/>
              </w:rPr>
            </w:pPr>
            <w:r w:rsidRPr="00B06351">
              <w:rPr>
                <w:rStyle w:val="Strong"/>
              </w:rPr>
              <w:t>anticipatory duty</w:t>
            </w:r>
          </w:p>
        </w:tc>
        <w:tc>
          <w:tcPr>
            <w:tcW w:w="3492" w:type="pct"/>
            <w:shd w:val="clear" w:color="auto" w:fill="auto"/>
          </w:tcPr>
          <w:p w14:paraId="22A09ABC" w14:textId="77777777" w:rsidR="00D21EFB" w:rsidRPr="00B06351" w:rsidRDefault="00D21EFB" w:rsidP="008B6E48">
            <w:pPr>
              <w:pStyle w:val="Glossarynoindent"/>
            </w:pPr>
            <w:r w:rsidRPr="00B06351">
              <w:t>For service providers, the duty to make reasonable adjustments is anticipatory; within reason, it is owed to all potential disabled customers and not just to those who are known to the service provider.</w:t>
            </w:r>
          </w:p>
        </w:tc>
      </w:tr>
      <w:tr w:rsidR="00D21EFB" w:rsidRPr="00B06351" w14:paraId="6CB460D1" w14:textId="77777777" w:rsidTr="008B6E48">
        <w:trPr>
          <w:cantSplit/>
          <w:trHeight w:val="1213"/>
        </w:trPr>
        <w:tc>
          <w:tcPr>
            <w:tcW w:w="1508" w:type="pct"/>
            <w:shd w:val="clear" w:color="auto" w:fill="auto"/>
          </w:tcPr>
          <w:p w14:paraId="31B4ACEE" w14:textId="77777777" w:rsidR="00D21EFB" w:rsidRPr="00B06351" w:rsidRDefault="00D21EFB" w:rsidP="008B6E48">
            <w:pPr>
              <w:pStyle w:val="Glossarynoindent"/>
              <w:rPr>
                <w:rStyle w:val="Strong"/>
              </w:rPr>
            </w:pPr>
            <w:r w:rsidRPr="00B06351">
              <w:rPr>
                <w:rStyle w:val="Strong"/>
              </w:rPr>
              <w:t>associate members</w:t>
            </w:r>
          </w:p>
        </w:tc>
        <w:tc>
          <w:tcPr>
            <w:tcW w:w="3492" w:type="pct"/>
            <w:shd w:val="clear" w:color="auto" w:fill="auto"/>
          </w:tcPr>
          <w:p w14:paraId="7B5AFD4D" w14:textId="77777777" w:rsidR="00D21EFB" w:rsidRPr="00B06351" w:rsidRDefault="00D21EFB" w:rsidP="008B6E48">
            <w:pPr>
              <w:pStyle w:val="Glossarynoindent"/>
            </w:pPr>
            <w:r w:rsidRPr="00B06351">
              <w:t>A person who has access to some or all of an association's benefits, facilities and services because they are a member of another associated private club.</w:t>
            </w:r>
          </w:p>
        </w:tc>
      </w:tr>
      <w:tr w:rsidR="00D21EFB" w:rsidRPr="00B06351" w14:paraId="2E4C9574" w14:textId="77777777" w:rsidTr="008B6E48">
        <w:trPr>
          <w:cantSplit/>
        </w:trPr>
        <w:tc>
          <w:tcPr>
            <w:tcW w:w="1508" w:type="pct"/>
            <w:shd w:val="clear" w:color="auto" w:fill="auto"/>
          </w:tcPr>
          <w:p w14:paraId="5EF316DA" w14:textId="77777777" w:rsidR="00D21EFB" w:rsidRPr="00B06351" w:rsidRDefault="00D21EFB" w:rsidP="008B6E48">
            <w:pPr>
              <w:pStyle w:val="Glossarynoindent"/>
              <w:rPr>
                <w:rStyle w:val="Strong"/>
              </w:rPr>
            </w:pPr>
            <w:r w:rsidRPr="00B06351">
              <w:rPr>
                <w:rStyle w:val="Strong"/>
              </w:rPr>
              <w:t>associated with</w:t>
            </w:r>
          </w:p>
        </w:tc>
        <w:tc>
          <w:tcPr>
            <w:tcW w:w="3492" w:type="pct"/>
            <w:shd w:val="clear" w:color="auto" w:fill="auto"/>
          </w:tcPr>
          <w:p w14:paraId="2EC09CD0" w14:textId="77777777" w:rsidR="00D21EFB" w:rsidRPr="00B06351" w:rsidRDefault="00D21EFB" w:rsidP="008B6E48">
            <w:pPr>
              <w:pStyle w:val="Glossarynoindent"/>
            </w:pPr>
            <w:r w:rsidRPr="00B06351">
              <w:t>This is used in a situation where the reason a person is discriminated against is not because they have a particular protected characteristic, but because they are ‘associated with’ another person who has that protected characteristic, e.g. the other person is their friend or relative. For example, a golf club bars a person from membership because they have a disabled child. This is sometimes referred to as discrimination ‘by association’.</w:t>
            </w:r>
          </w:p>
        </w:tc>
      </w:tr>
      <w:tr w:rsidR="00D21EFB" w:rsidRPr="00B06351" w14:paraId="65F94EFA" w14:textId="77777777" w:rsidTr="008B6E48">
        <w:trPr>
          <w:cantSplit/>
        </w:trPr>
        <w:tc>
          <w:tcPr>
            <w:tcW w:w="1508" w:type="pct"/>
            <w:shd w:val="clear" w:color="auto" w:fill="auto"/>
          </w:tcPr>
          <w:p w14:paraId="4B0E5E54" w14:textId="77777777" w:rsidR="00D21EFB" w:rsidRPr="00B06351" w:rsidRDefault="00D21EFB" w:rsidP="008B6E48">
            <w:pPr>
              <w:pStyle w:val="Glossarynoindent"/>
              <w:rPr>
                <w:rStyle w:val="Strong"/>
              </w:rPr>
            </w:pPr>
            <w:r w:rsidRPr="00B06351">
              <w:rPr>
                <w:rStyle w:val="Strong"/>
              </w:rPr>
              <w:t>association</w:t>
            </w:r>
          </w:p>
        </w:tc>
        <w:tc>
          <w:tcPr>
            <w:tcW w:w="3492" w:type="pct"/>
            <w:shd w:val="clear" w:color="auto" w:fill="auto"/>
          </w:tcPr>
          <w:p w14:paraId="01459888" w14:textId="77777777" w:rsidR="00D21EFB" w:rsidRPr="00B06351" w:rsidRDefault="00D21EFB" w:rsidP="008B6E48">
            <w:pPr>
              <w:pStyle w:val="Glossarynoindent"/>
            </w:pPr>
            <w:r w:rsidRPr="00B06351">
              <w:t>An association of people which has at least 25 members, where admission to membership is regulated and involves a process of selection.</w:t>
            </w:r>
          </w:p>
        </w:tc>
      </w:tr>
      <w:tr w:rsidR="00D21EFB" w:rsidRPr="00B06351" w14:paraId="6C72DDE7" w14:textId="77777777" w:rsidTr="008B6E48">
        <w:trPr>
          <w:cantSplit/>
        </w:trPr>
        <w:tc>
          <w:tcPr>
            <w:tcW w:w="1508" w:type="pct"/>
            <w:shd w:val="clear" w:color="auto" w:fill="auto"/>
          </w:tcPr>
          <w:p w14:paraId="2857C828" w14:textId="77777777" w:rsidR="00D21EFB" w:rsidRPr="00B06351" w:rsidRDefault="00D21EFB" w:rsidP="008B6E48">
            <w:pPr>
              <w:pStyle w:val="Glossarynoindent"/>
              <w:rPr>
                <w:rStyle w:val="Strong"/>
              </w:rPr>
            </w:pPr>
            <w:r w:rsidRPr="00B06351">
              <w:rPr>
                <w:rStyle w:val="Strong"/>
              </w:rPr>
              <w:t>auxiliary aid</w:t>
            </w:r>
          </w:p>
        </w:tc>
        <w:tc>
          <w:tcPr>
            <w:tcW w:w="3492" w:type="pct"/>
            <w:shd w:val="clear" w:color="auto" w:fill="auto"/>
          </w:tcPr>
          <w:p w14:paraId="4AA664B9" w14:textId="77777777" w:rsidR="00D21EFB" w:rsidRPr="00B06351" w:rsidRDefault="00D21EFB" w:rsidP="008B6E48">
            <w:pPr>
              <w:pStyle w:val="Glossarynoindent"/>
            </w:pPr>
            <w:r w:rsidRPr="00B06351">
              <w:t>Usually a special piece of equipment to improve accessibility.</w:t>
            </w:r>
          </w:p>
        </w:tc>
      </w:tr>
      <w:tr w:rsidR="00D21EFB" w:rsidRPr="00B06351" w14:paraId="2572E619" w14:textId="77777777" w:rsidTr="008B6E48">
        <w:trPr>
          <w:cantSplit/>
        </w:trPr>
        <w:tc>
          <w:tcPr>
            <w:tcW w:w="1508" w:type="pct"/>
            <w:shd w:val="clear" w:color="auto" w:fill="auto"/>
          </w:tcPr>
          <w:p w14:paraId="0DB7D8D0" w14:textId="77777777" w:rsidR="00D21EFB" w:rsidRPr="00B06351" w:rsidRDefault="00D21EFB" w:rsidP="008B6E48">
            <w:pPr>
              <w:pStyle w:val="Glossarynoindent"/>
              <w:rPr>
                <w:rStyle w:val="Strong"/>
              </w:rPr>
            </w:pPr>
            <w:r w:rsidRPr="00B06351">
              <w:rPr>
                <w:rStyle w:val="Strong"/>
              </w:rPr>
              <w:t>auxiliary service</w:t>
            </w:r>
          </w:p>
        </w:tc>
        <w:tc>
          <w:tcPr>
            <w:tcW w:w="3492" w:type="pct"/>
            <w:shd w:val="clear" w:color="auto" w:fill="auto"/>
          </w:tcPr>
          <w:p w14:paraId="61055AA2" w14:textId="77777777" w:rsidR="00D21EFB" w:rsidRPr="00B06351" w:rsidRDefault="00D21EFB" w:rsidP="008B6E48">
            <w:pPr>
              <w:pStyle w:val="Glossarynoindent"/>
            </w:pPr>
            <w:r w:rsidRPr="00B06351">
              <w:t>A service to improve access to something often involving the provision of a helper/assistant.</w:t>
            </w:r>
          </w:p>
        </w:tc>
      </w:tr>
      <w:tr w:rsidR="00D21EFB" w:rsidRPr="00B06351" w14:paraId="101DC594" w14:textId="77777777" w:rsidTr="008B6E48">
        <w:trPr>
          <w:cantSplit/>
        </w:trPr>
        <w:tc>
          <w:tcPr>
            <w:tcW w:w="1508" w:type="pct"/>
            <w:shd w:val="clear" w:color="auto" w:fill="auto"/>
          </w:tcPr>
          <w:p w14:paraId="43F2207A" w14:textId="77777777" w:rsidR="00D21EFB" w:rsidRPr="00B06351" w:rsidRDefault="00D21EFB" w:rsidP="008B6E48">
            <w:pPr>
              <w:pStyle w:val="Glossarynoindent"/>
              <w:rPr>
                <w:rStyle w:val="Strong"/>
              </w:rPr>
            </w:pPr>
            <w:r w:rsidRPr="00B06351">
              <w:rPr>
                <w:rStyle w:val="Strong"/>
              </w:rPr>
              <w:t>barriers</w:t>
            </w:r>
          </w:p>
        </w:tc>
        <w:tc>
          <w:tcPr>
            <w:tcW w:w="3492" w:type="pct"/>
            <w:shd w:val="clear" w:color="auto" w:fill="auto"/>
          </w:tcPr>
          <w:p w14:paraId="3AD4C887" w14:textId="77777777" w:rsidR="00D21EFB" w:rsidRPr="00B06351" w:rsidRDefault="00D21EFB" w:rsidP="008B6E48">
            <w:pPr>
              <w:pStyle w:val="Glossarynoindent"/>
            </w:pPr>
            <w:r w:rsidRPr="00B06351">
              <w:t xml:space="preserve">In this guide, this term refers to obstacles which get in the way of equality for disabled people and other people put at a disadvantage because of their protected characteristics. Unless explicitly stated, ‘barriers’ does not exclusively mean physical barriers. For the wider context in relation to disabled people, see </w:t>
            </w:r>
            <w:r w:rsidRPr="00B06351">
              <w:rPr>
                <w:rStyle w:val="Strong"/>
              </w:rPr>
              <w:t>duty to make reasonable adjustments</w:t>
            </w:r>
            <w:r w:rsidRPr="00B06351">
              <w:t>.</w:t>
            </w:r>
          </w:p>
        </w:tc>
      </w:tr>
      <w:tr w:rsidR="00D21EFB" w:rsidRPr="00B06351" w14:paraId="272CD389" w14:textId="77777777" w:rsidTr="008B6E48">
        <w:trPr>
          <w:cantSplit/>
        </w:trPr>
        <w:tc>
          <w:tcPr>
            <w:tcW w:w="1508" w:type="pct"/>
            <w:shd w:val="clear" w:color="auto" w:fill="auto"/>
          </w:tcPr>
          <w:p w14:paraId="61316CC5" w14:textId="77777777" w:rsidR="00D21EFB" w:rsidRPr="00B06351" w:rsidRDefault="00D21EFB" w:rsidP="008B6E48">
            <w:pPr>
              <w:pStyle w:val="Glossarynoindent"/>
              <w:rPr>
                <w:rStyle w:val="Strong"/>
              </w:rPr>
            </w:pPr>
            <w:r w:rsidRPr="00B06351">
              <w:rPr>
                <w:rStyle w:val="Strong"/>
              </w:rPr>
              <w:t>breastfeeding</w:t>
            </w:r>
          </w:p>
        </w:tc>
        <w:tc>
          <w:tcPr>
            <w:tcW w:w="3492" w:type="pct"/>
            <w:shd w:val="clear" w:color="auto" w:fill="auto"/>
          </w:tcPr>
          <w:p w14:paraId="4026AFA3" w14:textId="77777777" w:rsidR="00D21EFB" w:rsidRPr="00B06351" w:rsidRDefault="00D21EFB" w:rsidP="008B6E48">
            <w:pPr>
              <w:pStyle w:val="Glossarynoindent"/>
            </w:pPr>
            <w:r w:rsidRPr="00B06351">
              <w:t>Breastfeeding is specifically protected for the first 26 weeks after birth by the pregnancy and maternity discrimination provisions in the Equality Act in relation to non-work cases.</w:t>
            </w:r>
          </w:p>
        </w:tc>
      </w:tr>
      <w:tr w:rsidR="00D21EFB" w:rsidRPr="00B06351" w14:paraId="67032C61" w14:textId="77777777" w:rsidTr="008B6E48">
        <w:trPr>
          <w:cantSplit/>
        </w:trPr>
        <w:tc>
          <w:tcPr>
            <w:tcW w:w="1508" w:type="pct"/>
            <w:shd w:val="clear" w:color="auto" w:fill="auto"/>
          </w:tcPr>
          <w:p w14:paraId="7DBC0801" w14:textId="77777777" w:rsidR="00D21EFB" w:rsidRPr="00B06351" w:rsidRDefault="00D21EFB" w:rsidP="008B6E48">
            <w:pPr>
              <w:pStyle w:val="Glossarynoindent"/>
              <w:rPr>
                <w:rStyle w:val="Strong"/>
              </w:rPr>
            </w:pPr>
            <w:r w:rsidRPr="00B06351">
              <w:rPr>
                <w:rStyle w:val="Strong"/>
              </w:rPr>
              <w:t>burden of proof</w:t>
            </w:r>
          </w:p>
        </w:tc>
        <w:tc>
          <w:tcPr>
            <w:tcW w:w="3492" w:type="pct"/>
            <w:shd w:val="clear" w:color="auto" w:fill="auto"/>
          </w:tcPr>
          <w:p w14:paraId="318C1B61" w14:textId="77777777" w:rsidR="00D21EFB" w:rsidRPr="00B06351" w:rsidRDefault="00D21EFB" w:rsidP="008B6E48">
            <w:pPr>
              <w:pStyle w:val="Glossarynoindent"/>
            </w:pPr>
            <w:r w:rsidRPr="00B06351">
              <w:t>This refers to where the onus of proving discrimination lies.  Broadly speaking, a person bringing a claim must prove facts which, if unexplained, indicate discrimination. The burden of proof then shifts to the person or organization against whom the claim is being brought to prove there was no discrimination. If that person or organization cannot then prove that no discrimination was involved, the person bringing the claim will win their case.</w:t>
            </w:r>
          </w:p>
        </w:tc>
      </w:tr>
      <w:tr w:rsidR="00D21EFB" w:rsidRPr="00B06351" w14:paraId="143106A9" w14:textId="77777777" w:rsidTr="008B6E48">
        <w:trPr>
          <w:cantSplit/>
        </w:trPr>
        <w:tc>
          <w:tcPr>
            <w:tcW w:w="1508" w:type="pct"/>
            <w:shd w:val="clear" w:color="auto" w:fill="auto"/>
          </w:tcPr>
          <w:p w14:paraId="7FCA84C3" w14:textId="77777777" w:rsidR="00D21EFB" w:rsidRPr="00B06351" w:rsidRDefault="00D21EFB" w:rsidP="008B6E48">
            <w:pPr>
              <w:pStyle w:val="Glossarynoindent"/>
              <w:rPr>
                <w:rStyle w:val="Strong"/>
              </w:rPr>
            </w:pPr>
            <w:r w:rsidRPr="00B06351">
              <w:rPr>
                <w:rStyle w:val="Strong"/>
              </w:rPr>
              <w:t>by association</w:t>
            </w:r>
          </w:p>
        </w:tc>
        <w:tc>
          <w:tcPr>
            <w:tcW w:w="3492" w:type="pct"/>
            <w:shd w:val="clear" w:color="auto" w:fill="auto"/>
          </w:tcPr>
          <w:p w14:paraId="175432E4" w14:textId="77777777" w:rsidR="00D21EFB" w:rsidRPr="00B06351" w:rsidRDefault="00D21EFB" w:rsidP="008B6E48">
            <w:pPr>
              <w:pStyle w:val="Glossarynoindent"/>
            </w:pPr>
            <w:r w:rsidRPr="00B06351">
              <w:t xml:space="preserve">See </w:t>
            </w:r>
            <w:r w:rsidRPr="00B06351">
              <w:rPr>
                <w:rStyle w:val="Strong"/>
              </w:rPr>
              <w:t>associated with</w:t>
            </w:r>
            <w:r w:rsidRPr="00B06351">
              <w:t>.</w:t>
            </w:r>
          </w:p>
        </w:tc>
      </w:tr>
      <w:tr w:rsidR="00D21EFB" w:rsidRPr="00B06351" w14:paraId="415A70AA" w14:textId="77777777" w:rsidTr="008B6E48">
        <w:trPr>
          <w:cantSplit/>
        </w:trPr>
        <w:tc>
          <w:tcPr>
            <w:tcW w:w="1508" w:type="pct"/>
            <w:shd w:val="clear" w:color="auto" w:fill="auto"/>
          </w:tcPr>
          <w:p w14:paraId="37D92CDB" w14:textId="77777777" w:rsidR="00D21EFB" w:rsidRPr="00B06351" w:rsidRDefault="00D21EFB" w:rsidP="008B6E48">
            <w:pPr>
              <w:pStyle w:val="Glossarynoindent"/>
              <w:rPr>
                <w:rStyle w:val="Strong"/>
              </w:rPr>
            </w:pPr>
            <w:r w:rsidRPr="00B06351">
              <w:rPr>
                <w:rStyle w:val="Strong"/>
              </w:rPr>
              <w:t>charity</w:t>
            </w:r>
          </w:p>
        </w:tc>
        <w:tc>
          <w:tcPr>
            <w:tcW w:w="3492" w:type="pct"/>
            <w:shd w:val="clear" w:color="auto" w:fill="auto"/>
          </w:tcPr>
          <w:p w14:paraId="219A8E86" w14:textId="77777777" w:rsidR="00D21EFB" w:rsidRPr="00B06351" w:rsidRDefault="00D21EFB" w:rsidP="008B6E48">
            <w:pPr>
              <w:pStyle w:val="Glossarynoindent"/>
            </w:pPr>
            <w:r w:rsidRPr="00B06351">
              <w:t>A body (whether corporate or not) which is for a statutory charitable purpose that provides a benefit to the public.</w:t>
            </w:r>
          </w:p>
        </w:tc>
      </w:tr>
      <w:tr w:rsidR="00D21EFB" w:rsidRPr="00B06351" w14:paraId="6019B477" w14:textId="77777777" w:rsidTr="008B6E48">
        <w:trPr>
          <w:cantSplit/>
        </w:trPr>
        <w:tc>
          <w:tcPr>
            <w:tcW w:w="1508" w:type="pct"/>
            <w:shd w:val="clear" w:color="auto" w:fill="auto"/>
          </w:tcPr>
          <w:p w14:paraId="45A0F642" w14:textId="77777777" w:rsidR="00D21EFB" w:rsidRPr="00B06351" w:rsidRDefault="00D21EFB" w:rsidP="008B6E48">
            <w:pPr>
              <w:pStyle w:val="Glossarynoindent"/>
              <w:rPr>
                <w:rStyle w:val="Strong"/>
              </w:rPr>
            </w:pPr>
            <w:r w:rsidRPr="00B06351">
              <w:rPr>
                <w:rStyle w:val="Strong"/>
              </w:rPr>
              <w:t>Code of Practice</w:t>
            </w:r>
          </w:p>
        </w:tc>
        <w:tc>
          <w:tcPr>
            <w:tcW w:w="3492" w:type="pct"/>
            <w:shd w:val="clear" w:color="auto" w:fill="auto"/>
          </w:tcPr>
          <w:p w14:paraId="4B142D46" w14:textId="77777777" w:rsidR="00D21EFB" w:rsidRPr="00B06351" w:rsidRDefault="00D21EFB" w:rsidP="008B6E48">
            <w:pPr>
              <w:pStyle w:val="Glossarynoindent"/>
            </w:pPr>
            <w:r w:rsidRPr="00B06351">
              <w:t>A statutory guidance document which must be taken into account by the Courts when applying the law and which may assist people to comply with the law.</w:t>
            </w:r>
          </w:p>
        </w:tc>
      </w:tr>
      <w:tr w:rsidR="00D21EFB" w:rsidRPr="00B06351" w14:paraId="05F4204E" w14:textId="77777777" w:rsidTr="008B6E48">
        <w:trPr>
          <w:cantSplit/>
        </w:trPr>
        <w:tc>
          <w:tcPr>
            <w:tcW w:w="1508" w:type="pct"/>
            <w:shd w:val="clear" w:color="auto" w:fill="auto"/>
          </w:tcPr>
          <w:p w14:paraId="552D117F" w14:textId="77777777" w:rsidR="00D21EFB" w:rsidRPr="00B06351" w:rsidRDefault="00D21EFB" w:rsidP="008B6E48">
            <w:pPr>
              <w:pStyle w:val="Glossarynoindent"/>
              <w:rPr>
                <w:rStyle w:val="Strong"/>
              </w:rPr>
            </w:pPr>
            <w:r w:rsidRPr="00B06351">
              <w:rPr>
                <w:rStyle w:val="Strong"/>
              </w:rPr>
              <w:t>comparator</w:t>
            </w:r>
          </w:p>
        </w:tc>
        <w:tc>
          <w:tcPr>
            <w:tcW w:w="3492" w:type="pct"/>
            <w:shd w:val="clear" w:color="auto" w:fill="auto"/>
          </w:tcPr>
          <w:p w14:paraId="3D050DED" w14:textId="77777777" w:rsidR="00D21EFB" w:rsidRPr="00B06351" w:rsidRDefault="00D21EFB" w:rsidP="008B6E48">
            <w:pPr>
              <w:pStyle w:val="Glossarynoindent"/>
            </w:pPr>
            <w:r w:rsidRPr="00B06351">
              <w:t>A person with whom a claimant compares themselves to establish less favourable treatment or a disadvantage in a discrimination case. If a comparator does not exist it is often possible to rely on how a person would have been treated if they did not have the relevant protected characteristic (known as a ‘hypothetical’ comparator).</w:t>
            </w:r>
          </w:p>
        </w:tc>
      </w:tr>
      <w:tr w:rsidR="00D21EFB" w:rsidRPr="00B06351" w14:paraId="69F057A2" w14:textId="77777777" w:rsidTr="008B6E48">
        <w:trPr>
          <w:cantSplit/>
        </w:trPr>
        <w:tc>
          <w:tcPr>
            <w:tcW w:w="1508" w:type="pct"/>
            <w:shd w:val="clear" w:color="auto" w:fill="auto"/>
          </w:tcPr>
          <w:p w14:paraId="018816B3" w14:textId="77777777" w:rsidR="00D21EFB" w:rsidRPr="00B06351" w:rsidRDefault="00D21EFB" w:rsidP="008B6E48">
            <w:pPr>
              <w:pStyle w:val="Glossarynoindent"/>
              <w:rPr>
                <w:rStyle w:val="Strong"/>
              </w:rPr>
            </w:pPr>
            <w:r w:rsidRPr="00B06351">
              <w:rPr>
                <w:rStyle w:val="Strong"/>
              </w:rPr>
              <w:t>data protection</w:t>
            </w:r>
          </w:p>
        </w:tc>
        <w:tc>
          <w:tcPr>
            <w:tcW w:w="3492" w:type="pct"/>
            <w:shd w:val="clear" w:color="auto" w:fill="auto"/>
          </w:tcPr>
          <w:p w14:paraId="5CDB73A5" w14:textId="77777777" w:rsidR="00D21EFB" w:rsidRPr="00B06351" w:rsidRDefault="00D21EFB" w:rsidP="008B6E48">
            <w:pPr>
              <w:pStyle w:val="Glossarynoindent"/>
            </w:pPr>
            <w:r w:rsidRPr="00B06351">
              <w:t>Safeguards concerning personal data provided for by statute, mainly the Data Protection Act 1998.</w:t>
            </w:r>
          </w:p>
        </w:tc>
      </w:tr>
      <w:tr w:rsidR="00D21EFB" w:rsidRPr="00B06351" w14:paraId="3F336243" w14:textId="77777777" w:rsidTr="008B6E48">
        <w:trPr>
          <w:cantSplit/>
        </w:trPr>
        <w:tc>
          <w:tcPr>
            <w:tcW w:w="1508" w:type="pct"/>
            <w:shd w:val="clear" w:color="auto" w:fill="auto"/>
          </w:tcPr>
          <w:p w14:paraId="445ECD39" w14:textId="77777777" w:rsidR="00D21EFB" w:rsidRPr="00B06351" w:rsidRDefault="00D21EFB" w:rsidP="008B6E48">
            <w:pPr>
              <w:pStyle w:val="Glossarynoindent"/>
              <w:rPr>
                <w:rStyle w:val="Strong"/>
              </w:rPr>
            </w:pPr>
            <w:r w:rsidRPr="00B06351">
              <w:rPr>
                <w:rStyle w:val="Strong"/>
              </w:rPr>
              <w:t>direct discrimination</w:t>
            </w:r>
          </w:p>
        </w:tc>
        <w:tc>
          <w:tcPr>
            <w:tcW w:w="3492" w:type="pct"/>
            <w:shd w:val="clear" w:color="auto" w:fill="auto"/>
          </w:tcPr>
          <w:p w14:paraId="03F3E8B7" w14:textId="77777777" w:rsidR="00D21EFB" w:rsidRPr="00B06351" w:rsidRDefault="00D21EFB" w:rsidP="008B6E48">
            <w:pPr>
              <w:pStyle w:val="Glossarynoindent"/>
            </w:pPr>
            <w:r w:rsidRPr="00B06351">
              <w:t xml:space="preserve">Less favourable treatment of a person compared with another person because of a protected characteristic. This may be their own protected characteristic, or a protected characteristic of someone else; for example, someone with whom they are </w:t>
            </w:r>
            <w:r w:rsidRPr="00B06351">
              <w:rPr>
                <w:rStyle w:val="Strong"/>
              </w:rPr>
              <w:t>associated</w:t>
            </w:r>
            <w:r w:rsidRPr="00B06351">
              <w:t>. It is also direct discrimination to treat someone less favourably because the service provider wrongly perceives them to have a protected characteristic.</w:t>
            </w:r>
          </w:p>
        </w:tc>
      </w:tr>
      <w:tr w:rsidR="00D21EFB" w:rsidRPr="00B06351" w14:paraId="6BACDBF9" w14:textId="77777777" w:rsidTr="008B6E48">
        <w:trPr>
          <w:cantSplit/>
        </w:trPr>
        <w:tc>
          <w:tcPr>
            <w:tcW w:w="1508" w:type="pct"/>
            <w:shd w:val="clear" w:color="auto" w:fill="auto"/>
          </w:tcPr>
          <w:p w14:paraId="314D7D81" w14:textId="77777777" w:rsidR="00D21EFB" w:rsidRPr="00B06351" w:rsidRDefault="00D21EFB" w:rsidP="008B6E48">
            <w:pPr>
              <w:pStyle w:val="Glossarynoindent"/>
              <w:rPr>
                <w:rStyle w:val="Strong"/>
              </w:rPr>
            </w:pPr>
            <w:r w:rsidRPr="00B06351">
              <w:rPr>
                <w:rStyle w:val="Strong"/>
              </w:rPr>
              <w:t>disability</w:t>
            </w:r>
          </w:p>
        </w:tc>
        <w:tc>
          <w:tcPr>
            <w:tcW w:w="3492" w:type="pct"/>
            <w:shd w:val="clear" w:color="auto" w:fill="auto"/>
          </w:tcPr>
          <w:p w14:paraId="04D49D8D" w14:textId="77777777" w:rsidR="00D21EFB" w:rsidRPr="00B06351" w:rsidRDefault="00D21EFB" w:rsidP="008B6E48">
            <w:pPr>
              <w:pStyle w:val="Glossarynoindent"/>
            </w:pPr>
            <w:r w:rsidRPr="00B06351">
              <w:t>A person has a disability if he or she has a physical or mental impairment which has a substantial and long-term adverse effect on that person’s ability to carry out normal day-to-day activities. Certain medical conditions are automatically classed as being a disability – for example, cancer, HIV infection, multiple sclerosis.</w:t>
            </w:r>
          </w:p>
        </w:tc>
      </w:tr>
      <w:tr w:rsidR="00D21EFB" w:rsidRPr="00B06351" w14:paraId="5072134D" w14:textId="77777777" w:rsidTr="008B6E48">
        <w:trPr>
          <w:cantSplit/>
        </w:trPr>
        <w:tc>
          <w:tcPr>
            <w:tcW w:w="1508" w:type="pct"/>
            <w:shd w:val="clear" w:color="auto" w:fill="auto"/>
          </w:tcPr>
          <w:p w14:paraId="617FD0AC" w14:textId="77777777" w:rsidR="00D21EFB" w:rsidRPr="00B06351" w:rsidRDefault="00D21EFB" w:rsidP="008B6E48">
            <w:pPr>
              <w:pStyle w:val="Glossarynoindent"/>
              <w:rPr>
                <w:rStyle w:val="Strong"/>
              </w:rPr>
            </w:pPr>
            <w:r w:rsidRPr="00B06351">
              <w:rPr>
                <w:rStyle w:val="Strong"/>
              </w:rPr>
              <w:t>disabled person</w:t>
            </w:r>
          </w:p>
        </w:tc>
        <w:tc>
          <w:tcPr>
            <w:tcW w:w="3492" w:type="pct"/>
            <w:shd w:val="clear" w:color="auto" w:fill="auto"/>
          </w:tcPr>
          <w:p w14:paraId="7F754201" w14:textId="77777777" w:rsidR="00D21EFB" w:rsidRPr="00B06351" w:rsidRDefault="00D21EFB" w:rsidP="008B6E48">
            <w:pPr>
              <w:pStyle w:val="Glossarynoindent"/>
            </w:pPr>
            <w:r w:rsidRPr="00B06351">
              <w:t>Someone who has a physical or mental impairment that has a substantial and long-term adverse effect on their ability to carry out normal day-to-day activities.</w:t>
            </w:r>
          </w:p>
        </w:tc>
      </w:tr>
      <w:tr w:rsidR="00D21EFB" w:rsidRPr="00B06351" w14:paraId="4A258653" w14:textId="77777777" w:rsidTr="008B6E48">
        <w:trPr>
          <w:cantSplit/>
        </w:trPr>
        <w:tc>
          <w:tcPr>
            <w:tcW w:w="1508" w:type="pct"/>
            <w:shd w:val="clear" w:color="auto" w:fill="auto"/>
          </w:tcPr>
          <w:p w14:paraId="435B6363" w14:textId="77777777" w:rsidR="00D21EFB" w:rsidRPr="00B06351" w:rsidRDefault="00D21EFB" w:rsidP="008B6E48">
            <w:pPr>
              <w:pStyle w:val="Glossarynoindent"/>
              <w:rPr>
                <w:rStyle w:val="Strong"/>
              </w:rPr>
            </w:pPr>
            <w:r w:rsidRPr="00B06351">
              <w:rPr>
                <w:rStyle w:val="Strong"/>
              </w:rPr>
              <w:t>discrimination arising from disability</w:t>
            </w:r>
          </w:p>
        </w:tc>
        <w:tc>
          <w:tcPr>
            <w:tcW w:w="3492" w:type="pct"/>
            <w:shd w:val="clear" w:color="auto" w:fill="auto"/>
          </w:tcPr>
          <w:p w14:paraId="2400B4D1" w14:textId="77777777" w:rsidR="00D21EFB" w:rsidRPr="00B06351" w:rsidRDefault="00D21EFB" w:rsidP="008B6E48">
            <w:pPr>
              <w:pStyle w:val="Glossarynoindent"/>
            </w:pPr>
            <w:r w:rsidRPr="00B06351">
              <w:t xml:space="preserve">When a person is treated unfavourably because of something arising in consequence of their disability; for example, a restaurant does not allow a visually impaired customer to come in because they want to bring their dog inside. The dog is a guide dog and the reason the customer has the dog is because of their disability. If it is </w:t>
            </w:r>
            <w:r w:rsidRPr="00B06351">
              <w:rPr>
                <w:rStyle w:val="Strong"/>
              </w:rPr>
              <w:t>objectively justifiable</w:t>
            </w:r>
            <w:r w:rsidRPr="00B06351">
              <w:t xml:space="preserve"> to treat a person unfavourably because of something arising from their disability, then the treatment will not be unlawful. It is unlikely to be justifiable if the service user has not first made any </w:t>
            </w:r>
            <w:r w:rsidRPr="00B06351">
              <w:rPr>
                <w:rStyle w:val="Strong"/>
              </w:rPr>
              <w:t>reasonable adjustments</w:t>
            </w:r>
            <w:r w:rsidRPr="00B06351">
              <w:t xml:space="preserve">. </w:t>
            </w:r>
          </w:p>
        </w:tc>
      </w:tr>
      <w:tr w:rsidR="00D21EFB" w:rsidRPr="00B06351" w14:paraId="3036B0E2" w14:textId="77777777" w:rsidTr="008B6E48">
        <w:trPr>
          <w:cantSplit/>
        </w:trPr>
        <w:tc>
          <w:tcPr>
            <w:tcW w:w="1508" w:type="pct"/>
            <w:shd w:val="clear" w:color="auto" w:fill="auto"/>
          </w:tcPr>
          <w:p w14:paraId="1C9EF42C" w14:textId="77777777" w:rsidR="00D21EFB" w:rsidRPr="00B06351" w:rsidRDefault="00D21EFB" w:rsidP="008B6E48">
            <w:pPr>
              <w:pStyle w:val="Glossarynoindent"/>
              <w:rPr>
                <w:rStyle w:val="Strong"/>
              </w:rPr>
            </w:pPr>
            <w:r w:rsidRPr="00B06351">
              <w:rPr>
                <w:rStyle w:val="Strong"/>
              </w:rPr>
              <w:t>disproportionately low</w:t>
            </w:r>
          </w:p>
        </w:tc>
        <w:tc>
          <w:tcPr>
            <w:tcW w:w="3492" w:type="pct"/>
            <w:shd w:val="clear" w:color="auto" w:fill="auto"/>
          </w:tcPr>
          <w:p w14:paraId="190A038B" w14:textId="77777777" w:rsidR="00D21EFB" w:rsidRPr="00B06351" w:rsidRDefault="00D21EFB" w:rsidP="008B6E48">
            <w:pPr>
              <w:pStyle w:val="Glossarynoindent"/>
            </w:pPr>
            <w:r w:rsidRPr="00B06351">
              <w:t>Refers to situations where people with a protected characteristic are under-represented (e.g. among service users) compared to their numbers in the population.</w:t>
            </w:r>
          </w:p>
        </w:tc>
      </w:tr>
      <w:tr w:rsidR="00D21EFB" w:rsidRPr="00B06351" w14:paraId="3AEABEED" w14:textId="77777777" w:rsidTr="008B6E48">
        <w:trPr>
          <w:cantSplit/>
        </w:trPr>
        <w:tc>
          <w:tcPr>
            <w:tcW w:w="1508" w:type="pct"/>
            <w:shd w:val="clear" w:color="auto" w:fill="auto"/>
          </w:tcPr>
          <w:p w14:paraId="3D2C8938" w14:textId="77777777" w:rsidR="00D21EFB" w:rsidRPr="00B06351" w:rsidRDefault="00D21EFB" w:rsidP="008B6E48">
            <w:pPr>
              <w:pStyle w:val="Glossarynoindent"/>
              <w:rPr>
                <w:rStyle w:val="Strong"/>
              </w:rPr>
            </w:pPr>
            <w:r w:rsidRPr="00B06351">
              <w:rPr>
                <w:rStyle w:val="Strong"/>
              </w:rPr>
              <w:t>diversity</w:t>
            </w:r>
          </w:p>
        </w:tc>
        <w:tc>
          <w:tcPr>
            <w:tcW w:w="3492" w:type="pct"/>
            <w:shd w:val="clear" w:color="auto" w:fill="auto"/>
          </w:tcPr>
          <w:p w14:paraId="70990F3E" w14:textId="77777777" w:rsidR="00D21EFB" w:rsidRPr="00B06351" w:rsidRDefault="00D21EFB" w:rsidP="008B6E48">
            <w:pPr>
              <w:pStyle w:val="Glossarynoindent"/>
            </w:pPr>
            <w:r w:rsidRPr="00B06351">
              <w:t>This tends to be used to refer to a group of people with many different types of protected characteristic, e.g. people of all ages, religions, ethnic background etc.</w:t>
            </w:r>
          </w:p>
        </w:tc>
      </w:tr>
      <w:tr w:rsidR="00D21EFB" w:rsidRPr="00B06351" w14:paraId="1C55AD5F" w14:textId="77777777" w:rsidTr="008B6E48">
        <w:trPr>
          <w:cantSplit/>
        </w:trPr>
        <w:tc>
          <w:tcPr>
            <w:tcW w:w="1508" w:type="pct"/>
            <w:shd w:val="clear" w:color="auto" w:fill="auto"/>
          </w:tcPr>
          <w:p w14:paraId="5AAB583F" w14:textId="77777777" w:rsidR="00D21EFB" w:rsidRPr="00B06351" w:rsidRDefault="00D21EFB" w:rsidP="008B6E48">
            <w:pPr>
              <w:pStyle w:val="Glossarynoindent"/>
              <w:rPr>
                <w:rStyle w:val="Strong"/>
              </w:rPr>
            </w:pPr>
            <w:r w:rsidRPr="00B06351">
              <w:rPr>
                <w:rStyle w:val="Strong"/>
              </w:rPr>
              <w:t>duty to make reasonable adjustments</w:t>
            </w:r>
          </w:p>
        </w:tc>
        <w:tc>
          <w:tcPr>
            <w:tcW w:w="3492" w:type="pct"/>
            <w:shd w:val="clear" w:color="auto" w:fill="auto"/>
          </w:tcPr>
          <w:p w14:paraId="7A655408" w14:textId="77777777" w:rsidR="00D21EFB" w:rsidRPr="00B06351" w:rsidRDefault="00D21EFB" w:rsidP="008B6E48">
            <w:pPr>
              <w:pStyle w:val="Glossarynoindent"/>
              <w:rPr>
                <w:b/>
              </w:rPr>
            </w:pPr>
            <w:r w:rsidRPr="00B06351">
              <w:t xml:space="preserve">This duty arises where (1) a physical feature or (2) a provision, criterion or practice applied by an association puts a service user at a </w:t>
            </w:r>
            <w:r w:rsidRPr="00B06351">
              <w:rPr>
                <w:rStyle w:val="Strong"/>
              </w:rPr>
              <w:t>substantial</w:t>
            </w:r>
            <w:r w:rsidRPr="00B06351">
              <w:t xml:space="preserve"> disadvantage in comparison with people who are not disabled. It also applies where a member, associate member or guest (or former member, former associate member or former guest) would be put at a substantial disadvantage but for the provision of an auxiliary aid. The association has a duty to take reasonable steps to avoid that disadvantage by (i) changing provisions, criteria or practices, (ii) altering, removing or providing a reasonable alternative means of avoiding physical features, and (iii) providing auxiliary aids. In many situations, an association may have to treat the disabled service user more favourably than others as part of the reasonable adjustment. More detail of the law and </w:t>
            </w:r>
            <w:r w:rsidRPr="009E2D17">
              <w:t xml:space="preserve">examples of reasonable adjustments are set out in </w:t>
            </w:r>
            <w:hyperlink w:anchor="chapter4" w:history="1">
              <w:r w:rsidRPr="009E2D17">
                <w:rPr>
                  <w:rStyle w:val="Hyperlink"/>
                </w:rPr>
                <w:t>Chapter 4</w:t>
              </w:r>
            </w:hyperlink>
            <w:r w:rsidRPr="009E2D17">
              <w:t xml:space="preserve"> of this guide.</w:t>
            </w:r>
          </w:p>
        </w:tc>
      </w:tr>
      <w:tr w:rsidR="00D21EFB" w:rsidRPr="00B06351" w14:paraId="58815EAD" w14:textId="77777777" w:rsidTr="008B6E48">
        <w:trPr>
          <w:cantSplit/>
        </w:trPr>
        <w:tc>
          <w:tcPr>
            <w:tcW w:w="1508" w:type="pct"/>
            <w:shd w:val="clear" w:color="auto" w:fill="auto"/>
          </w:tcPr>
          <w:p w14:paraId="1DE8CFBC" w14:textId="77777777" w:rsidR="00D21EFB" w:rsidRPr="00B06351" w:rsidRDefault="00D21EFB" w:rsidP="008B6E48">
            <w:pPr>
              <w:pStyle w:val="Glossarynoindent"/>
              <w:rPr>
                <w:rStyle w:val="Strong"/>
              </w:rPr>
            </w:pPr>
            <w:r w:rsidRPr="00B06351">
              <w:rPr>
                <w:rStyle w:val="Strong"/>
              </w:rPr>
              <w:t>employee</w:t>
            </w:r>
          </w:p>
        </w:tc>
        <w:tc>
          <w:tcPr>
            <w:tcW w:w="3492" w:type="pct"/>
            <w:shd w:val="clear" w:color="auto" w:fill="auto"/>
          </w:tcPr>
          <w:p w14:paraId="077617F2" w14:textId="77777777" w:rsidR="00D21EFB" w:rsidRPr="00B06351" w:rsidRDefault="00D21EFB" w:rsidP="008B6E48">
            <w:pPr>
              <w:pStyle w:val="Glossarynoindent"/>
            </w:pPr>
            <w:r w:rsidRPr="00B06351">
              <w:t xml:space="preserve">A person who carries out work for a person under a contract of service or a contract of apprenticeship or a contract personally to do work; or a person who carries out work for the Crown or a relevant member of the Houses of Parliament staff. This guide refers to someone in these categories as ‘workers’. </w:t>
            </w:r>
            <w:r w:rsidRPr="00B06351">
              <w:rPr>
                <w:rStyle w:val="Emphasis"/>
              </w:rPr>
              <w:t>See</w:t>
            </w:r>
            <w:r w:rsidRPr="00B06351">
              <w:t xml:space="preserve"> </w:t>
            </w:r>
            <w:r w:rsidRPr="00B06351">
              <w:rPr>
                <w:rStyle w:val="Strong"/>
              </w:rPr>
              <w:t>worker</w:t>
            </w:r>
            <w:r w:rsidRPr="00B06351">
              <w:t>.</w:t>
            </w:r>
          </w:p>
        </w:tc>
      </w:tr>
      <w:tr w:rsidR="00D21EFB" w:rsidRPr="00B06351" w14:paraId="4E6158E2" w14:textId="77777777" w:rsidTr="008B6E48">
        <w:trPr>
          <w:cantSplit/>
        </w:trPr>
        <w:tc>
          <w:tcPr>
            <w:tcW w:w="1508" w:type="pct"/>
            <w:shd w:val="clear" w:color="auto" w:fill="auto"/>
          </w:tcPr>
          <w:p w14:paraId="761A02CA" w14:textId="77777777" w:rsidR="00D21EFB" w:rsidRPr="00B06351" w:rsidRDefault="00D21EFB" w:rsidP="008B6E48">
            <w:pPr>
              <w:pStyle w:val="Glossarynoindent"/>
              <w:rPr>
                <w:rStyle w:val="Strong"/>
              </w:rPr>
            </w:pPr>
            <w:r w:rsidRPr="00B06351">
              <w:rPr>
                <w:rStyle w:val="Strong"/>
              </w:rPr>
              <w:t>employer</w:t>
            </w:r>
          </w:p>
        </w:tc>
        <w:tc>
          <w:tcPr>
            <w:tcW w:w="3492" w:type="pct"/>
            <w:shd w:val="clear" w:color="auto" w:fill="auto"/>
          </w:tcPr>
          <w:p w14:paraId="5EE9E775" w14:textId="77777777" w:rsidR="00D21EFB" w:rsidRPr="00B06351" w:rsidRDefault="00D21EFB" w:rsidP="008B6E48">
            <w:pPr>
              <w:pStyle w:val="Glossarynoindent"/>
            </w:pPr>
            <w:r w:rsidRPr="00B06351">
              <w:t>A person who makes work available under a contract of employment, a contract of service or a contract of apprenticeship, or the Crown or a relevant member of the Houses of Parliament staff.</w:t>
            </w:r>
          </w:p>
        </w:tc>
      </w:tr>
      <w:tr w:rsidR="00D21EFB" w:rsidRPr="00B06351" w14:paraId="3DF0BD8C" w14:textId="77777777" w:rsidTr="008B6E48">
        <w:trPr>
          <w:cantSplit/>
        </w:trPr>
        <w:tc>
          <w:tcPr>
            <w:tcW w:w="1508" w:type="pct"/>
            <w:shd w:val="clear" w:color="auto" w:fill="auto"/>
          </w:tcPr>
          <w:p w14:paraId="079BA6BA" w14:textId="77777777" w:rsidR="00D21EFB" w:rsidRPr="00B06351" w:rsidRDefault="00D21EFB" w:rsidP="008B6E48">
            <w:pPr>
              <w:pStyle w:val="Glossarynoindent"/>
              <w:rPr>
                <w:rStyle w:val="Strong"/>
              </w:rPr>
            </w:pPr>
            <w:r w:rsidRPr="00B06351">
              <w:rPr>
                <w:rStyle w:val="Strong"/>
              </w:rPr>
              <w:t>equality policy</w:t>
            </w:r>
          </w:p>
        </w:tc>
        <w:tc>
          <w:tcPr>
            <w:tcW w:w="3492" w:type="pct"/>
            <w:shd w:val="clear" w:color="auto" w:fill="auto"/>
          </w:tcPr>
          <w:p w14:paraId="7957F220" w14:textId="77777777" w:rsidR="00D21EFB" w:rsidRPr="00B06351" w:rsidRDefault="00D21EFB" w:rsidP="008B6E48">
            <w:pPr>
              <w:pStyle w:val="Glossarynoindent"/>
            </w:pPr>
            <w:r w:rsidRPr="00B06351">
              <w:t>A statement of an organisation’s commitment to the principle of equality of opportunity in the workplace.</w:t>
            </w:r>
          </w:p>
        </w:tc>
      </w:tr>
      <w:tr w:rsidR="00D21EFB" w:rsidRPr="00B06351" w14:paraId="17EB8169" w14:textId="77777777" w:rsidTr="008B6E48">
        <w:trPr>
          <w:cantSplit/>
        </w:trPr>
        <w:tc>
          <w:tcPr>
            <w:tcW w:w="1508" w:type="pct"/>
            <w:shd w:val="clear" w:color="auto" w:fill="auto"/>
          </w:tcPr>
          <w:p w14:paraId="57A46A84" w14:textId="77777777" w:rsidR="00D21EFB" w:rsidRPr="00B06351" w:rsidRDefault="00D21EFB" w:rsidP="008B6E48">
            <w:pPr>
              <w:pStyle w:val="Glossarynoindent"/>
              <w:rPr>
                <w:rStyle w:val="Strong"/>
              </w:rPr>
            </w:pPr>
            <w:r w:rsidRPr="00B06351">
              <w:rPr>
                <w:rStyle w:val="Strong"/>
              </w:rPr>
              <w:t>equality training</w:t>
            </w:r>
          </w:p>
        </w:tc>
        <w:tc>
          <w:tcPr>
            <w:tcW w:w="3492" w:type="pct"/>
            <w:shd w:val="clear" w:color="auto" w:fill="auto"/>
          </w:tcPr>
          <w:p w14:paraId="59972ECE" w14:textId="77777777" w:rsidR="00D21EFB" w:rsidRPr="00B06351" w:rsidRDefault="00D21EFB" w:rsidP="008B6E48">
            <w:pPr>
              <w:pStyle w:val="Glossarynoindent"/>
            </w:pPr>
            <w:r w:rsidRPr="00B06351">
              <w:t>Training on equality law and effective equality practice.</w:t>
            </w:r>
          </w:p>
        </w:tc>
      </w:tr>
      <w:tr w:rsidR="00D21EFB" w:rsidRPr="00B06351" w14:paraId="495ADFAC" w14:textId="77777777" w:rsidTr="008B6E48">
        <w:trPr>
          <w:cantSplit/>
        </w:trPr>
        <w:tc>
          <w:tcPr>
            <w:tcW w:w="1508" w:type="pct"/>
            <w:shd w:val="clear" w:color="auto" w:fill="auto"/>
          </w:tcPr>
          <w:p w14:paraId="40D05430" w14:textId="77777777" w:rsidR="00D21EFB" w:rsidRPr="00B06351" w:rsidRDefault="00D21EFB" w:rsidP="008B6E48">
            <w:pPr>
              <w:pStyle w:val="Glossarynoindent"/>
              <w:rPr>
                <w:rStyle w:val="Strong"/>
              </w:rPr>
            </w:pPr>
            <w:r w:rsidRPr="00B06351">
              <w:rPr>
                <w:rStyle w:val="Strong"/>
              </w:rPr>
              <w:t>exceptions</w:t>
            </w:r>
          </w:p>
        </w:tc>
        <w:tc>
          <w:tcPr>
            <w:tcW w:w="3492" w:type="pct"/>
            <w:shd w:val="clear" w:color="auto" w:fill="auto"/>
          </w:tcPr>
          <w:p w14:paraId="133A9460" w14:textId="77777777" w:rsidR="00D21EFB" w:rsidRPr="00B06351" w:rsidRDefault="00D21EFB" w:rsidP="008B6E48">
            <w:pPr>
              <w:pStyle w:val="Glossarynoindent"/>
            </w:pPr>
            <w:r w:rsidRPr="00B06351">
              <w:t>Where, in specified circumstances, a provision of the Act does not apply.</w:t>
            </w:r>
          </w:p>
        </w:tc>
      </w:tr>
      <w:tr w:rsidR="00D21EFB" w:rsidRPr="00B06351" w14:paraId="59E20DC1" w14:textId="77777777" w:rsidTr="008B6E48">
        <w:trPr>
          <w:cantSplit/>
        </w:trPr>
        <w:tc>
          <w:tcPr>
            <w:tcW w:w="1508" w:type="pct"/>
            <w:shd w:val="clear" w:color="auto" w:fill="auto"/>
          </w:tcPr>
          <w:p w14:paraId="3E43972F" w14:textId="77777777" w:rsidR="00D21EFB" w:rsidRPr="00B06351" w:rsidRDefault="00D21EFB" w:rsidP="008B6E48">
            <w:pPr>
              <w:pStyle w:val="Glossarynoindent"/>
              <w:rPr>
                <w:rStyle w:val="Strong"/>
              </w:rPr>
            </w:pPr>
            <w:r w:rsidRPr="00B06351">
              <w:rPr>
                <w:rStyle w:val="Strong"/>
              </w:rPr>
              <w:t>former disability</w:t>
            </w:r>
          </w:p>
        </w:tc>
        <w:tc>
          <w:tcPr>
            <w:tcW w:w="3492" w:type="pct"/>
            <w:shd w:val="clear" w:color="auto" w:fill="auto"/>
          </w:tcPr>
          <w:p w14:paraId="420BCDC6" w14:textId="77777777" w:rsidR="00D21EFB" w:rsidRPr="00B06351" w:rsidRDefault="00D21EFB" w:rsidP="008B6E48">
            <w:pPr>
              <w:pStyle w:val="Glossarynoindent"/>
            </w:pPr>
            <w:r w:rsidRPr="00B06351">
              <w:t>A person who has had a disability as defined by the Equality Act.</w:t>
            </w:r>
          </w:p>
        </w:tc>
      </w:tr>
      <w:tr w:rsidR="00D21EFB" w:rsidRPr="00B06351" w14:paraId="729EC600" w14:textId="77777777" w:rsidTr="008B6E48">
        <w:trPr>
          <w:cantSplit/>
        </w:trPr>
        <w:tc>
          <w:tcPr>
            <w:tcW w:w="1508" w:type="pct"/>
            <w:shd w:val="clear" w:color="auto" w:fill="auto"/>
          </w:tcPr>
          <w:p w14:paraId="5036835F" w14:textId="77777777" w:rsidR="00D21EFB" w:rsidRPr="00B06351" w:rsidRDefault="00D21EFB" w:rsidP="008B6E48">
            <w:pPr>
              <w:pStyle w:val="Glossarynoindent"/>
              <w:rPr>
                <w:rStyle w:val="Strong"/>
              </w:rPr>
            </w:pPr>
            <w:r w:rsidRPr="00B06351">
              <w:rPr>
                <w:rStyle w:val="Strong"/>
              </w:rPr>
              <w:t>former member, associate member,</w:t>
            </w:r>
            <w:r w:rsidRPr="00B06351">
              <w:rPr>
                <w:rStyle w:val="Strong"/>
              </w:rPr>
              <w:br/>
              <w:t>or guest</w:t>
            </w:r>
          </w:p>
        </w:tc>
        <w:tc>
          <w:tcPr>
            <w:tcW w:w="3492" w:type="pct"/>
            <w:shd w:val="clear" w:color="auto" w:fill="auto"/>
          </w:tcPr>
          <w:p w14:paraId="565AC0AE" w14:textId="77777777" w:rsidR="00D21EFB" w:rsidRPr="00B06351" w:rsidRDefault="00D21EFB" w:rsidP="008B6E48">
            <w:pPr>
              <w:pStyle w:val="Glossarynoindent"/>
            </w:pPr>
            <w:r w:rsidRPr="00B06351">
              <w:t>A former member, former associate member or former guest is someone who used to be a member, associate member or who was a guest.</w:t>
            </w:r>
          </w:p>
        </w:tc>
      </w:tr>
      <w:tr w:rsidR="00D21EFB" w:rsidRPr="00B06351" w14:paraId="1276F840" w14:textId="77777777" w:rsidTr="008B6E48">
        <w:trPr>
          <w:cantSplit/>
        </w:trPr>
        <w:tc>
          <w:tcPr>
            <w:tcW w:w="1508" w:type="pct"/>
            <w:shd w:val="clear" w:color="auto" w:fill="auto"/>
          </w:tcPr>
          <w:p w14:paraId="501ED254" w14:textId="77777777" w:rsidR="00D21EFB" w:rsidRPr="00B06351" w:rsidRDefault="00D21EFB" w:rsidP="008B6E48">
            <w:pPr>
              <w:pStyle w:val="Glossarynoindent"/>
              <w:rPr>
                <w:rStyle w:val="Strong"/>
              </w:rPr>
            </w:pPr>
            <w:r w:rsidRPr="00B06351">
              <w:rPr>
                <w:rStyle w:val="Strong"/>
              </w:rPr>
              <w:t>gender reassignment</w:t>
            </w:r>
          </w:p>
        </w:tc>
        <w:tc>
          <w:tcPr>
            <w:tcW w:w="3492" w:type="pct"/>
            <w:shd w:val="clear" w:color="auto" w:fill="auto"/>
          </w:tcPr>
          <w:p w14:paraId="4977C2BF" w14:textId="77777777" w:rsidR="00D21EFB" w:rsidRPr="00B06351" w:rsidRDefault="00D21EFB" w:rsidP="008B6E48">
            <w:pPr>
              <w:pStyle w:val="Glossarynoindent"/>
            </w:pPr>
            <w:r w:rsidRPr="00B06351">
              <w:t xml:space="preserve">The process of changing or transitioning from one gender to another. </w:t>
            </w:r>
            <w:r w:rsidRPr="00B06351">
              <w:rPr>
                <w:rStyle w:val="Emphasis"/>
              </w:rPr>
              <w:t>See also</w:t>
            </w:r>
            <w:r w:rsidRPr="00B06351">
              <w:t xml:space="preserve"> </w:t>
            </w:r>
            <w:r w:rsidRPr="00B06351">
              <w:rPr>
                <w:rStyle w:val="Strong"/>
              </w:rPr>
              <w:t>transsexual person</w:t>
            </w:r>
            <w:r w:rsidRPr="00B06351">
              <w:t>.</w:t>
            </w:r>
          </w:p>
        </w:tc>
      </w:tr>
      <w:tr w:rsidR="00D21EFB" w:rsidRPr="00B06351" w14:paraId="2E4C4952" w14:textId="77777777" w:rsidTr="008B6E48">
        <w:trPr>
          <w:cantSplit/>
        </w:trPr>
        <w:tc>
          <w:tcPr>
            <w:tcW w:w="1508" w:type="pct"/>
            <w:shd w:val="clear" w:color="auto" w:fill="auto"/>
          </w:tcPr>
          <w:p w14:paraId="791E6113" w14:textId="77777777" w:rsidR="00D21EFB" w:rsidRPr="00B06351" w:rsidRDefault="00D21EFB" w:rsidP="008B6E48">
            <w:pPr>
              <w:pStyle w:val="Glossarynoindent"/>
              <w:rPr>
                <w:rStyle w:val="Strong"/>
              </w:rPr>
            </w:pPr>
            <w:r w:rsidRPr="00B06351">
              <w:rPr>
                <w:rStyle w:val="Strong"/>
              </w:rPr>
              <w:t>gender recognition certificate</w:t>
            </w:r>
          </w:p>
        </w:tc>
        <w:tc>
          <w:tcPr>
            <w:tcW w:w="3492" w:type="pct"/>
            <w:shd w:val="clear" w:color="auto" w:fill="auto"/>
          </w:tcPr>
          <w:p w14:paraId="1D7F0E17" w14:textId="77777777" w:rsidR="00D21EFB" w:rsidRPr="00B06351" w:rsidRDefault="00D21EFB" w:rsidP="008B6E48">
            <w:pPr>
              <w:pStyle w:val="Glossarynoindent"/>
            </w:pPr>
            <w:r w:rsidRPr="00B06351">
              <w:t>A certificate issued under the Gender Recognition Act to a transsexual person who seeks such a certificate and who has, or has had gender dysphoria, has lived in the acquired gender throughout the preceding two years, and intends to continue to live in the acquired gender until death.</w:t>
            </w:r>
          </w:p>
        </w:tc>
      </w:tr>
      <w:tr w:rsidR="00D21EFB" w:rsidRPr="00B06351" w14:paraId="6AA03342" w14:textId="77777777" w:rsidTr="008B6E48">
        <w:trPr>
          <w:cantSplit/>
        </w:trPr>
        <w:tc>
          <w:tcPr>
            <w:tcW w:w="1508" w:type="pct"/>
            <w:shd w:val="clear" w:color="auto" w:fill="auto"/>
          </w:tcPr>
          <w:p w14:paraId="3FA594C6" w14:textId="77777777" w:rsidR="00D21EFB" w:rsidRPr="00B06351" w:rsidRDefault="00D21EFB" w:rsidP="008B6E48">
            <w:pPr>
              <w:pStyle w:val="Glossarynoindent"/>
              <w:rPr>
                <w:rStyle w:val="Strong"/>
              </w:rPr>
            </w:pPr>
            <w:r w:rsidRPr="00B06351">
              <w:rPr>
                <w:rStyle w:val="Strong"/>
              </w:rPr>
              <w:t>goods, facilities or services</w:t>
            </w:r>
          </w:p>
        </w:tc>
        <w:tc>
          <w:tcPr>
            <w:tcW w:w="3492" w:type="pct"/>
            <w:shd w:val="clear" w:color="auto" w:fill="auto"/>
          </w:tcPr>
          <w:p w14:paraId="4E493C6E" w14:textId="77777777" w:rsidR="00D21EFB" w:rsidRPr="00B06351" w:rsidRDefault="00D21EFB" w:rsidP="008B6E48">
            <w:pPr>
              <w:pStyle w:val="Glossarynoindent"/>
            </w:pPr>
            <w:r w:rsidRPr="00B06351">
              <w:t>Goods refer to moveable property; facilities to opportunities to enjoy a benefit or do something; and services can refer to the wide range of provisions that people might need, for example hotels, restaurants and pubs, post offices and banks, shops and market stalls, cinemas, parks, petrol stations, hospitals, telesales and services provided by bus and train operators. Goods, facilities and services must be available to the public or any part of it if they are to fall within the Equality Act 2010.</w:t>
            </w:r>
          </w:p>
        </w:tc>
      </w:tr>
      <w:tr w:rsidR="00D21EFB" w:rsidRPr="00B06351" w14:paraId="7E220BD8" w14:textId="77777777" w:rsidTr="008B6E48">
        <w:trPr>
          <w:cantSplit/>
        </w:trPr>
        <w:tc>
          <w:tcPr>
            <w:tcW w:w="1508" w:type="pct"/>
            <w:shd w:val="clear" w:color="auto" w:fill="auto"/>
          </w:tcPr>
          <w:p w14:paraId="1EDB4904" w14:textId="77777777" w:rsidR="00D21EFB" w:rsidRPr="00B06351" w:rsidRDefault="00D21EFB" w:rsidP="008B6E48">
            <w:pPr>
              <w:pStyle w:val="Glossarynoindent"/>
              <w:rPr>
                <w:rStyle w:val="Strong"/>
              </w:rPr>
            </w:pPr>
            <w:r w:rsidRPr="00B06351">
              <w:rPr>
                <w:rStyle w:val="Strong"/>
              </w:rPr>
              <w:t>guests</w:t>
            </w:r>
          </w:p>
        </w:tc>
        <w:tc>
          <w:tcPr>
            <w:tcW w:w="3492" w:type="pct"/>
            <w:shd w:val="clear" w:color="auto" w:fill="auto"/>
          </w:tcPr>
          <w:p w14:paraId="5D8CD05B" w14:textId="77777777" w:rsidR="00D21EFB" w:rsidRPr="00B06351" w:rsidRDefault="00D21EFB" w:rsidP="008B6E48">
            <w:pPr>
              <w:pStyle w:val="Glossarynoindent"/>
            </w:pPr>
            <w:r w:rsidRPr="00B06351">
              <w:t>People invited to enjoy an association's benefits, facilities or services by that association or by any of its members.</w:t>
            </w:r>
          </w:p>
        </w:tc>
      </w:tr>
      <w:tr w:rsidR="00D21EFB" w:rsidRPr="00B06351" w14:paraId="2250C955" w14:textId="77777777" w:rsidTr="008B6E48">
        <w:trPr>
          <w:cantSplit/>
        </w:trPr>
        <w:tc>
          <w:tcPr>
            <w:tcW w:w="1508" w:type="pct"/>
            <w:shd w:val="clear" w:color="auto" w:fill="auto"/>
          </w:tcPr>
          <w:p w14:paraId="7B2D6709" w14:textId="77777777" w:rsidR="00D21EFB" w:rsidRPr="00B06351" w:rsidRDefault="00D21EFB" w:rsidP="008B6E48">
            <w:pPr>
              <w:pStyle w:val="Glossarynoindent"/>
              <w:rPr>
                <w:rStyle w:val="Strong"/>
              </w:rPr>
            </w:pPr>
            <w:r w:rsidRPr="00B06351">
              <w:rPr>
                <w:rStyle w:val="Strong"/>
              </w:rPr>
              <w:t>harass</w:t>
            </w:r>
          </w:p>
        </w:tc>
        <w:tc>
          <w:tcPr>
            <w:tcW w:w="3492" w:type="pct"/>
            <w:shd w:val="clear" w:color="auto" w:fill="auto"/>
          </w:tcPr>
          <w:p w14:paraId="17D6B0FE" w14:textId="77777777" w:rsidR="00D21EFB" w:rsidRPr="00B06351" w:rsidRDefault="00D21EFB" w:rsidP="008B6E48">
            <w:pPr>
              <w:pStyle w:val="Glossarynoindent"/>
            </w:pPr>
            <w:r w:rsidRPr="00B06351">
              <w:t>To behave towards someone in a way that violates their dignity, or creates a degrading, humiliating, hostile, intimidating or offensive environment.</w:t>
            </w:r>
          </w:p>
        </w:tc>
      </w:tr>
      <w:tr w:rsidR="00D21EFB" w:rsidRPr="00B06351" w14:paraId="6B48F8BF" w14:textId="77777777" w:rsidTr="008B6E48">
        <w:trPr>
          <w:cantSplit/>
        </w:trPr>
        <w:tc>
          <w:tcPr>
            <w:tcW w:w="1508" w:type="pct"/>
            <w:shd w:val="clear" w:color="auto" w:fill="auto"/>
          </w:tcPr>
          <w:p w14:paraId="1048792E" w14:textId="77777777" w:rsidR="00D21EFB" w:rsidRPr="00B06351" w:rsidRDefault="00D21EFB" w:rsidP="008B6E48">
            <w:pPr>
              <w:pStyle w:val="Glossarynoindent"/>
              <w:rPr>
                <w:rStyle w:val="Strong"/>
              </w:rPr>
            </w:pPr>
            <w:r w:rsidRPr="00B06351">
              <w:rPr>
                <w:rStyle w:val="Strong"/>
              </w:rPr>
              <w:t>harassment</w:t>
            </w:r>
          </w:p>
        </w:tc>
        <w:tc>
          <w:tcPr>
            <w:tcW w:w="3492" w:type="pct"/>
            <w:shd w:val="clear" w:color="auto" w:fill="auto"/>
          </w:tcPr>
          <w:p w14:paraId="475D8F22" w14:textId="77777777" w:rsidR="00D21EFB" w:rsidRPr="00B06351" w:rsidRDefault="00D21EFB" w:rsidP="008B6E48">
            <w:pPr>
              <w:pStyle w:val="Glossarynoindent"/>
            </w:pPr>
            <w:r w:rsidRPr="00B06351">
              <w:t xml:space="preserve">Unwanted behaviour that has the purpose or effect of violating a person’s dignity or creates a degrading, humiliating, hostile, intimidating or offensive environment. </w:t>
            </w:r>
            <w:r w:rsidRPr="00B06351">
              <w:rPr>
                <w:rStyle w:val="Emphasis"/>
              </w:rPr>
              <w:t>See also</w:t>
            </w:r>
            <w:r w:rsidRPr="00B06351">
              <w:t xml:space="preserve"> </w:t>
            </w:r>
            <w:r w:rsidRPr="00B06351">
              <w:rPr>
                <w:rStyle w:val="Strong"/>
              </w:rPr>
              <w:t>sexual harassment</w:t>
            </w:r>
            <w:r w:rsidRPr="00B06351">
              <w:t>.</w:t>
            </w:r>
          </w:p>
        </w:tc>
      </w:tr>
      <w:tr w:rsidR="00D21EFB" w:rsidRPr="00B06351" w14:paraId="71DBA259" w14:textId="77777777" w:rsidTr="008B6E48">
        <w:trPr>
          <w:cantSplit/>
        </w:trPr>
        <w:tc>
          <w:tcPr>
            <w:tcW w:w="1508" w:type="pct"/>
            <w:shd w:val="clear" w:color="auto" w:fill="auto"/>
          </w:tcPr>
          <w:p w14:paraId="697B98B7" w14:textId="77777777" w:rsidR="00D21EFB" w:rsidRPr="00B06351" w:rsidRDefault="00D21EFB" w:rsidP="008B6E48">
            <w:pPr>
              <w:pStyle w:val="Glossarynoindent"/>
              <w:rPr>
                <w:rStyle w:val="Strong"/>
              </w:rPr>
            </w:pPr>
            <w:r w:rsidRPr="00B06351">
              <w:rPr>
                <w:rStyle w:val="Strong"/>
              </w:rPr>
              <w:t>impairment</w:t>
            </w:r>
          </w:p>
        </w:tc>
        <w:tc>
          <w:tcPr>
            <w:tcW w:w="3492" w:type="pct"/>
            <w:shd w:val="clear" w:color="auto" w:fill="auto"/>
          </w:tcPr>
          <w:p w14:paraId="459EA2E2" w14:textId="77777777" w:rsidR="00D21EFB" w:rsidRPr="00B06351" w:rsidRDefault="00D21EFB" w:rsidP="008B6E48">
            <w:pPr>
              <w:pStyle w:val="Glossarynoindent"/>
            </w:pPr>
            <w:r w:rsidRPr="00B06351">
              <w:t xml:space="preserve">A functional limitation which may lead to a person being defined as disabled according to the definition under the Act. </w:t>
            </w:r>
            <w:r w:rsidRPr="00B06351">
              <w:rPr>
                <w:rStyle w:val="Emphasis"/>
              </w:rPr>
              <w:t>See also</w:t>
            </w:r>
            <w:r w:rsidRPr="00B06351">
              <w:t xml:space="preserve"> </w:t>
            </w:r>
            <w:r w:rsidRPr="00B06351">
              <w:rPr>
                <w:rStyle w:val="Strong"/>
              </w:rPr>
              <w:t>disability</w:t>
            </w:r>
            <w:r w:rsidRPr="00B06351">
              <w:t>.</w:t>
            </w:r>
          </w:p>
        </w:tc>
      </w:tr>
      <w:tr w:rsidR="00D21EFB" w:rsidRPr="00B06351" w14:paraId="0169D996" w14:textId="77777777" w:rsidTr="008B6E48">
        <w:trPr>
          <w:cantSplit/>
        </w:trPr>
        <w:tc>
          <w:tcPr>
            <w:tcW w:w="1508" w:type="pct"/>
            <w:shd w:val="clear" w:color="auto" w:fill="auto"/>
          </w:tcPr>
          <w:p w14:paraId="11F01FE7" w14:textId="77777777" w:rsidR="00D21EFB" w:rsidRPr="00B06351" w:rsidRDefault="00D21EFB" w:rsidP="008B6E48">
            <w:pPr>
              <w:pStyle w:val="Glossarynoindent"/>
              <w:rPr>
                <w:rStyle w:val="Strong"/>
              </w:rPr>
            </w:pPr>
            <w:r w:rsidRPr="00B06351">
              <w:rPr>
                <w:rStyle w:val="Strong"/>
              </w:rPr>
              <w:t>indirect discrimination</w:t>
            </w:r>
          </w:p>
        </w:tc>
        <w:tc>
          <w:tcPr>
            <w:tcW w:w="3492" w:type="pct"/>
            <w:shd w:val="clear" w:color="auto" w:fill="auto"/>
          </w:tcPr>
          <w:p w14:paraId="4404A63A" w14:textId="77777777" w:rsidR="00D21EFB" w:rsidRPr="00B06351" w:rsidRDefault="00D21EFB" w:rsidP="008B6E48">
            <w:pPr>
              <w:pStyle w:val="Glossarynoindent"/>
              <w:rPr>
                <w:i/>
              </w:rPr>
            </w:pPr>
            <w:r w:rsidRPr="00B06351">
              <w:t>Where a service provider applies (or would apply) an apparently neutral practice, provision or criterion which puts people with a particular protected characteristic at a disadvantage compared with others who do not share that characteristic, and applying the practice, provision or criterion cannot be objectively justified by the service provider.</w:t>
            </w:r>
          </w:p>
        </w:tc>
      </w:tr>
      <w:tr w:rsidR="00D21EFB" w:rsidRPr="00B06351" w14:paraId="606E5D70" w14:textId="77777777" w:rsidTr="008B6E48">
        <w:trPr>
          <w:cantSplit/>
        </w:trPr>
        <w:tc>
          <w:tcPr>
            <w:tcW w:w="1508" w:type="pct"/>
            <w:shd w:val="clear" w:color="auto" w:fill="auto"/>
          </w:tcPr>
          <w:p w14:paraId="54CD1327" w14:textId="77777777" w:rsidR="00D21EFB" w:rsidRPr="00B06351" w:rsidRDefault="00D21EFB" w:rsidP="008B6E48">
            <w:pPr>
              <w:pStyle w:val="Glossarynoindent"/>
              <w:rPr>
                <w:rStyle w:val="Strong"/>
              </w:rPr>
            </w:pPr>
            <w:r w:rsidRPr="00B06351">
              <w:rPr>
                <w:rStyle w:val="Strong"/>
              </w:rPr>
              <w:t>indirectly discriminatory</w:t>
            </w:r>
          </w:p>
        </w:tc>
        <w:tc>
          <w:tcPr>
            <w:tcW w:w="3492" w:type="pct"/>
            <w:shd w:val="clear" w:color="auto" w:fill="auto"/>
          </w:tcPr>
          <w:p w14:paraId="5A6499D5" w14:textId="77777777" w:rsidR="00D21EFB" w:rsidRPr="00B06351" w:rsidRDefault="00D21EFB" w:rsidP="008B6E48">
            <w:pPr>
              <w:pStyle w:val="Glossarynoindent"/>
            </w:pPr>
            <w:r w:rsidRPr="00B06351">
              <w:rPr>
                <w:rStyle w:val="Emphasis"/>
              </w:rPr>
              <w:t>See</w:t>
            </w:r>
            <w:r w:rsidRPr="00B06351">
              <w:t xml:space="preserve"> </w:t>
            </w:r>
            <w:r w:rsidRPr="00B06351">
              <w:rPr>
                <w:rStyle w:val="Strong"/>
              </w:rPr>
              <w:t>indirect discrimination</w:t>
            </w:r>
            <w:r w:rsidRPr="00B06351">
              <w:t>.</w:t>
            </w:r>
          </w:p>
        </w:tc>
      </w:tr>
      <w:tr w:rsidR="00D21EFB" w:rsidRPr="00B06351" w14:paraId="78CA3769" w14:textId="77777777" w:rsidTr="008B6E48">
        <w:trPr>
          <w:cantSplit/>
        </w:trPr>
        <w:tc>
          <w:tcPr>
            <w:tcW w:w="1508" w:type="pct"/>
            <w:shd w:val="clear" w:color="auto" w:fill="auto"/>
          </w:tcPr>
          <w:p w14:paraId="05038275" w14:textId="77777777" w:rsidR="00D21EFB" w:rsidRPr="00B06351" w:rsidRDefault="00D21EFB" w:rsidP="008B6E48">
            <w:pPr>
              <w:pStyle w:val="Glossarynoindent"/>
              <w:rPr>
                <w:rStyle w:val="Strong"/>
              </w:rPr>
            </w:pPr>
            <w:r w:rsidRPr="00B06351">
              <w:rPr>
                <w:rStyle w:val="Strong"/>
              </w:rPr>
              <w:t>Information Society Service Provider (ISSP)</w:t>
            </w:r>
          </w:p>
        </w:tc>
        <w:tc>
          <w:tcPr>
            <w:tcW w:w="3492" w:type="pct"/>
            <w:shd w:val="clear" w:color="auto" w:fill="auto"/>
          </w:tcPr>
          <w:p w14:paraId="72B08423" w14:textId="77777777" w:rsidR="00D21EFB" w:rsidRPr="00B06351" w:rsidRDefault="00D21EFB" w:rsidP="008B6E48">
            <w:pPr>
              <w:pStyle w:val="Glossarynoindent"/>
            </w:pPr>
            <w:r w:rsidRPr="00B06351">
              <w:t>A service provider which provides electronic data storage, usually for payment, for example, selling goods online.</w:t>
            </w:r>
          </w:p>
        </w:tc>
      </w:tr>
      <w:tr w:rsidR="00D21EFB" w:rsidRPr="00B06351" w14:paraId="59C4E81E" w14:textId="77777777" w:rsidTr="008B6E48">
        <w:trPr>
          <w:cantSplit/>
        </w:trPr>
        <w:tc>
          <w:tcPr>
            <w:tcW w:w="1508" w:type="pct"/>
            <w:shd w:val="clear" w:color="auto" w:fill="auto"/>
          </w:tcPr>
          <w:p w14:paraId="00BCAB5D" w14:textId="77777777" w:rsidR="00D21EFB" w:rsidRPr="00B06351" w:rsidRDefault="00D21EFB" w:rsidP="008B6E48">
            <w:pPr>
              <w:pStyle w:val="Glossarynoindent"/>
              <w:rPr>
                <w:rStyle w:val="Strong"/>
              </w:rPr>
            </w:pPr>
            <w:r w:rsidRPr="00B06351">
              <w:rPr>
                <w:rStyle w:val="Strong"/>
              </w:rPr>
              <w:t>instruction to discriminate</w:t>
            </w:r>
          </w:p>
        </w:tc>
        <w:tc>
          <w:tcPr>
            <w:tcW w:w="3492" w:type="pct"/>
            <w:shd w:val="clear" w:color="auto" w:fill="auto"/>
          </w:tcPr>
          <w:p w14:paraId="6106B7C5" w14:textId="77777777" w:rsidR="00D21EFB" w:rsidRPr="00B06351" w:rsidRDefault="00D21EFB" w:rsidP="008B6E48">
            <w:pPr>
              <w:pStyle w:val="Glossarynoindent"/>
            </w:pPr>
            <w:r w:rsidRPr="00B06351">
              <w:t>When someone who is in a position to do so instructs another to discriminate against a third party. For example, if a GP instructed their receptionist not to register anyone who might need help from an interpreter, this would amount to an instruction to discriminate.</w:t>
            </w:r>
          </w:p>
        </w:tc>
      </w:tr>
      <w:tr w:rsidR="00D21EFB" w:rsidRPr="00B06351" w14:paraId="09015E16" w14:textId="77777777" w:rsidTr="008B6E48">
        <w:trPr>
          <w:cantSplit/>
        </w:trPr>
        <w:tc>
          <w:tcPr>
            <w:tcW w:w="1508" w:type="pct"/>
            <w:shd w:val="clear" w:color="auto" w:fill="auto"/>
          </w:tcPr>
          <w:p w14:paraId="7209AD3F" w14:textId="77777777" w:rsidR="00D21EFB" w:rsidRPr="00B06351" w:rsidRDefault="00D21EFB" w:rsidP="008B6E48">
            <w:pPr>
              <w:pStyle w:val="Glossarynoindent"/>
              <w:rPr>
                <w:rStyle w:val="Strong"/>
              </w:rPr>
            </w:pPr>
            <w:r w:rsidRPr="00B06351">
              <w:rPr>
                <w:rStyle w:val="Strong"/>
              </w:rPr>
              <w:t>judicial review</w:t>
            </w:r>
          </w:p>
        </w:tc>
        <w:tc>
          <w:tcPr>
            <w:tcW w:w="3492" w:type="pct"/>
            <w:shd w:val="clear" w:color="auto" w:fill="auto"/>
          </w:tcPr>
          <w:p w14:paraId="78484EBB" w14:textId="77777777" w:rsidR="00D21EFB" w:rsidRPr="00B06351" w:rsidRDefault="00D21EFB" w:rsidP="008B6E48">
            <w:pPr>
              <w:pStyle w:val="Glossarynoindent"/>
            </w:pPr>
            <w:r w:rsidRPr="00B06351">
              <w:t>A procedure by which the High Court or Court of Session supervises the exercise of public authority power to ensure that it remains within the bounds of what is lawful.</w:t>
            </w:r>
          </w:p>
        </w:tc>
      </w:tr>
      <w:tr w:rsidR="00D21EFB" w:rsidRPr="00B06351" w14:paraId="6C0EEF72" w14:textId="77777777" w:rsidTr="008B6E48">
        <w:trPr>
          <w:cantSplit/>
        </w:trPr>
        <w:tc>
          <w:tcPr>
            <w:tcW w:w="1508" w:type="pct"/>
            <w:shd w:val="clear" w:color="auto" w:fill="auto"/>
          </w:tcPr>
          <w:p w14:paraId="1483391A" w14:textId="77777777" w:rsidR="00D21EFB" w:rsidRPr="00B06351" w:rsidRDefault="00D21EFB" w:rsidP="008B6E48">
            <w:pPr>
              <w:pStyle w:val="Glossarynoindent"/>
              <w:rPr>
                <w:rStyle w:val="Strong"/>
              </w:rPr>
            </w:pPr>
            <w:r w:rsidRPr="00B06351">
              <w:rPr>
                <w:rStyle w:val="Strong"/>
              </w:rPr>
              <w:t>knowledge</w:t>
            </w:r>
          </w:p>
        </w:tc>
        <w:tc>
          <w:tcPr>
            <w:tcW w:w="3492" w:type="pct"/>
            <w:shd w:val="clear" w:color="auto" w:fill="auto"/>
          </w:tcPr>
          <w:p w14:paraId="09325C63" w14:textId="77777777" w:rsidR="00D21EFB" w:rsidRPr="00B06351" w:rsidRDefault="00D21EFB" w:rsidP="008B6E48">
            <w:pPr>
              <w:pStyle w:val="Glossarynoindent"/>
            </w:pPr>
            <w:r w:rsidRPr="00B06351">
              <w:t xml:space="preserve">This refers to knowledge of a person’s disability which, in some circumstances, is needed for discrimination to occur. An association does not have to </w:t>
            </w:r>
            <w:r w:rsidRPr="00B06351">
              <w:rPr>
                <w:rStyle w:val="Emphasis"/>
              </w:rPr>
              <w:t>know</w:t>
            </w:r>
            <w:r w:rsidRPr="00B06351">
              <w:t xml:space="preserve"> that the person meets the legal definition of ‘a disabled person’, </w:t>
            </w:r>
            <w:r w:rsidRPr="00B06351">
              <w:rPr>
                <w:rStyle w:val="Emphasis"/>
              </w:rPr>
              <w:t>just that he or she has an impairment which is likely to meet the definition</w:t>
            </w:r>
            <w:r w:rsidRPr="00B06351">
              <w:t>.</w:t>
            </w:r>
          </w:p>
        </w:tc>
      </w:tr>
      <w:tr w:rsidR="00D21EFB" w:rsidRPr="00B06351" w14:paraId="3287FE54" w14:textId="77777777" w:rsidTr="008B6E48">
        <w:trPr>
          <w:cantSplit/>
        </w:trPr>
        <w:tc>
          <w:tcPr>
            <w:tcW w:w="1508" w:type="pct"/>
            <w:shd w:val="clear" w:color="auto" w:fill="auto"/>
          </w:tcPr>
          <w:p w14:paraId="1404CC12" w14:textId="77777777" w:rsidR="00D21EFB" w:rsidRPr="00B06351" w:rsidRDefault="00D21EFB" w:rsidP="008B6E48">
            <w:pPr>
              <w:pStyle w:val="Glossarynoindent"/>
              <w:rPr>
                <w:rStyle w:val="Strong"/>
              </w:rPr>
            </w:pPr>
            <w:r w:rsidRPr="00B06351">
              <w:rPr>
                <w:rStyle w:val="Strong"/>
              </w:rPr>
              <w:t>liability</w:t>
            </w:r>
          </w:p>
        </w:tc>
        <w:tc>
          <w:tcPr>
            <w:tcW w:w="3492" w:type="pct"/>
            <w:shd w:val="clear" w:color="auto" w:fill="auto"/>
          </w:tcPr>
          <w:p w14:paraId="1715987F" w14:textId="77777777" w:rsidR="00D21EFB" w:rsidRPr="00B06351" w:rsidRDefault="00D21EFB" w:rsidP="008B6E48">
            <w:pPr>
              <w:pStyle w:val="Glossarynoindent"/>
            </w:pPr>
            <w:r w:rsidRPr="00B06351">
              <w:t>Legal responsibility. An employer is legally responsible for discrimination carried out by workers employed by them or by their agents, unless they have taken all reasonable preventative steps.</w:t>
            </w:r>
          </w:p>
        </w:tc>
      </w:tr>
      <w:tr w:rsidR="00D21EFB" w:rsidRPr="00B06351" w14:paraId="072F72AA" w14:textId="77777777" w:rsidTr="008B6E48">
        <w:trPr>
          <w:cantSplit/>
        </w:trPr>
        <w:tc>
          <w:tcPr>
            <w:tcW w:w="1508" w:type="pct"/>
            <w:shd w:val="clear" w:color="auto" w:fill="auto"/>
          </w:tcPr>
          <w:p w14:paraId="2634AD37" w14:textId="77777777" w:rsidR="00D21EFB" w:rsidRPr="00B06351" w:rsidRDefault="00D21EFB" w:rsidP="008B6E48">
            <w:pPr>
              <w:pStyle w:val="Glossarynoindent"/>
              <w:rPr>
                <w:rStyle w:val="Strong"/>
              </w:rPr>
            </w:pPr>
            <w:r w:rsidRPr="00B06351">
              <w:rPr>
                <w:rStyle w:val="Strong"/>
              </w:rPr>
              <w:t>marriage and civil partnership</w:t>
            </w:r>
          </w:p>
        </w:tc>
        <w:tc>
          <w:tcPr>
            <w:tcW w:w="3492" w:type="pct"/>
            <w:shd w:val="clear" w:color="auto" w:fill="auto"/>
          </w:tcPr>
          <w:p w14:paraId="4DE5E282" w14:textId="77777777" w:rsidR="00D21EFB" w:rsidRPr="00B06351" w:rsidRDefault="00D21EFB" w:rsidP="008B6E48">
            <w:pPr>
              <w:pStyle w:val="Glossarynoindent"/>
            </w:pPr>
            <w:r w:rsidRPr="00B06351">
              <w:t>In England and Wales marriage is no longer restricted to a union between a man and a woman and now includes a marriage between two people of the same sex. This will also be the case in Scotland when the relevant legislation is brought into force (expected to be before the end of 2014). Same-sex couples can also have their relationships legally recognised as 'civil partnerships'. Civil partners must not be treated less favourably than married couples.</w:t>
            </w:r>
          </w:p>
        </w:tc>
      </w:tr>
      <w:tr w:rsidR="00D21EFB" w:rsidRPr="00B06351" w14:paraId="7E31B8A9" w14:textId="77777777" w:rsidTr="008B6E48">
        <w:trPr>
          <w:cantSplit/>
        </w:trPr>
        <w:tc>
          <w:tcPr>
            <w:tcW w:w="1508" w:type="pct"/>
            <w:shd w:val="clear" w:color="auto" w:fill="auto"/>
          </w:tcPr>
          <w:p w14:paraId="424EAAA4" w14:textId="77777777" w:rsidR="00D21EFB" w:rsidRPr="00B06351" w:rsidRDefault="00D21EFB" w:rsidP="008B6E48">
            <w:pPr>
              <w:pStyle w:val="Glossarynoindent"/>
              <w:rPr>
                <w:rStyle w:val="Strong"/>
              </w:rPr>
            </w:pPr>
            <w:r w:rsidRPr="00B06351">
              <w:rPr>
                <w:rStyle w:val="Strong"/>
              </w:rPr>
              <w:t>maternity</w:t>
            </w:r>
          </w:p>
        </w:tc>
        <w:tc>
          <w:tcPr>
            <w:tcW w:w="3492" w:type="pct"/>
            <w:shd w:val="clear" w:color="auto" w:fill="auto"/>
          </w:tcPr>
          <w:p w14:paraId="5EF528F9" w14:textId="77777777" w:rsidR="00D21EFB" w:rsidRPr="00B06351" w:rsidRDefault="00D21EFB" w:rsidP="008B6E48">
            <w:pPr>
              <w:pStyle w:val="Glossarynoindent"/>
            </w:pPr>
            <w:r w:rsidRPr="00B06351">
              <w:rPr>
                <w:rStyle w:val="Emphasis"/>
              </w:rPr>
              <w:t>See</w:t>
            </w:r>
            <w:r w:rsidRPr="00B06351">
              <w:t xml:space="preserve"> </w:t>
            </w:r>
            <w:r w:rsidRPr="00B06351">
              <w:rPr>
                <w:rStyle w:val="Strong"/>
              </w:rPr>
              <w:t>pregnancy and maternity</w:t>
            </w:r>
            <w:r w:rsidRPr="00B06351">
              <w:t>.</w:t>
            </w:r>
          </w:p>
        </w:tc>
      </w:tr>
      <w:tr w:rsidR="00D21EFB" w:rsidRPr="00B06351" w14:paraId="3D6E9831" w14:textId="77777777" w:rsidTr="008B6E48">
        <w:trPr>
          <w:cantSplit/>
        </w:trPr>
        <w:tc>
          <w:tcPr>
            <w:tcW w:w="1508" w:type="pct"/>
            <w:shd w:val="clear" w:color="auto" w:fill="auto"/>
          </w:tcPr>
          <w:p w14:paraId="5486344A" w14:textId="77777777" w:rsidR="00D21EFB" w:rsidRPr="00B06351" w:rsidRDefault="00D21EFB" w:rsidP="008B6E48">
            <w:pPr>
              <w:pStyle w:val="Glossarynoindent"/>
              <w:rPr>
                <w:rStyle w:val="Strong"/>
              </w:rPr>
            </w:pPr>
            <w:r w:rsidRPr="00B06351">
              <w:rPr>
                <w:rStyle w:val="Strong"/>
              </w:rPr>
              <w:t>members</w:t>
            </w:r>
          </w:p>
        </w:tc>
        <w:tc>
          <w:tcPr>
            <w:tcW w:w="3492" w:type="pct"/>
            <w:shd w:val="clear" w:color="auto" w:fill="auto"/>
          </w:tcPr>
          <w:p w14:paraId="3B90CF54" w14:textId="77777777" w:rsidR="00D21EFB" w:rsidRPr="00B06351" w:rsidRDefault="00D21EFB" w:rsidP="008B6E48">
            <w:pPr>
              <w:pStyle w:val="Glossarynoindent"/>
            </w:pPr>
            <w:r w:rsidRPr="00B06351">
              <w:t>People who have been formally accepted into membership of an association.</w:t>
            </w:r>
          </w:p>
        </w:tc>
      </w:tr>
      <w:tr w:rsidR="00D21EFB" w:rsidRPr="00B06351" w14:paraId="758BD62A" w14:textId="77777777" w:rsidTr="008B6E48">
        <w:trPr>
          <w:cantSplit/>
        </w:trPr>
        <w:tc>
          <w:tcPr>
            <w:tcW w:w="1508" w:type="pct"/>
            <w:shd w:val="clear" w:color="auto" w:fill="auto"/>
          </w:tcPr>
          <w:p w14:paraId="56D15F00" w14:textId="77777777" w:rsidR="00D21EFB" w:rsidRPr="00B06351" w:rsidRDefault="00D21EFB" w:rsidP="008B6E48">
            <w:pPr>
              <w:pStyle w:val="Glossarynoindent"/>
              <w:rPr>
                <w:rStyle w:val="Strong"/>
              </w:rPr>
            </w:pPr>
            <w:r w:rsidRPr="00B06351">
              <w:rPr>
                <w:rStyle w:val="Strong"/>
              </w:rPr>
              <w:t>minister</w:t>
            </w:r>
          </w:p>
        </w:tc>
        <w:tc>
          <w:tcPr>
            <w:tcW w:w="3492" w:type="pct"/>
            <w:shd w:val="clear" w:color="auto" w:fill="auto"/>
          </w:tcPr>
          <w:p w14:paraId="39365C9D" w14:textId="77777777" w:rsidR="00D21EFB" w:rsidRPr="00B06351" w:rsidRDefault="00D21EFB" w:rsidP="008B6E48">
            <w:pPr>
              <w:pStyle w:val="Glossarynoindent"/>
            </w:pPr>
            <w:r w:rsidRPr="00B06351">
              <w:t>Someone who is authorised to perform religious functions, such as weddings.</w:t>
            </w:r>
          </w:p>
        </w:tc>
      </w:tr>
      <w:tr w:rsidR="00D21EFB" w:rsidRPr="00B06351" w14:paraId="4F93D4DC" w14:textId="77777777" w:rsidTr="008B6E48">
        <w:trPr>
          <w:cantSplit/>
        </w:trPr>
        <w:tc>
          <w:tcPr>
            <w:tcW w:w="1508" w:type="pct"/>
            <w:shd w:val="clear" w:color="auto" w:fill="auto"/>
          </w:tcPr>
          <w:p w14:paraId="10A3EF03" w14:textId="77777777" w:rsidR="00D21EFB" w:rsidRPr="00B06351" w:rsidRDefault="00D21EFB" w:rsidP="008B6E48">
            <w:pPr>
              <w:pStyle w:val="Glossarynoindent"/>
              <w:rPr>
                <w:rStyle w:val="Strong"/>
              </w:rPr>
            </w:pPr>
            <w:r w:rsidRPr="00B06351">
              <w:rPr>
                <w:rStyle w:val="Strong"/>
              </w:rPr>
              <w:t>monitor</w:t>
            </w:r>
          </w:p>
        </w:tc>
        <w:tc>
          <w:tcPr>
            <w:tcW w:w="3492" w:type="pct"/>
            <w:shd w:val="clear" w:color="auto" w:fill="auto"/>
          </w:tcPr>
          <w:p w14:paraId="7C151356" w14:textId="77777777" w:rsidR="00D21EFB" w:rsidRPr="00B06351" w:rsidRDefault="00D21EFB" w:rsidP="008B6E48">
            <w:pPr>
              <w:pStyle w:val="Glossarynoindent"/>
            </w:pPr>
            <w:r w:rsidRPr="00B06351">
              <w:rPr>
                <w:rStyle w:val="Emphasis"/>
              </w:rPr>
              <w:t>See</w:t>
            </w:r>
            <w:r w:rsidRPr="00B06351">
              <w:t xml:space="preserve"> </w:t>
            </w:r>
            <w:r w:rsidRPr="00B06351">
              <w:rPr>
                <w:rStyle w:val="Strong"/>
              </w:rPr>
              <w:t>monitoring</w:t>
            </w:r>
            <w:r w:rsidRPr="00B06351">
              <w:t>.</w:t>
            </w:r>
          </w:p>
        </w:tc>
      </w:tr>
      <w:tr w:rsidR="00D21EFB" w:rsidRPr="00B06351" w14:paraId="352B9FF2" w14:textId="77777777" w:rsidTr="008B6E48">
        <w:trPr>
          <w:cantSplit/>
        </w:trPr>
        <w:tc>
          <w:tcPr>
            <w:tcW w:w="1508" w:type="pct"/>
            <w:shd w:val="clear" w:color="auto" w:fill="auto"/>
          </w:tcPr>
          <w:p w14:paraId="7559D742" w14:textId="77777777" w:rsidR="00D21EFB" w:rsidRPr="00B06351" w:rsidRDefault="00D21EFB" w:rsidP="008B6E48">
            <w:pPr>
              <w:pStyle w:val="Glossarynoindent"/>
              <w:rPr>
                <w:rStyle w:val="Strong"/>
              </w:rPr>
            </w:pPr>
            <w:r w:rsidRPr="00B06351">
              <w:rPr>
                <w:rStyle w:val="Strong"/>
              </w:rPr>
              <w:t>monitoring</w:t>
            </w:r>
          </w:p>
        </w:tc>
        <w:tc>
          <w:tcPr>
            <w:tcW w:w="3492" w:type="pct"/>
            <w:shd w:val="clear" w:color="auto" w:fill="auto"/>
          </w:tcPr>
          <w:p w14:paraId="12A3E8EE" w14:textId="77777777" w:rsidR="00D21EFB" w:rsidRPr="00B06351" w:rsidRDefault="00D21EFB" w:rsidP="008B6E48">
            <w:pPr>
              <w:pStyle w:val="Glossarynoindent"/>
            </w:pPr>
            <w:r w:rsidRPr="00B06351">
              <w:t>Monitoring for equality data to check if people with protected characteristics are participating in the activities of an organisation and being treated equally. For example, monitoring the representation of women, or disabled people, in the association or the workforce or at senior levels within organisations.</w:t>
            </w:r>
          </w:p>
        </w:tc>
      </w:tr>
      <w:tr w:rsidR="00D21EFB" w:rsidRPr="00B06351" w14:paraId="76A1E910" w14:textId="77777777" w:rsidTr="008B6E48">
        <w:trPr>
          <w:cantSplit/>
        </w:trPr>
        <w:tc>
          <w:tcPr>
            <w:tcW w:w="1508" w:type="pct"/>
            <w:shd w:val="clear" w:color="auto" w:fill="auto"/>
          </w:tcPr>
          <w:p w14:paraId="65A3C434" w14:textId="77777777" w:rsidR="00D21EFB" w:rsidRPr="00B06351" w:rsidRDefault="00D21EFB" w:rsidP="008B6E48">
            <w:pPr>
              <w:pStyle w:val="Glossarynoindent"/>
              <w:rPr>
                <w:rStyle w:val="Strong"/>
              </w:rPr>
            </w:pPr>
            <w:r w:rsidRPr="00B06351">
              <w:rPr>
                <w:rStyle w:val="Strong"/>
              </w:rPr>
              <w:t>monitoring form</w:t>
            </w:r>
          </w:p>
        </w:tc>
        <w:tc>
          <w:tcPr>
            <w:tcW w:w="3492" w:type="pct"/>
            <w:shd w:val="clear" w:color="auto" w:fill="auto"/>
          </w:tcPr>
          <w:p w14:paraId="56AAEF0F" w14:textId="77777777" w:rsidR="00D21EFB" w:rsidRPr="00B06351" w:rsidRDefault="00D21EFB" w:rsidP="008B6E48">
            <w:pPr>
              <w:pStyle w:val="Glossarynoindent"/>
            </w:pPr>
            <w:r w:rsidRPr="00B06351">
              <w:t>A form which organisations use to collect equality monitoring data – from, for example, job applicants or service users. It records information about a person’s protected characteristics. It is kept separately from any information identifying the person.</w:t>
            </w:r>
          </w:p>
        </w:tc>
      </w:tr>
      <w:tr w:rsidR="00D21EFB" w:rsidRPr="00B06351" w14:paraId="53201032" w14:textId="77777777" w:rsidTr="008B6E48">
        <w:trPr>
          <w:cantSplit/>
        </w:trPr>
        <w:tc>
          <w:tcPr>
            <w:tcW w:w="1508" w:type="pct"/>
            <w:shd w:val="clear" w:color="auto" w:fill="auto"/>
          </w:tcPr>
          <w:p w14:paraId="3C770A1E" w14:textId="77777777" w:rsidR="00D21EFB" w:rsidRPr="00B06351" w:rsidRDefault="00D21EFB" w:rsidP="008B6E48">
            <w:pPr>
              <w:pStyle w:val="Glossarynoindent"/>
              <w:rPr>
                <w:rStyle w:val="Strong"/>
              </w:rPr>
            </w:pPr>
            <w:r w:rsidRPr="00B06351">
              <w:rPr>
                <w:rStyle w:val="Strong"/>
              </w:rPr>
              <w:t>more favourably</w:t>
            </w:r>
          </w:p>
        </w:tc>
        <w:tc>
          <w:tcPr>
            <w:tcW w:w="3492" w:type="pct"/>
            <w:shd w:val="clear" w:color="auto" w:fill="auto"/>
          </w:tcPr>
          <w:p w14:paraId="3DCBEBC1" w14:textId="77777777" w:rsidR="00D21EFB" w:rsidRPr="00B06351" w:rsidRDefault="00D21EFB" w:rsidP="008B6E48">
            <w:pPr>
              <w:pStyle w:val="Glossarynoindent"/>
            </w:pPr>
            <w:r w:rsidRPr="00B06351">
              <w:t xml:space="preserve">To treat somebody better than someone else. This is unlawful under the Act if it is because of a protected characteristic except in very limited circumstances. The law requires service providers to make reasonable adjustments for a disabled people to remove any disadvantage caused by their disability, and this often </w:t>
            </w:r>
            <w:r w:rsidRPr="00B06351">
              <w:rPr>
                <w:rStyle w:val="Emphasis"/>
              </w:rPr>
              <w:t>requires</w:t>
            </w:r>
            <w:r w:rsidRPr="00B06351">
              <w:t xml:space="preserve"> treating them more favourably. A service provider can also choose to treat a disabled service user more favourably in other ways, even if they are not at a particular disadvantage on the relevant occasion.</w:t>
            </w:r>
          </w:p>
        </w:tc>
      </w:tr>
      <w:tr w:rsidR="00D21EFB" w:rsidRPr="00B06351" w14:paraId="6635CC33" w14:textId="77777777" w:rsidTr="008B6E48">
        <w:trPr>
          <w:cantSplit/>
        </w:trPr>
        <w:tc>
          <w:tcPr>
            <w:tcW w:w="1508" w:type="pct"/>
            <w:shd w:val="clear" w:color="auto" w:fill="auto"/>
          </w:tcPr>
          <w:p w14:paraId="101A3A24" w14:textId="77777777" w:rsidR="00D21EFB" w:rsidRPr="00B06351" w:rsidRDefault="00D21EFB" w:rsidP="008B6E48">
            <w:pPr>
              <w:pStyle w:val="Glossarynoindent"/>
              <w:rPr>
                <w:rStyle w:val="Strong"/>
              </w:rPr>
            </w:pPr>
            <w:r w:rsidRPr="00B06351">
              <w:rPr>
                <w:rStyle w:val="Strong"/>
              </w:rPr>
              <w:t>national security</w:t>
            </w:r>
          </w:p>
        </w:tc>
        <w:tc>
          <w:tcPr>
            <w:tcW w:w="3492" w:type="pct"/>
            <w:shd w:val="clear" w:color="auto" w:fill="auto"/>
          </w:tcPr>
          <w:p w14:paraId="593520BD" w14:textId="77777777" w:rsidR="00D21EFB" w:rsidRPr="00B06351" w:rsidRDefault="00D21EFB" w:rsidP="008B6E48">
            <w:pPr>
              <w:pStyle w:val="Glossarynoindent"/>
            </w:pPr>
            <w:r w:rsidRPr="00B06351">
              <w:t>The security of the nation and its protection from external and internal threats, particularly from activities such as terrorism and threats from other nations.</w:t>
            </w:r>
          </w:p>
        </w:tc>
      </w:tr>
      <w:tr w:rsidR="00D21EFB" w:rsidRPr="00B06351" w14:paraId="5D4CF94A" w14:textId="77777777" w:rsidTr="008B6E48">
        <w:trPr>
          <w:cantSplit/>
        </w:trPr>
        <w:tc>
          <w:tcPr>
            <w:tcW w:w="1508" w:type="pct"/>
            <w:shd w:val="clear" w:color="auto" w:fill="auto"/>
          </w:tcPr>
          <w:p w14:paraId="38E79CB1" w14:textId="77777777" w:rsidR="00D21EFB" w:rsidRPr="00B06351" w:rsidRDefault="00D21EFB" w:rsidP="008B6E48">
            <w:pPr>
              <w:pStyle w:val="Glossarynoindent"/>
              <w:rPr>
                <w:rStyle w:val="Strong"/>
              </w:rPr>
            </w:pPr>
            <w:r w:rsidRPr="00B06351">
              <w:rPr>
                <w:rStyle w:val="Strong"/>
              </w:rPr>
              <w:t>objectively justified</w:t>
            </w:r>
          </w:p>
        </w:tc>
        <w:tc>
          <w:tcPr>
            <w:tcW w:w="3492" w:type="pct"/>
            <w:shd w:val="clear" w:color="auto" w:fill="auto"/>
          </w:tcPr>
          <w:p w14:paraId="2872F5D0" w14:textId="77777777" w:rsidR="00D21EFB" w:rsidRPr="00B06351" w:rsidRDefault="00D21EFB" w:rsidP="008B6E48">
            <w:pPr>
              <w:pStyle w:val="Glossarynoindent"/>
              <w:rPr>
                <w:b/>
              </w:rPr>
            </w:pPr>
            <w:r w:rsidRPr="00B06351">
              <w:t xml:space="preserve">When something can be shown to be a proportionate means of achieving a legitimate aim – that is, the way of achieving the aim is appropriate and necessary.  See also </w:t>
            </w:r>
            <w:r w:rsidRPr="00B06351">
              <w:rPr>
                <w:rStyle w:val="Strong"/>
              </w:rPr>
              <w:t>proportionate</w:t>
            </w:r>
            <w:r w:rsidRPr="00B06351">
              <w:t>.</w:t>
            </w:r>
          </w:p>
        </w:tc>
      </w:tr>
      <w:tr w:rsidR="00D21EFB" w:rsidRPr="00B06351" w14:paraId="2F690047" w14:textId="77777777" w:rsidTr="008B6E48">
        <w:trPr>
          <w:cantSplit/>
        </w:trPr>
        <w:tc>
          <w:tcPr>
            <w:tcW w:w="1508" w:type="pct"/>
            <w:shd w:val="clear" w:color="auto" w:fill="auto"/>
          </w:tcPr>
          <w:p w14:paraId="6D0465B8" w14:textId="77777777" w:rsidR="00D21EFB" w:rsidRPr="00B06351" w:rsidRDefault="00D21EFB" w:rsidP="008B6E48">
            <w:pPr>
              <w:pStyle w:val="Glossarynoindent"/>
              <w:rPr>
                <w:rStyle w:val="Strong"/>
              </w:rPr>
            </w:pPr>
            <w:r w:rsidRPr="00B06351">
              <w:rPr>
                <w:rStyle w:val="Strong"/>
              </w:rPr>
              <w:t>palantypist</w:t>
            </w:r>
          </w:p>
        </w:tc>
        <w:tc>
          <w:tcPr>
            <w:tcW w:w="3492" w:type="pct"/>
            <w:shd w:val="clear" w:color="auto" w:fill="auto"/>
          </w:tcPr>
          <w:p w14:paraId="5CBF3BE1" w14:textId="77777777" w:rsidR="00D21EFB" w:rsidRPr="00B06351" w:rsidRDefault="00D21EFB" w:rsidP="008B6E48">
            <w:pPr>
              <w:pStyle w:val="Glossarynoindent"/>
            </w:pPr>
            <w:r w:rsidRPr="00B06351">
              <w:t>Also known as 'Speech to Text Reporter'. A palantypist reproduces speech into a text format onto a computer screen at verbatim speeds for Deaf or hard of hearing people to read.</w:t>
            </w:r>
          </w:p>
        </w:tc>
      </w:tr>
      <w:tr w:rsidR="00D21EFB" w:rsidRPr="00B06351" w14:paraId="28789DAE" w14:textId="77777777" w:rsidTr="008B6E48">
        <w:trPr>
          <w:cantSplit/>
        </w:trPr>
        <w:tc>
          <w:tcPr>
            <w:tcW w:w="1508" w:type="pct"/>
            <w:shd w:val="clear" w:color="auto" w:fill="auto"/>
          </w:tcPr>
          <w:p w14:paraId="6A3C7FF4" w14:textId="77777777" w:rsidR="00D21EFB" w:rsidRPr="00B06351" w:rsidRDefault="00D21EFB" w:rsidP="008B6E48">
            <w:pPr>
              <w:pStyle w:val="Glossarynoindent"/>
              <w:rPr>
                <w:rStyle w:val="Strong"/>
              </w:rPr>
            </w:pPr>
            <w:r w:rsidRPr="00B06351">
              <w:rPr>
                <w:rStyle w:val="Strong"/>
              </w:rPr>
              <w:t>perception</w:t>
            </w:r>
          </w:p>
        </w:tc>
        <w:tc>
          <w:tcPr>
            <w:tcW w:w="3492" w:type="pct"/>
            <w:shd w:val="clear" w:color="auto" w:fill="auto"/>
          </w:tcPr>
          <w:p w14:paraId="2E059D84" w14:textId="77777777" w:rsidR="00D21EFB" w:rsidRPr="00B06351" w:rsidRDefault="00D21EFB" w:rsidP="008B6E48">
            <w:pPr>
              <w:pStyle w:val="Glossarynoindent"/>
            </w:pPr>
            <w:r w:rsidRPr="00B06351">
              <w:t xml:space="preserve">This refers to a belief that someone has a protected characteristic, whether or not they do have it. The idea of discrimination because of perception is not explicitly referred to in the Equality Act, but it is incorporated because of the way the definition of </w:t>
            </w:r>
            <w:r w:rsidRPr="00B06351">
              <w:rPr>
                <w:rStyle w:val="Strong"/>
              </w:rPr>
              <w:t>direct discrimination</w:t>
            </w:r>
            <w:r w:rsidRPr="00B06351">
              <w:t xml:space="preserve"> is worded.</w:t>
            </w:r>
          </w:p>
        </w:tc>
      </w:tr>
      <w:tr w:rsidR="00D21EFB" w:rsidRPr="00B06351" w14:paraId="6E1D5614" w14:textId="77777777" w:rsidTr="008B6E48">
        <w:trPr>
          <w:cantSplit/>
        </w:trPr>
        <w:tc>
          <w:tcPr>
            <w:tcW w:w="1508" w:type="pct"/>
            <w:shd w:val="clear" w:color="auto" w:fill="auto"/>
          </w:tcPr>
          <w:p w14:paraId="3645F60D" w14:textId="77777777" w:rsidR="00D21EFB" w:rsidRPr="00B06351" w:rsidRDefault="00D21EFB" w:rsidP="008B6E48">
            <w:pPr>
              <w:pStyle w:val="Glossarynoindent"/>
              <w:rPr>
                <w:rStyle w:val="Strong"/>
              </w:rPr>
            </w:pPr>
            <w:r w:rsidRPr="00B06351">
              <w:rPr>
                <w:rStyle w:val="Strong"/>
              </w:rPr>
              <w:t>physical barriers</w:t>
            </w:r>
          </w:p>
        </w:tc>
        <w:tc>
          <w:tcPr>
            <w:tcW w:w="3492" w:type="pct"/>
            <w:shd w:val="clear" w:color="auto" w:fill="auto"/>
          </w:tcPr>
          <w:p w14:paraId="34FD2265" w14:textId="77777777" w:rsidR="00D21EFB" w:rsidRPr="00B06351" w:rsidRDefault="00D21EFB" w:rsidP="008B6E48">
            <w:pPr>
              <w:pStyle w:val="Glossarynoindent"/>
            </w:pPr>
            <w:r w:rsidRPr="00B06351">
              <w:t xml:space="preserve">A physical feature of a building or premises which places disabled people at a substantial disadvantage compared to non-disabled people when accessing benefits or services. </w:t>
            </w:r>
            <w:r w:rsidRPr="00B06351">
              <w:rPr>
                <w:rStyle w:val="Emphasis"/>
              </w:rPr>
              <w:t>See also</w:t>
            </w:r>
            <w:r w:rsidRPr="00B06351">
              <w:t xml:space="preserve"> </w:t>
            </w:r>
            <w:r w:rsidRPr="00B06351">
              <w:rPr>
                <w:rStyle w:val="Strong"/>
              </w:rPr>
              <w:t>physical features</w:t>
            </w:r>
            <w:r w:rsidRPr="00B06351">
              <w:t>.</w:t>
            </w:r>
          </w:p>
        </w:tc>
      </w:tr>
      <w:tr w:rsidR="00D21EFB" w:rsidRPr="00B06351" w14:paraId="06A84B1E" w14:textId="77777777" w:rsidTr="008B6E48">
        <w:trPr>
          <w:cantSplit/>
        </w:trPr>
        <w:tc>
          <w:tcPr>
            <w:tcW w:w="1508" w:type="pct"/>
            <w:shd w:val="clear" w:color="auto" w:fill="auto"/>
          </w:tcPr>
          <w:p w14:paraId="767C31DA" w14:textId="77777777" w:rsidR="00D21EFB" w:rsidRPr="00B06351" w:rsidRDefault="00D21EFB" w:rsidP="008B6E48">
            <w:pPr>
              <w:pStyle w:val="Glossarynoindent"/>
              <w:rPr>
                <w:rStyle w:val="Strong"/>
              </w:rPr>
            </w:pPr>
            <w:r w:rsidRPr="00B06351">
              <w:rPr>
                <w:rStyle w:val="Strong"/>
              </w:rPr>
              <w:t>physical features</w:t>
            </w:r>
          </w:p>
        </w:tc>
        <w:tc>
          <w:tcPr>
            <w:tcW w:w="3492" w:type="pct"/>
            <w:shd w:val="clear" w:color="auto" w:fill="auto"/>
          </w:tcPr>
          <w:p w14:paraId="15916A50" w14:textId="77777777" w:rsidR="00D21EFB" w:rsidRPr="00B06351" w:rsidRDefault="00D21EFB" w:rsidP="008B6E48">
            <w:pPr>
              <w:pStyle w:val="Glossarynoindent"/>
            </w:pPr>
            <w:r w:rsidRPr="00B06351">
              <w:t>Anything that forms part of the design or construction of a place of work, including any fixtures, such as doors, stairs etc. It may refer to things brought onto premises.</w:t>
            </w:r>
          </w:p>
        </w:tc>
      </w:tr>
      <w:tr w:rsidR="00D21EFB" w:rsidRPr="00B06351" w14:paraId="3876CACE" w14:textId="77777777" w:rsidTr="008B6E48">
        <w:trPr>
          <w:cantSplit/>
        </w:trPr>
        <w:tc>
          <w:tcPr>
            <w:tcW w:w="1508" w:type="pct"/>
            <w:shd w:val="clear" w:color="auto" w:fill="auto"/>
          </w:tcPr>
          <w:p w14:paraId="01567F64" w14:textId="77777777" w:rsidR="00D21EFB" w:rsidRPr="00B06351" w:rsidRDefault="00D21EFB" w:rsidP="008B6E48">
            <w:pPr>
              <w:pStyle w:val="Glossarynoindent"/>
              <w:rPr>
                <w:rStyle w:val="Strong"/>
              </w:rPr>
            </w:pPr>
            <w:r w:rsidRPr="00B06351">
              <w:rPr>
                <w:rStyle w:val="Strong"/>
              </w:rPr>
              <w:t>positive action</w:t>
            </w:r>
          </w:p>
        </w:tc>
        <w:tc>
          <w:tcPr>
            <w:tcW w:w="3492" w:type="pct"/>
            <w:shd w:val="clear" w:color="auto" w:fill="auto"/>
          </w:tcPr>
          <w:p w14:paraId="6E61C95C" w14:textId="77777777" w:rsidR="00D21EFB" w:rsidRPr="00B06351" w:rsidRDefault="00D21EFB" w:rsidP="008B6E48">
            <w:pPr>
              <w:pStyle w:val="Glossarynoindent"/>
            </w:pPr>
            <w:r w:rsidRPr="00B06351">
              <w:t>If an association reasonably thinks that people sharing a certain protected characteristic suffer a disadvantage connected to that characteristic or have different needs, or if their participation in an activity is disproportionately low, a service provider can take any action (which would otherwise be discrimination against other people) which is a proportionate means of enabling or encouraging those people to overcome or minimise their disadvantage or to participate in activities or meeting their needs.</w:t>
            </w:r>
          </w:p>
        </w:tc>
      </w:tr>
      <w:tr w:rsidR="00D21EFB" w:rsidRPr="00B06351" w14:paraId="3DF3FD8C" w14:textId="77777777" w:rsidTr="008B6E48">
        <w:trPr>
          <w:cantSplit/>
        </w:trPr>
        <w:tc>
          <w:tcPr>
            <w:tcW w:w="1508" w:type="pct"/>
            <w:shd w:val="clear" w:color="auto" w:fill="auto"/>
          </w:tcPr>
          <w:p w14:paraId="404F13EF" w14:textId="77777777" w:rsidR="00D21EFB" w:rsidRPr="00B06351" w:rsidRDefault="00D21EFB" w:rsidP="008B6E48">
            <w:pPr>
              <w:pStyle w:val="Glossarynoindent"/>
              <w:rPr>
                <w:rStyle w:val="Strong"/>
              </w:rPr>
            </w:pPr>
            <w:r w:rsidRPr="00B06351">
              <w:rPr>
                <w:rStyle w:val="Strong"/>
              </w:rPr>
              <w:t>positive discrimination</w:t>
            </w:r>
          </w:p>
        </w:tc>
        <w:tc>
          <w:tcPr>
            <w:tcW w:w="3492" w:type="pct"/>
            <w:shd w:val="clear" w:color="auto" w:fill="auto"/>
          </w:tcPr>
          <w:p w14:paraId="34BC7C29" w14:textId="77777777" w:rsidR="00D21EFB" w:rsidRPr="00B06351" w:rsidRDefault="00D21EFB" w:rsidP="008B6E48">
            <w:pPr>
              <w:pStyle w:val="Glossarynoindent"/>
            </w:pPr>
            <w:r w:rsidRPr="00B06351">
              <w:t>Treating someone with a protected characteristic more favourably to counteract the effects of former discrimination against those with that characteristic. It is generally not lawful, although more favourable treatment of members and of service users because of their disability is permitted. Moreover, the duty to make reasonable adjustments may require an association or service provider to treat a service user more favourably if that is needed to avoid a disadvantage.</w:t>
            </w:r>
          </w:p>
        </w:tc>
      </w:tr>
      <w:tr w:rsidR="00D21EFB" w:rsidRPr="00B06351" w14:paraId="18D12D96" w14:textId="77777777" w:rsidTr="008B6E48">
        <w:trPr>
          <w:cantSplit/>
        </w:trPr>
        <w:tc>
          <w:tcPr>
            <w:tcW w:w="1508" w:type="pct"/>
            <w:shd w:val="clear" w:color="auto" w:fill="auto"/>
          </w:tcPr>
          <w:p w14:paraId="5452B6BB" w14:textId="77777777" w:rsidR="00D21EFB" w:rsidRPr="00B06351" w:rsidRDefault="00D21EFB" w:rsidP="008B6E48">
            <w:pPr>
              <w:pStyle w:val="Glossarynoindent"/>
              <w:rPr>
                <w:rStyle w:val="Strong"/>
              </w:rPr>
            </w:pPr>
            <w:r w:rsidRPr="00B06351">
              <w:rPr>
                <w:rStyle w:val="Strong"/>
              </w:rPr>
              <w:t>pregnancy and maternity</w:t>
            </w:r>
          </w:p>
        </w:tc>
        <w:tc>
          <w:tcPr>
            <w:tcW w:w="3492" w:type="pct"/>
            <w:shd w:val="clear" w:color="auto" w:fill="auto"/>
          </w:tcPr>
          <w:p w14:paraId="0438F9BB" w14:textId="77777777" w:rsidR="00D21EFB" w:rsidRPr="00B06351" w:rsidRDefault="00D21EFB" w:rsidP="008B6E48">
            <w:pPr>
              <w:pStyle w:val="Glossarynoindent"/>
            </w:pPr>
            <w:r w:rsidRPr="00B06351">
              <w:t>Pregnancy is the condition of being pregnant or expecting a baby. In the non-work context, protection against maternity discrimination lasts for 26 weeks after giving birth, and this includes protection against unfavourable treatment on the grounds that a woman is breastfeeding.</w:t>
            </w:r>
          </w:p>
        </w:tc>
      </w:tr>
      <w:tr w:rsidR="00D21EFB" w:rsidRPr="00B06351" w14:paraId="46C8B96C" w14:textId="77777777" w:rsidTr="008B6E48">
        <w:trPr>
          <w:cantSplit/>
        </w:trPr>
        <w:tc>
          <w:tcPr>
            <w:tcW w:w="1508" w:type="pct"/>
            <w:shd w:val="clear" w:color="auto" w:fill="auto"/>
          </w:tcPr>
          <w:p w14:paraId="2BCEA53E" w14:textId="77777777" w:rsidR="00D21EFB" w:rsidRPr="00B06351" w:rsidRDefault="00D21EFB" w:rsidP="008B6E48">
            <w:pPr>
              <w:pStyle w:val="Glossarynoindent"/>
              <w:rPr>
                <w:rStyle w:val="Strong"/>
              </w:rPr>
            </w:pPr>
            <w:r w:rsidRPr="00B06351">
              <w:rPr>
                <w:rStyle w:val="Strong"/>
              </w:rPr>
              <w:t>principal</w:t>
            </w:r>
          </w:p>
        </w:tc>
        <w:tc>
          <w:tcPr>
            <w:tcW w:w="3492" w:type="pct"/>
            <w:shd w:val="clear" w:color="auto" w:fill="auto"/>
          </w:tcPr>
          <w:p w14:paraId="31A5F585" w14:textId="77777777" w:rsidR="00D21EFB" w:rsidRPr="00B06351" w:rsidRDefault="00D21EFB" w:rsidP="008B6E48">
            <w:pPr>
              <w:pStyle w:val="Glossarynoindent"/>
            </w:pPr>
            <w:r w:rsidRPr="00B06351">
              <w:t xml:space="preserve">In the context used in this Guide, where an association or service provider uses an agent, the association or service provider is the </w:t>
            </w:r>
            <w:r w:rsidRPr="00B06351">
              <w:rPr>
                <w:rStyle w:val="Strong"/>
              </w:rPr>
              <w:t>principal</w:t>
            </w:r>
            <w:r w:rsidRPr="00B06351">
              <w:t>.</w:t>
            </w:r>
          </w:p>
        </w:tc>
      </w:tr>
      <w:tr w:rsidR="00D21EFB" w:rsidRPr="00B06351" w14:paraId="0C9E9ECE" w14:textId="77777777" w:rsidTr="008B6E48">
        <w:trPr>
          <w:cantSplit/>
        </w:trPr>
        <w:tc>
          <w:tcPr>
            <w:tcW w:w="1508" w:type="pct"/>
            <w:shd w:val="clear" w:color="auto" w:fill="auto"/>
          </w:tcPr>
          <w:p w14:paraId="1D7E305D" w14:textId="77777777" w:rsidR="00D21EFB" w:rsidRPr="00B06351" w:rsidRDefault="00D21EFB" w:rsidP="008B6E48">
            <w:pPr>
              <w:pStyle w:val="Glossarynoindent"/>
              <w:rPr>
                <w:rStyle w:val="Strong"/>
              </w:rPr>
            </w:pPr>
            <w:r w:rsidRPr="00B06351">
              <w:rPr>
                <w:rStyle w:val="Strong"/>
              </w:rPr>
              <w:t>proportionate</w:t>
            </w:r>
          </w:p>
        </w:tc>
        <w:tc>
          <w:tcPr>
            <w:tcW w:w="3492" w:type="pct"/>
            <w:shd w:val="clear" w:color="auto" w:fill="auto"/>
          </w:tcPr>
          <w:p w14:paraId="0D12283F" w14:textId="77777777" w:rsidR="00D21EFB" w:rsidRPr="00B06351" w:rsidRDefault="00D21EFB" w:rsidP="008B6E48">
            <w:pPr>
              <w:pStyle w:val="Glossarynoindent"/>
            </w:pPr>
            <w:r w:rsidRPr="00B06351">
              <w:t>This refers to measures or actions that are appropriate and necessary. Whether something is proportionate in the circumstances will be a question of fact and will involve weighing up the discriminatory impact of the action against the reasons for it, and asking if there is any other way of achieving the aim of the action.</w:t>
            </w:r>
          </w:p>
        </w:tc>
      </w:tr>
      <w:tr w:rsidR="00D21EFB" w:rsidRPr="00B06351" w14:paraId="23A18CB8" w14:textId="77777777" w:rsidTr="008B6E48">
        <w:trPr>
          <w:cantSplit/>
        </w:trPr>
        <w:tc>
          <w:tcPr>
            <w:tcW w:w="1508" w:type="pct"/>
            <w:shd w:val="clear" w:color="auto" w:fill="auto"/>
          </w:tcPr>
          <w:p w14:paraId="3C3EF4DE" w14:textId="77777777" w:rsidR="00D21EFB" w:rsidRPr="00B06351" w:rsidRDefault="00D21EFB" w:rsidP="008B6E48">
            <w:pPr>
              <w:pStyle w:val="Glossarynoindent"/>
              <w:rPr>
                <w:rStyle w:val="Strong"/>
              </w:rPr>
            </w:pPr>
            <w:r w:rsidRPr="00B06351">
              <w:rPr>
                <w:rStyle w:val="Strong"/>
              </w:rPr>
              <w:t>protected characteristics</w:t>
            </w:r>
          </w:p>
        </w:tc>
        <w:tc>
          <w:tcPr>
            <w:tcW w:w="3492" w:type="pct"/>
            <w:shd w:val="clear" w:color="auto" w:fill="auto"/>
          </w:tcPr>
          <w:p w14:paraId="5644ACAF" w14:textId="77777777" w:rsidR="00D21EFB" w:rsidRPr="00B06351" w:rsidRDefault="00D21EFB" w:rsidP="008B6E48">
            <w:pPr>
              <w:pStyle w:val="Glossarynoindent"/>
            </w:pPr>
            <w:r w:rsidRPr="00B06351">
              <w:t>These are the grounds upon which discrimination is unlawful. The characteristics are: age, disability, gender reassignment, marriage and civil partnership, pregnancy and maternity, race, religion or belief, sex and sexual orientation.</w:t>
            </w:r>
          </w:p>
        </w:tc>
      </w:tr>
      <w:tr w:rsidR="00D21EFB" w:rsidRPr="00B06351" w14:paraId="7602915E" w14:textId="77777777" w:rsidTr="008B6E48">
        <w:trPr>
          <w:cantSplit/>
        </w:trPr>
        <w:tc>
          <w:tcPr>
            <w:tcW w:w="1508" w:type="pct"/>
            <w:shd w:val="clear" w:color="auto" w:fill="auto"/>
          </w:tcPr>
          <w:p w14:paraId="07A02BD7" w14:textId="77777777" w:rsidR="00D21EFB" w:rsidRPr="00B06351" w:rsidRDefault="00D21EFB" w:rsidP="008B6E48">
            <w:pPr>
              <w:pStyle w:val="Glossarynoindent"/>
              <w:rPr>
                <w:rStyle w:val="Strong"/>
              </w:rPr>
            </w:pPr>
            <w:r w:rsidRPr="00B06351">
              <w:rPr>
                <w:rStyle w:val="Strong"/>
              </w:rPr>
              <w:t>provision, criterion or practice</w:t>
            </w:r>
          </w:p>
        </w:tc>
        <w:tc>
          <w:tcPr>
            <w:tcW w:w="3492" w:type="pct"/>
            <w:shd w:val="clear" w:color="auto" w:fill="auto"/>
          </w:tcPr>
          <w:p w14:paraId="26BE850A" w14:textId="77777777" w:rsidR="00D21EFB" w:rsidRPr="00B06351" w:rsidRDefault="00D21EFB" w:rsidP="008B6E48">
            <w:pPr>
              <w:pStyle w:val="Glossarynoindent"/>
            </w:pPr>
            <w:r w:rsidRPr="00B06351">
              <w:t xml:space="preserve">Identifying a provision, criterion or practice is key to establishing </w:t>
            </w:r>
            <w:r w:rsidRPr="00B06351">
              <w:rPr>
                <w:rStyle w:val="Strong"/>
              </w:rPr>
              <w:t>indirect discrimination</w:t>
            </w:r>
            <w:r w:rsidRPr="00B06351">
              <w:t>. It can include, for example, any formal or informal policies, decisions, rules, practices, arrangements, criteria, conditions, prerequisites or qualifications.</w:t>
            </w:r>
          </w:p>
        </w:tc>
      </w:tr>
      <w:tr w:rsidR="00D21EFB" w:rsidRPr="00B06351" w14:paraId="164A03E9" w14:textId="77777777" w:rsidTr="008B6E48">
        <w:trPr>
          <w:cantSplit/>
        </w:trPr>
        <w:tc>
          <w:tcPr>
            <w:tcW w:w="1508" w:type="pct"/>
            <w:shd w:val="clear" w:color="auto" w:fill="auto"/>
          </w:tcPr>
          <w:p w14:paraId="5B8FC0F4" w14:textId="77777777" w:rsidR="00D21EFB" w:rsidRPr="00B06351" w:rsidRDefault="00D21EFB" w:rsidP="008B6E48">
            <w:pPr>
              <w:pStyle w:val="Glossarynoindent"/>
              <w:rPr>
                <w:rStyle w:val="Strong"/>
              </w:rPr>
            </w:pPr>
            <w:r w:rsidRPr="00B06351">
              <w:rPr>
                <w:rStyle w:val="Strong"/>
              </w:rPr>
              <w:t>public authority</w:t>
            </w:r>
          </w:p>
        </w:tc>
        <w:tc>
          <w:tcPr>
            <w:tcW w:w="3492" w:type="pct"/>
            <w:shd w:val="clear" w:color="auto" w:fill="auto"/>
          </w:tcPr>
          <w:p w14:paraId="34EA2995" w14:textId="77777777" w:rsidR="00D21EFB" w:rsidRPr="00B06351" w:rsidRDefault="00D21EFB" w:rsidP="008B6E48">
            <w:pPr>
              <w:pStyle w:val="Glossarynoindent"/>
            </w:pPr>
            <w:r w:rsidRPr="00B06351">
              <w:t>For the purposes of this Guidance a 'public authority' means a government department, local authority, court or tribunal, health authority, hospital, school, prison or police.</w:t>
            </w:r>
          </w:p>
        </w:tc>
      </w:tr>
      <w:tr w:rsidR="00D21EFB" w:rsidRPr="00B06351" w14:paraId="4FEE61B0" w14:textId="77777777" w:rsidTr="008B6E48">
        <w:trPr>
          <w:cantSplit/>
        </w:trPr>
        <w:tc>
          <w:tcPr>
            <w:tcW w:w="1508" w:type="pct"/>
            <w:shd w:val="clear" w:color="auto" w:fill="auto"/>
          </w:tcPr>
          <w:p w14:paraId="3084BFC3" w14:textId="77777777" w:rsidR="00D21EFB" w:rsidRPr="00B06351" w:rsidRDefault="00D21EFB" w:rsidP="008B6E48">
            <w:pPr>
              <w:pStyle w:val="Glossarynoindent"/>
              <w:rPr>
                <w:rStyle w:val="Strong"/>
              </w:rPr>
            </w:pPr>
            <w:r w:rsidRPr="00B06351">
              <w:rPr>
                <w:rStyle w:val="Strong"/>
              </w:rPr>
              <w:t>public bodies</w:t>
            </w:r>
          </w:p>
        </w:tc>
        <w:tc>
          <w:tcPr>
            <w:tcW w:w="3492" w:type="pct"/>
            <w:shd w:val="clear" w:color="auto" w:fill="auto"/>
          </w:tcPr>
          <w:p w14:paraId="6FBD6591" w14:textId="77777777" w:rsidR="00D21EFB" w:rsidRPr="00B06351" w:rsidRDefault="00D21EFB" w:rsidP="008B6E48">
            <w:pPr>
              <w:pStyle w:val="Glossarynoindent"/>
            </w:pPr>
            <w:r w:rsidRPr="00B06351">
              <w:t xml:space="preserve">For the purpose of this Guidance ‘public bodies’ includes public authorities (as above) as well as organisations which have a role in the processes of national governments but are not a government department or part of one. They operate to a greater or lesser extent at arm's length from Ministers and include, for example, a quango (a non-departmental government body) or an inspectorate. </w:t>
            </w:r>
            <w:r w:rsidRPr="00B06351">
              <w:br/>
              <w:t>This is not an exhaustive list.</w:t>
            </w:r>
          </w:p>
        </w:tc>
      </w:tr>
      <w:tr w:rsidR="00D21EFB" w:rsidRPr="00B06351" w14:paraId="4E4BED4F" w14:textId="77777777" w:rsidTr="008B6E48">
        <w:trPr>
          <w:cantSplit/>
        </w:trPr>
        <w:tc>
          <w:tcPr>
            <w:tcW w:w="1508" w:type="pct"/>
            <w:shd w:val="clear" w:color="auto" w:fill="auto"/>
          </w:tcPr>
          <w:p w14:paraId="07267A14" w14:textId="77777777" w:rsidR="00D21EFB" w:rsidRPr="00B06351" w:rsidRDefault="00D21EFB" w:rsidP="008B6E48">
            <w:pPr>
              <w:pStyle w:val="Glossarynoindent"/>
              <w:rPr>
                <w:rStyle w:val="Strong"/>
              </w:rPr>
            </w:pPr>
            <w:r w:rsidRPr="00B06351">
              <w:rPr>
                <w:rStyle w:val="Strong"/>
              </w:rPr>
              <w:t>public functions</w:t>
            </w:r>
          </w:p>
        </w:tc>
        <w:tc>
          <w:tcPr>
            <w:tcW w:w="3492" w:type="pct"/>
            <w:shd w:val="clear" w:color="auto" w:fill="auto"/>
          </w:tcPr>
          <w:p w14:paraId="6A25FC46" w14:textId="77777777" w:rsidR="00D21EFB" w:rsidRPr="00B06351" w:rsidRDefault="00D21EFB" w:rsidP="008B6E48">
            <w:pPr>
              <w:pStyle w:val="Glossarynoindent"/>
            </w:pPr>
            <w:r w:rsidRPr="00B06351">
              <w:t xml:space="preserve">a 'public function' for the purposes of this Guidance is any act or activities of a public nature carried out by a public authority or public body or by the private or voluntary sectors which is not already covered by the other sections of the Act dealing with services, housing, education and employment. Specifically, in relation to the private and voluntary sectors it will cover certain acts or activities carried out on behalf of the state. Examples of public functions include: determining frameworks for entitlement to benefits or services; law enforcement; receiving someone into prison or immigration detention facility; planning control; licensing; parking controls; trading standards; environmental health; regulatory functions; investigation of complaints; child protection. </w:t>
            </w:r>
            <w:r w:rsidRPr="00B06351">
              <w:br/>
              <w:t>This is not an exhaustive list.</w:t>
            </w:r>
          </w:p>
        </w:tc>
      </w:tr>
      <w:tr w:rsidR="00D21EFB" w:rsidRPr="00B06351" w14:paraId="6F078F1E" w14:textId="77777777" w:rsidTr="008B6E48">
        <w:trPr>
          <w:cantSplit/>
        </w:trPr>
        <w:tc>
          <w:tcPr>
            <w:tcW w:w="1508" w:type="pct"/>
            <w:shd w:val="clear" w:color="auto" w:fill="auto"/>
          </w:tcPr>
          <w:p w14:paraId="51DBCE68" w14:textId="77777777" w:rsidR="00D21EFB" w:rsidRPr="00B06351" w:rsidRDefault="00D21EFB" w:rsidP="008B6E48">
            <w:pPr>
              <w:pStyle w:val="Glossarynoindent"/>
              <w:rPr>
                <w:rStyle w:val="Strong"/>
              </w:rPr>
            </w:pPr>
            <w:r w:rsidRPr="00B06351">
              <w:rPr>
                <w:rStyle w:val="Strong"/>
              </w:rPr>
              <w:t>public sector equality duty</w:t>
            </w:r>
          </w:p>
        </w:tc>
        <w:tc>
          <w:tcPr>
            <w:tcW w:w="3492" w:type="pct"/>
            <w:shd w:val="clear" w:color="auto" w:fill="auto"/>
          </w:tcPr>
          <w:p w14:paraId="788A5C65" w14:textId="77777777" w:rsidR="00D21EFB" w:rsidRPr="00B06351" w:rsidRDefault="00D21EFB" w:rsidP="008B6E48">
            <w:pPr>
              <w:pStyle w:val="Glossarynoindent"/>
            </w:pPr>
            <w:r w:rsidRPr="00B06351">
              <w:t>The duty on a public authority when carrying out its functions to have due regard to the need to eliminate unlawful discrimination and harassment, foster good relations and advance equality of opportunity.</w:t>
            </w:r>
          </w:p>
        </w:tc>
      </w:tr>
      <w:tr w:rsidR="00D21EFB" w:rsidRPr="00B06351" w14:paraId="52299255" w14:textId="77777777" w:rsidTr="008B6E48">
        <w:trPr>
          <w:cantSplit/>
        </w:trPr>
        <w:tc>
          <w:tcPr>
            <w:tcW w:w="1508" w:type="pct"/>
            <w:shd w:val="clear" w:color="auto" w:fill="auto"/>
          </w:tcPr>
          <w:p w14:paraId="100A58A1" w14:textId="77777777" w:rsidR="00D21EFB" w:rsidRPr="00B06351" w:rsidRDefault="00D21EFB" w:rsidP="008B6E48">
            <w:pPr>
              <w:pStyle w:val="Glossarynoindent"/>
              <w:rPr>
                <w:rStyle w:val="Strong"/>
              </w:rPr>
            </w:pPr>
            <w:r w:rsidRPr="00B06351">
              <w:rPr>
                <w:rStyle w:val="Strong"/>
              </w:rPr>
              <w:t>questionnaire</w:t>
            </w:r>
          </w:p>
        </w:tc>
        <w:tc>
          <w:tcPr>
            <w:tcW w:w="3492" w:type="pct"/>
            <w:shd w:val="clear" w:color="auto" w:fill="auto"/>
          </w:tcPr>
          <w:p w14:paraId="77F6CD29" w14:textId="77777777" w:rsidR="00D21EFB" w:rsidRPr="00B06351" w:rsidRDefault="00D21EFB" w:rsidP="008B6E48">
            <w:pPr>
              <w:pStyle w:val="Glossarynoindent"/>
            </w:pPr>
            <w:r w:rsidRPr="00B06351">
              <w:rPr>
                <w:rStyle w:val="Emphasis"/>
              </w:rPr>
              <w:t>See</w:t>
            </w:r>
            <w:r w:rsidRPr="00B06351">
              <w:t xml:space="preserve"> </w:t>
            </w:r>
            <w:r w:rsidRPr="00B06351">
              <w:rPr>
                <w:rStyle w:val="Strong"/>
              </w:rPr>
              <w:t>questions procedure</w:t>
            </w:r>
            <w:r w:rsidRPr="00B06351">
              <w:t>.</w:t>
            </w:r>
          </w:p>
        </w:tc>
      </w:tr>
      <w:tr w:rsidR="00D21EFB" w:rsidRPr="00B06351" w14:paraId="45DB7E09" w14:textId="77777777" w:rsidTr="008B6E48">
        <w:trPr>
          <w:cantSplit/>
        </w:trPr>
        <w:tc>
          <w:tcPr>
            <w:tcW w:w="1508" w:type="pct"/>
            <w:shd w:val="clear" w:color="auto" w:fill="auto"/>
          </w:tcPr>
          <w:p w14:paraId="1FDFAB36" w14:textId="77777777" w:rsidR="00D21EFB" w:rsidRPr="00B06351" w:rsidRDefault="00D21EFB" w:rsidP="008B6E48">
            <w:pPr>
              <w:pStyle w:val="Glossarynoindent"/>
              <w:rPr>
                <w:rStyle w:val="Strong"/>
              </w:rPr>
            </w:pPr>
            <w:r w:rsidRPr="00B06351">
              <w:rPr>
                <w:rStyle w:val="Strong"/>
              </w:rPr>
              <w:t>questions procedure</w:t>
            </w:r>
          </w:p>
        </w:tc>
        <w:tc>
          <w:tcPr>
            <w:tcW w:w="3492" w:type="pct"/>
            <w:shd w:val="clear" w:color="auto" w:fill="auto"/>
          </w:tcPr>
          <w:p w14:paraId="62B7F268" w14:textId="77777777" w:rsidR="00D21EFB" w:rsidRPr="00B06351" w:rsidRDefault="00D21EFB" w:rsidP="008B6E48">
            <w:pPr>
              <w:pStyle w:val="Glossarynoindent"/>
            </w:pPr>
            <w:r w:rsidRPr="00B06351">
              <w:t>A procedure whereby written pre-action questions are issued to the defendant, i.e. the person or organisation against whom a discrimination claim may be made. The questions are usually put onto a standard written form which is often called a ‘questionnaire’. This procedure was abolished on 6 April 2014 though will continue to apply to claims of discrimination which took place before that date (see section in the Guidance on ‘questions procedure’ for details).</w:t>
            </w:r>
          </w:p>
        </w:tc>
      </w:tr>
      <w:tr w:rsidR="00D21EFB" w:rsidRPr="00B06351" w14:paraId="26677641" w14:textId="77777777" w:rsidTr="008B6E48">
        <w:trPr>
          <w:cantSplit/>
        </w:trPr>
        <w:tc>
          <w:tcPr>
            <w:tcW w:w="1508" w:type="pct"/>
            <w:shd w:val="clear" w:color="auto" w:fill="auto"/>
          </w:tcPr>
          <w:p w14:paraId="107EFB96" w14:textId="77777777" w:rsidR="00D21EFB" w:rsidRPr="00B06351" w:rsidRDefault="00D21EFB" w:rsidP="008B6E48">
            <w:pPr>
              <w:pStyle w:val="Glossarynoindent"/>
              <w:rPr>
                <w:rStyle w:val="Strong"/>
              </w:rPr>
            </w:pPr>
            <w:r w:rsidRPr="00B06351">
              <w:rPr>
                <w:rStyle w:val="Strong"/>
              </w:rPr>
              <w:t>race</w:t>
            </w:r>
          </w:p>
        </w:tc>
        <w:tc>
          <w:tcPr>
            <w:tcW w:w="3492" w:type="pct"/>
            <w:shd w:val="clear" w:color="auto" w:fill="auto"/>
          </w:tcPr>
          <w:p w14:paraId="72865493" w14:textId="77777777" w:rsidR="00D21EFB" w:rsidRPr="00B06351" w:rsidRDefault="00D21EFB" w:rsidP="008B6E48">
            <w:pPr>
              <w:pStyle w:val="Glossarynoindent"/>
            </w:pPr>
            <w:r w:rsidRPr="00B06351">
              <w:t>Refers to the protected characteristic of race. It refers to a group of people defined by their race, colour, nationality (including citizenship), ethnic or national origins.</w:t>
            </w:r>
          </w:p>
        </w:tc>
      </w:tr>
      <w:tr w:rsidR="00D21EFB" w:rsidRPr="00B06351" w14:paraId="009C97A0" w14:textId="77777777" w:rsidTr="008B6E48">
        <w:trPr>
          <w:cantSplit/>
        </w:trPr>
        <w:tc>
          <w:tcPr>
            <w:tcW w:w="1508" w:type="pct"/>
            <w:shd w:val="clear" w:color="auto" w:fill="auto"/>
          </w:tcPr>
          <w:p w14:paraId="6A304FFC" w14:textId="77777777" w:rsidR="00D21EFB" w:rsidRPr="00B06351" w:rsidRDefault="00D21EFB" w:rsidP="008B6E48">
            <w:pPr>
              <w:pStyle w:val="Glossarynoindent"/>
              <w:rPr>
                <w:rStyle w:val="Strong"/>
              </w:rPr>
            </w:pPr>
            <w:r w:rsidRPr="00B06351">
              <w:rPr>
                <w:rStyle w:val="Strong"/>
              </w:rPr>
              <w:t>reasonable adjustment</w:t>
            </w:r>
          </w:p>
        </w:tc>
        <w:tc>
          <w:tcPr>
            <w:tcW w:w="3492" w:type="pct"/>
            <w:shd w:val="clear" w:color="auto" w:fill="auto"/>
          </w:tcPr>
          <w:p w14:paraId="5A797579" w14:textId="77777777" w:rsidR="00D21EFB" w:rsidRPr="00B06351" w:rsidRDefault="00D21EFB" w:rsidP="008B6E48">
            <w:pPr>
              <w:pStyle w:val="Glossarynoindent"/>
            </w:pPr>
            <w:r w:rsidRPr="00B06351">
              <w:rPr>
                <w:rStyle w:val="Emphasis"/>
              </w:rPr>
              <w:t>See</w:t>
            </w:r>
            <w:r w:rsidRPr="00B06351">
              <w:t xml:space="preserve"> the </w:t>
            </w:r>
            <w:r w:rsidRPr="00B06351">
              <w:rPr>
                <w:rStyle w:val="Strong"/>
              </w:rPr>
              <w:t>duty to make reasonable adjustments</w:t>
            </w:r>
            <w:r w:rsidRPr="00B06351">
              <w:t>.</w:t>
            </w:r>
          </w:p>
        </w:tc>
      </w:tr>
      <w:tr w:rsidR="00D21EFB" w:rsidRPr="00B06351" w14:paraId="23973FAE" w14:textId="77777777" w:rsidTr="008B6E48">
        <w:trPr>
          <w:cantSplit/>
        </w:trPr>
        <w:tc>
          <w:tcPr>
            <w:tcW w:w="1508" w:type="pct"/>
            <w:shd w:val="clear" w:color="auto" w:fill="auto"/>
          </w:tcPr>
          <w:p w14:paraId="1271817C" w14:textId="77777777" w:rsidR="00D21EFB" w:rsidRPr="00B06351" w:rsidRDefault="00D21EFB" w:rsidP="008B6E48">
            <w:pPr>
              <w:pStyle w:val="Glossarynoindent"/>
              <w:rPr>
                <w:rStyle w:val="Strong"/>
              </w:rPr>
            </w:pPr>
            <w:r w:rsidRPr="00B06351">
              <w:rPr>
                <w:rStyle w:val="Strong"/>
              </w:rPr>
              <w:t>reasonable steps</w:t>
            </w:r>
          </w:p>
        </w:tc>
        <w:tc>
          <w:tcPr>
            <w:tcW w:w="3492" w:type="pct"/>
            <w:shd w:val="clear" w:color="auto" w:fill="auto"/>
          </w:tcPr>
          <w:p w14:paraId="278139E8" w14:textId="77777777" w:rsidR="00D21EFB" w:rsidRPr="00B06351" w:rsidRDefault="00D21EFB" w:rsidP="008B6E48">
            <w:pPr>
              <w:pStyle w:val="Glossarynoindent"/>
            </w:pPr>
            <w:r w:rsidRPr="00B06351">
              <w:rPr>
                <w:rStyle w:val="Emphasis"/>
              </w:rPr>
              <w:t>See</w:t>
            </w:r>
            <w:r w:rsidRPr="00B06351">
              <w:t xml:space="preserve"> the </w:t>
            </w:r>
            <w:r w:rsidRPr="00B06351">
              <w:rPr>
                <w:rStyle w:val="Strong"/>
              </w:rPr>
              <w:t>duty to make reasonable adjustments</w:t>
            </w:r>
            <w:r w:rsidRPr="00B06351">
              <w:t>.</w:t>
            </w:r>
          </w:p>
        </w:tc>
      </w:tr>
      <w:tr w:rsidR="00D21EFB" w:rsidRPr="00B06351" w14:paraId="1FC3C6A1" w14:textId="77777777" w:rsidTr="008B6E48">
        <w:trPr>
          <w:cantSplit/>
        </w:trPr>
        <w:tc>
          <w:tcPr>
            <w:tcW w:w="1508" w:type="pct"/>
            <w:shd w:val="clear" w:color="auto" w:fill="auto"/>
          </w:tcPr>
          <w:p w14:paraId="7C72AF7E" w14:textId="77777777" w:rsidR="00D21EFB" w:rsidRPr="00B06351" w:rsidRDefault="00D21EFB" w:rsidP="008B6E48">
            <w:pPr>
              <w:pStyle w:val="Glossarynoindent"/>
              <w:rPr>
                <w:rStyle w:val="Strong"/>
              </w:rPr>
            </w:pPr>
            <w:r w:rsidRPr="00B06351">
              <w:rPr>
                <w:rStyle w:val="Strong"/>
              </w:rPr>
              <w:t>religion or belief</w:t>
            </w:r>
          </w:p>
        </w:tc>
        <w:tc>
          <w:tcPr>
            <w:tcW w:w="3492" w:type="pct"/>
            <w:shd w:val="clear" w:color="auto" w:fill="auto"/>
          </w:tcPr>
          <w:p w14:paraId="56C35C96" w14:textId="77777777" w:rsidR="00D21EFB" w:rsidRPr="00B06351" w:rsidRDefault="00D21EFB" w:rsidP="008B6E48">
            <w:pPr>
              <w:pStyle w:val="Glossarynoindent"/>
            </w:pPr>
            <w:r w:rsidRPr="00B06351">
              <w:t>Religion has the meaning usually given to it but belief includes religious and philosophical beliefs including lack of belief (e.g. atheism). Generally, a belief should affect your life choices or the way you live for it to be included in the definition.</w:t>
            </w:r>
          </w:p>
        </w:tc>
      </w:tr>
      <w:tr w:rsidR="00D21EFB" w:rsidRPr="00B06351" w14:paraId="7A5BB64A" w14:textId="77777777" w:rsidTr="008B6E48">
        <w:trPr>
          <w:cantSplit/>
        </w:trPr>
        <w:tc>
          <w:tcPr>
            <w:tcW w:w="1508" w:type="pct"/>
            <w:shd w:val="clear" w:color="auto" w:fill="auto"/>
          </w:tcPr>
          <w:p w14:paraId="34A7C3B0" w14:textId="77777777" w:rsidR="00D21EFB" w:rsidRPr="00B06351" w:rsidRDefault="00D21EFB" w:rsidP="008B6E48">
            <w:pPr>
              <w:pStyle w:val="Glossarynoindent"/>
              <w:rPr>
                <w:rStyle w:val="Strong"/>
              </w:rPr>
            </w:pPr>
            <w:r w:rsidRPr="00B06351">
              <w:rPr>
                <w:rStyle w:val="Strong"/>
              </w:rPr>
              <w:t>religion or belief organisations</w:t>
            </w:r>
          </w:p>
        </w:tc>
        <w:tc>
          <w:tcPr>
            <w:tcW w:w="3492" w:type="pct"/>
            <w:shd w:val="clear" w:color="auto" w:fill="auto"/>
          </w:tcPr>
          <w:p w14:paraId="230B0F6E" w14:textId="77777777" w:rsidR="00D21EFB" w:rsidRPr="00B06351" w:rsidRDefault="00D21EFB" w:rsidP="008B6E48">
            <w:pPr>
              <w:pStyle w:val="Glossarynoindent"/>
            </w:pPr>
            <w:r w:rsidRPr="00B06351">
              <w:t xml:space="preserve">An organisation founded on an ethos based on a religion or belief. Faith schools are one example of a religion or belief organisation. </w:t>
            </w:r>
            <w:r w:rsidRPr="00B06351">
              <w:rPr>
                <w:rStyle w:val="Emphasis"/>
              </w:rPr>
              <w:t>See also</w:t>
            </w:r>
            <w:r w:rsidRPr="00B06351">
              <w:t xml:space="preserve"> </w:t>
            </w:r>
            <w:r w:rsidRPr="00B06351">
              <w:rPr>
                <w:rStyle w:val="Strong"/>
              </w:rPr>
              <w:t>religion or belief</w:t>
            </w:r>
            <w:r w:rsidRPr="00B06351">
              <w:t>.</w:t>
            </w:r>
          </w:p>
        </w:tc>
      </w:tr>
      <w:tr w:rsidR="00D21EFB" w:rsidRPr="00B06351" w14:paraId="5D30CD64" w14:textId="77777777" w:rsidTr="008B6E48">
        <w:trPr>
          <w:cantSplit/>
        </w:trPr>
        <w:tc>
          <w:tcPr>
            <w:tcW w:w="1508" w:type="pct"/>
            <w:shd w:val="clear" w:color="auto" w:fill="auto"/>
          </w:tcPr>
          <w:p w14:paraId="2B6D3217" w14:textId="77777777" w:rsidR="00D21EFB" w:rsidRPr="00B06351" w:rsidRDefault="00D21EFB" w:rsidP="008B6E48">
            <w:pPr>
              <w:pStyle w:val="Glossarynoindent"/>
              <w:rPr>
                <w:rStyle w:val="Strong"/>
              </w:rPr>
            </w:pPr>
            <w:r w:rsidRPr="00B06351">
              <w:rPr>
                <w:rStyle w:val="Strong"/>
              </w:rPr>
              <w:t>religious organisation</w:t>
            </w:r>
          </w:p>
        </w:tc>
        <w:tc>
          <w:tcPr>
            <w:tcW w:w="3492" w:type="pct"/>
            <w:shd w:val="clear" w:color="auto" w:fill="auto"/>
          </w:tcPr>
          <w:p w14:paraId="172763EA" w14:textId="77777777" w:rsidR="00D21EFB" w:rsidRPr="00B06351" w:rsidRDefault="00D21EFB" w:rsidP="008B6E48">
            <w:pPr>
              <w:pStyle w:val="Glossarynoindent"/>
            </w:pPr>
            <w:r w:rsidRPr="00B06351">
              <w:rPr>
                <w:rStyle w:val="Emphasis"/>
              </w:rPr>
              <w:t>See</w:t>
            </w:r>
            <w:r w:rsidRPr="00B06351">
              <w:t xml:space="preserve"> </w:t>
            </w:r>
            <w:r w:rsidRPr="00B06351">
              <w:rPr>
                <w:rStyle w:val="Strong"/>
              </w:rPr>
              <w:t>religion or belief organisations</w:t>
            </w:r>
            <w:r w:rsidRPr="00B06351">
              <w:t>.</w:t>
            </w:r>
          </w:p>
        </w:tc>
      </w:tr>
      <w:tr w:rsidR="00D21EFB" w:rsidRPr="00B06351" w14:paraId="260CA57C" w14:textId="77777777" w:rsidTr="008B6E48">
        <w:trPr>
          <w:cantSplit/>
        </w:trPr>
        <w:tc>
          <w:tcPr>
            <w:tcW w:w="1508" w:type="pct"/>
            <w:shd w:val="clear" w:color="auto" w:fill="auto"/>
          </w:tcPr>
          <w:p w14:paraId="344456D0" w14:textId="77777777" w:rsidR="00D21EFB" w:rsidRPr="00B06351" w:rsidRDefault="00D21EFB" w:rsidP="008B6E48">
            <w:pPr>
              <w:pStyle w:val="Glossarynoindent"/>
              <w:rPr>
                <w:rStyle w:val="Strong"/>
              </w:rPr>
            </w:pPr>
            <w:r w:rsidRPr="00B06351">
              <w:rPr>
                <w:rStyle w:val="Strong"/>
              </w:rPr>
              <w:t>separate services</w:t>
            </w:r>
          </w:p>
        </w:tc>
        <w:tc>
          <w:tcPr>
            <w:tcW w:w="3492" w:type="pct"/>
            <w:shd w:val="clear" w:color="auto" w:fill="auto"/>
          </w:tcPr>
          <w:p w14:paraId="3CC3291A" w14:textId="77777777" w:rsidR="00D21EFB" w:rsidRPr="00B06351" w:rsidRDefault="00D21EFB" w:rsidP="008B6E48">
            <w:pPr>
              <w:pStyle w:val="Glossarynoindent"/>
            </w:pPr>
            <w:r w:rsidRPr="00B06351">
              <w:t>Services only provided for one sex.</w:t>
            </w:r>
          </w:p>
        </w:tc>
      </w:tr>
      <w:tr w:rsidR="00D21EFB" w:rsidRPr="00B06351" w14:paraId="7DB57C44" w14:textId="77777777" w:rsidTr="008B6E48">
        <w:trPr>
          <w:cantSplit/>
        </w:trPr>
        <w:tc>
          <w:tcPr>
            <w:tcW w:w="1508" w:type="pct"/>
            <w:shd w:val="clear" w:color="auto" w:fill="auto"/>
          </w:tcPr>
          <w:p w14:paraId="4E35541F" w14:textId="77777777" w:rsidR="00D21EFB" w:rsidRPr="00B06351" w:rsidRDefault="00D21EFB" w:rsidP="008B6E48">
            <w:pPr>
              <w:pStyle w:val="Glossarynoindent"/>
              <w:rPr>
                <w:rStyle w:val="Strong"/>
              </w:rPr>
            </w:pPr>
            <w:r w:rsidRPr="00B06351">
              <w:rPr>
                <w:rStyle w:val="Strong"/>
              </w:rPr>
              <w:t>service complaint</w:t>
            </w:r>
          </w:p>
        </w:tc>
        <w:tc>
          <w:tcPr>
            <w:tcW w:w="3492" w:type="pct"/>
            <w:shd w:val="clear" w:color="auto" w:fill="auto"/>
          </w:tcPr>
          <w:p w14:paraId="6EE90D70" w14:textId="77777777" w:rsidR="00D21EFB" w:rsidRPr="00B06351" w:rsidRDefault="00D21EFB" w:rsidP="008B6E48">
            <w:pPr>
              <w:pStyle w:val="Glossarynoindent"/>
            </w:pPr>
            <w:r w:rsidRPr="00B06351">
              <w:t>In the context of provision of services, this is a complaint about service delivery.</w:t>
            </w:r>
          </w:p>
        </w:tc>
      </w:tr>
      <w:tr w:rsidR="00D21EFB" w:rsidRPr="00B06351" w14:paraId="5FC645B7" w14:textId="77777777" w:rsidTr="008B6E48">
        <w:trPr>
          <w:cantSplit/>
        </w:trPr>
        <w:tc>
          <w:tcPr>
            <w:tcW w:w="1508" w:type="pct"/>
            <w:shd w:val="clear" w:color="auto" w:fill="auto"/>
          </w:tcPr>
          <w:p w14:paraId="366D4333" w14:textId="77777777" w:rsidR="00D21EFB" w:rsidRPr="00B06351" w:rsidRDefault="00D21EFB" w:rsidP="008B6E48">
            <w:pPr>
              <w:pStyle w:val="Glossarynoindent"/>
              <w:rPr>
                <w:rStyle w:val="Strong"/>
              </w:rPr>
            </w:pPr>
            <w:r w:rsidRPr="00B06351">
              <w:rPr>
                <w:rStyle w:val="Strong"/>
              </w:rPr>
              <w:t>service provider</w:t>
            </w:r>
          </w:p>
        </w:tc>
        <w:tc>
          <w:tcPr>
            <w:tcW w:w="3492" w:type="pct"/>
            <w:shd w:val="clear" w:color="auto" w:fill="auto"/>
          </w:tcPr>
          <w:p w14:paraId="18B7D72B" w14:textId="77777777" w:rsidR="00D21EFB" w:rsidRPr="00B06351" w:rsidRDefault="00D21EFB" w:rsidP="008B6E48">
            <w:pPr>
              <w:pStyle w:val="Glossarynoindent"/>
            </w:pPr>
            <w:r w:rsidRPr="00B06351">
              <w:t xml:space="preserve">Someone (including an organisation) who provides services, goods or facilities to the general public or a section of it. </w:t>
            </w:r>
            <w:r w:rsidRPr="00B06351">
              <w:rPr>
                <w:rStyle w:val="Emphasis"/>
              </w:rPr>
              <w:t>See also</w:t>
            </w:r>
            <w:r w:rsidRPr="00B06351">
              <w:t xml:space="preserve"> </w:t>
            </w:r>
            <w:r w:rsidRPr="00B06351">
              <w:rPr>
                <w:rStyle w:val="Strong"/>
              </w:rPr>
              <w:t>goods, facilities and services</w:t>
            </w:r>
            <w:r w:rsidRPr="00B06351">
              <w:t>.</w:t>
            </w:r>
          </w:p>
        </w:tc>
      </w:tr>
      <w:tr w:rsidR="00D21EFB" w:rsidRPr="00B06351" w14:paraId="0F16834D" w14:textId="77777777" w:rsidTr="008B6E48">
        <w:trPr>
          <w:cantSplit/>
        </w:trPr>
        <w:tc>
          <w:tcPr>
            <w:tcW w:w="1508" w:type="pct"/>
            <w:shd w:val="clear" w:color="auto" w:fill="auto"/>
          </w:tcPr>
          <w:p w14:paraId="546D670E" w14:textId="77777777" w:rsidR="00D21EFB" w:rsidRPr="00B06351" w:rsidRDefault="00D21EFB" w:rsidP="008B6E48">
            <w:pPr>
              <w:pStyle w:val="Glossarynoindent"/>
              <w:rPr>
                <w:rStyle w:val="Strong"/>
              </w:rPr>
            </w:pPr>
            <w:r w:rsidRPr="00B06351">
              <w:rPr>
                <w:rStyle w:val="Strong"/>
              </w:rPr>
              <w:t>service users</w:t>
            </w:r>
          </w:p>
        </w:tc>
        <w:tc>
          <w:tcPr>
            <w:tcW w:w="3492" w:type="pct"/>
            <w:shd w:val="clear" w:color="auto" w:fill="auto"/>
          </w:tcPr>
          <w:p w14:paraId="04175B4E" w14:textId="77777777" w:rsidR="00D21EFB" w:rsidRPr="00B06351" w:rsidRDefault="00D21EFB" w:rsidP="008B6E48">
            <w:pPr>
              <w:pStyle w:val="Glossarynoindent"/>
            </w:pPr>
            <w:r w:rsidRPr="00B06351">
              <w:t xml:space="preserve">Those accessing or using a particular service. </w:t>
            </w:r>
            <w:r w:rsidRPr="00B06351">
              <w:rPr>
                <w:rStyle w:val="Emphasis"/>
              </w:rPr>
              <w:t>See also</w:t>
            </w:r>
            <w:r w:rsidRPr="00B06351">
              <w:t xml:space="preserve"> </w:t>
            </w:r>
            <w:r w:rsidRPr="00B06351">
              <w:rPr>
                <w:rStyle w:val="Strong"/>
              </w:rPr>
              <w:t>goods, facilities and services</w:t>
            </w:r>
            <w:r w:rsidRPr="00B06351">
              <w:t>.</w:t>
            </w:r>
          </w:p>
        </w:tc>
      </w:tr>
      <w:tr w:rsidR="00D21EFB" w:rsidRPr="00B06351" w14:paraId="6254E658" w14:textId="77777777" w:rsidTr="008B6E48">
        <w:trPr>
          <w:cantSplit/>
        </w:trPr>
        <w:tc>
          <w:tcPr>
            <w:tcW w:w="1508" w:type="pct"/>
            <w:shd w:val="clear" w:color="auto" w:fill="auto"/>
          </w:tcPr>
          <w:p w14:paraId="6DB7CAC8" w14:textId="77777777" w:rsidR="00D21EFB" w:rsidRPr="00B06351" w:rsidRDefault="00D21EFB" w:rsidP="008B6E48">
            <w:pPr>
              <w:pStyle w:val="Glossarynoindent"/>
              <w:rPr>
                <w:rStyle w:val="Strong"/>
              </w:rPr>
            </w:pPr>
            <w:r w:rsidRPr="00B06351">
              <w:rPr>
                <w:rStyle w:val="Strong"/>
              </w:rPr>
              <w:t>services, goods or facilities</w:t>
            </w:r>
          </w:p>
        </w:tc>
        <w:tc>
          <w:tcPr>
            <w:tcW w:w="3492" w:type="pct"/>
            <w:shd w:val="clear" w:color="auto" w:fill="auto"/>
          </w:tcPr>
          <w:p w14:paraId="3EEB4222" w14:textId="77777777" w:rsidR="00D21EFB" w:rsidRPr="00B06351" w:rsidRDefault="00D21EFB" w:rsidP="008B6E48">
            <w:pPr>
              <w:pStyle w:val="Glossarynoindent"/>
            </w:pPr>
            <w:r w:rsidRPr="00B06351">
              <w:rPr>
                <w:rStyle w:val="Emphasis"/>
              </w:rPr>
              <w:t>See</w:t>
            </w:r>
            <w:r w:rsidRPr="00B06351">
              <w:t xml:space="preserve"> </w:t>
            </w:r>
            <w:r w:rsidRPr="00B06351">
              <w:rPr>
                <w:rStyle w:val="Strong"/>
              </w:rPr>
              <w:t>goods, facilities and services</w:t>
            </w:r>
            <w:r w:rsidRPr="00B06351">
              <w:t>.</w:t>
            </w:r>
          </w:p>
        </w:tc>
      </w:tr>
      <w:tr w:rsidR="00D21EFB" w:rsidRPr="00B06351" w14:paraId="117EB0D2" w14:textId="77777777" w:rsidTr="008B6E48">
        <w:trPr>
          <w:cantSplit/>
        </w:trPr>
        <w:tc>
          <w:tcPr>
            <w:tcW w:w="1508" w:type="pct"/>
            <w:shd w:val="clear" w:color="auto" w:fill="auto"/>
          </w:tcPr>
          <w:p w14:paraId="6E15AF8F" w14:textId="77777777" w:rsidR="00D21EFB" w:rsidRPr="00B06351" w:rsidRDefault="00D21EFB" w:rsidP="008B6E48">
            <w:pPr>
              <w:pStyle w:val="Glossarynoindent"/>
              <w:rPr>
                <w:rStyle w:val="Strong"/>
              </w:rPr>
            </w:pPr>
            <w:r w:rsidRPr="00B06351">
              <w:rPr>
                <w:rStyle w:val="Strong"/>
              </w:rPr>
              <w:t>sex</w:t>
            </w:r>
          </w:p>
        </w:tc>
        <w:tc>
          <w:tcPr>
            <w:tcW w:w="3492" w:type="pct"/>
            <w:shd w:val="clear" w:color="auto" w:fill="auto"/>
          </w:tcPr>
          <w:p w14:paraId="50FCE8E0" w14:textId="77777777" w:rsidR="00D21EFB" w:rsidRPr="00B06351" w:rsidRDefault="00D21EFB" w:rsidP="008B6E48">
            <w:pPr>
              <w:pStyle w:val="Glossarynoindent"/>
            </w:pPr>
            <w:r w:rsidRPr="00B06351">
              <w:t>This is a protected characteristic. It refers to whether a person is a man or a woman (of any age).</w:t>
            </w:r>
          </w:p>
        </w:tc>
      </w:tr>
      <w:tr w:rsidR="00D21EFB" w:rsidRPr="00B06351" w14:paraId="0A74AD30" w14:textId="77777777" w:rsidTr="008B6E48">
        <w:trPr>
          <w:cantSplit/>
        </w:trPr>
        <w:tc>
          <w:tcPr>
            <w:tcW w:w="1508" w:type="pct"/>
            <w:shd w:val="clear" w:color="auto" w:fill="auto"/>
          </w:tcPr>
          <w:p w14:paraId="44521ACA" w14:textId="77777777" w:rsidR="00D21EFB" w:rsidRPr="00B06351" w:rsidRDefault="00D21EFB" w:rsidP="008B6E48">
            <w:pPr>
              <w:pStyle w:val="Glossarynoindent"/>
              <w:rPr>
                <w:rStyle w:val="Strong"/>
              </w:rPr>
            </w:pPr>
            <w:r w:rsidRPr="00B06351">
              <w:rPr>
                <w:rStyle w:val="Strong"/>
              </w:rPr>
              <w:t>sexual harassment</w:t>
            </w:r>
          </w:p>
        </w:tc>
        <w:tc>
          <w:tcPr>
            <w:tcW w:w="3492" w:type="pct"/>
            <w:shd w:val="clear" w:color="auto" w:fill="auto"/>
          </w:tcPr>
          <w:p w14:paraId="1CDAA18F" w14:textId="77777777" w:rsidR="00D21EFB" w:rsidRPr="00B06351" w:rsidRDefault="00D21EFB" w:rsidP="008B6E48">
            <w:pPr>
              <w:pStyle w:val="Glossarynoindent"/>
            </w:pPr>
            <w:r w:rsidRPr="00B06351">
              <w:t>Any conduct of a sexual nature that is unwanted by the recipient, including verbal, non-verbal and physical behaviours, and which violates the victim's dignity or creates an intimidating, hostile, degrading or offensive environment for them.</w:t>
            </w:r>
          </w:p>
        </w:tc>
      </w:tr>
      <w:tr w:rsidR="00D21EFB" w:rsidRPr="00B06351" w14:paraId="5FCA33AC" w14:textId="77777777" w:rsidTr="008B6E48">
        <w:trPr>
          <w:cantSplit/>
        </w:trPr>
        <w:tc>
          <w:tcPr>
            <w:tcW w:w="1508" w:type="pct"/>
            <w:shd w:val="clear" w:color="auto" w:fill="auto"/>
          </w:tcPr>
          <w:p w14:paraId="3924D3CB" w14:textId="77777777" w:rsidR="00D21EFB" w:rsidRPr="00B06351" w:rsidRDefault="00D21EFB" w:rsidP="008B6E48">
            <w:pPr>
              <w:pStyle w:val="Glossarynoindent"/>
              <w:rPr>
                <w:rStyle w:val="Strong"/>
              </w:rPr>
            </w:pPr>
            <w:r w:rsidRPr="00B06351">
              <w:rPr>
                <w:rStyle w:val="Strong"/>
              </w:rPr>
              <w:t>sexual orientation</w:t>
            </w:r>
          </w:p>
        </w:tc>
        <w:tc>
          <w:tcPr>
            <w:tcW w:w="3492" w:type="pct"/>
            <w:shd w:val="clear" w:color="auto" w:fill="auto"/>
          </w:tcPr>
          <w:p w14:paraId="54DDE5EA" w14:textId="77777777" w:rsidR="00D21EFB" w:rsidRPr="00B06351" w:rsidRDefault="00D21EFB" w:rsidP="008B6E48">
            <w:pPr>
              <w:pStyle w:val="Glossarynoindent"/>
            </w:pPr>
            <w:r w:rsidRPr="00B06351">
              <w:t>Whether a person's sexual attraction is towards their own sex, the opposite sex or to both sexes.</w:t>
            </w:r>
          </w:p>
        </w:tc>
      </w:tr>
      <w:tr w:rsidR="00D21EFB" w:rsidRPr="00B06351" w14:paraId="5387EF64" w14:textId="77777777" w:rsidTr="008B6E48">
        <w:trPr>
          <w:cantSplit/>
        </w:trPr>
        <w:tc>
          <w:tcPr>
            <w:tcW w:w="1508" w:type="pct"/>
            <w:shd w:val="clear" w:color="auto" w:fill="auto"/>
          </w:tcPr>
          <w:p w14:paraId="6B2D3C60" w14:textId="77777777" w:rsidR="00D21EFB" w:rsidRPr="00B06351" w:rsidRDefault="00D21EFB" w:rsidP="008B6E48">
            <w:pPr>
              <w:pStyle w:val="Glossarynoindent"/>
              <w:rPr>
                <w:rStyle w:val="Strong"/>
              </w:rPr>
            </w:pPr>
            <w:r w:rsidRPr="00B06351">
              <w:rPr>
                <w:rStyle w:val="Strong"/>
              </w:rPr>
              <w:t>single-sex facilities</w:t>
            </w:r>
          </w:p>
        </w:tc>
        <w:tc>
          <w:tcPr>
            <w:tcW w:w="3492" w:type="pct"/>
            <w:shd w:val="clear" w:color="auto" w:fill="auto"/>
          </w:tcPr>
          <w:p w14:paraId="4172287C" w14:textId="77777777" w:rsidR="00D21EFB" w:rsidRPr="00B06351" w:rsidRDefault="00D21EFB" w:rsidP="008B6E48">
            <w:pPr>
              <w:pStyle w:val="Glossarynoindent"/>
            </w:pPr>
            <w:r w:rsidRPr="00B06351">
              <w:t>Facilities which are only available to men or to women, the provision of which may be lawful under the Equality Act in certain specified circumstances.</w:t>
            </w:r>
          </w:p>
        </w:tc>
      </w:tr>
      <w:tr w:rsidR="00D21EFB" w:rsidRPr="00B06351" w14:paraId="080011C3" w14:textId="77777777" w:rsidTr="008B6E48">
        <w:trPr>
          <w:cantSplit/>
        </w:trPr>
        <w:tc>
          <w:tcPr>
            <w:tcW w:w="1508" w:type="pct"/>
            <w:shd w:val="clear" w:color="auto" w:fill="auto"/>
          </w:tcPr>
          <w:p w14:paraId="20F7C112" w14:textId="77777777" w:rsidR="00D21EFB" w:rsidRPr="00B06351" w:rsidRDefault="00D21EFB" w:rsidP="008B6E48">
            <w:pPr>
              <w:pStyle w:val="Glossarynoindent"/>
              <w:rPr>
                <w:rStyle w:val="Strong"/>
              </w:rPr>
            </w:pPr>
            <w:r w:rsidRPr="00B06351">
              <w:rPr>
                <w:rStyle w:val="Strong"/>
              </w:rPr>
              <w:t>single-sex services</w:t>
            </w:r>
          </w:p>
        </w:tc>
        <w:tc>
          <w:tcPr>
            <w:tcW w:w="3492" w:type="pct"/>
            <w:shd w:val="clear" w:color="auto" w:fill="auto"/>
          </w:tcPr>
          <w:p w14:paraId="5BB69F09" w14:textId="77777777" w:rsidR="00D21EFB" w:rsidRPr="00B06351" w:rsidRDefault="00D21EFB" w:rsidP="008B6E48">
            <w:pPr>
              <w:pStyle w:val="Glossarynoindent"/>
            </w:pPr>
            <w:r w:rsidRPr="00B06351">
              <w:t>A service provided only to men or women. It is not always discriminatory to provide single-sex services, for example provision of single-sex changing facilities in a leisure centre.</w:t>
            </w:r>
          </w:p>
        </w:tc>
      </w:tr>
      <w:tr w:rsidR="00D21EFB" w:rsidRPr="00B06351" w14:paraId="608684F7" w14:textId="77777777" w:rsidTr="008B6E48">
        <w:trPr>
          <w:cantSplit/>
        </w:trPr>
        <w:tc>
          <w:tcPr>
            <w:tcW w:w="1508" w:type="pct"/>
            <w:shd w:val="clear" w:color="auto" w:fill="auto"/>
          </w:tcPr>
          <w:p w14:paraId="05B61220" w14:textId="77777777" w:rsidR="00D21EFB" w:rsidRPr="00B06351" w:rsidRDefault="00D21EFB" w:rsidP="008B6E48">
            <w:pPr>
              <w:pStyle w:val="Glossarynoindent"/>
              <w:rPr>
                <w:rStyle w:val="Strong"/>
              </w:rPr>
            </w:pPr>
            <w:r w:rsidRPr="00B06351">
              <w:rPr>
                <w:rStyle w:val="Strong"/>
              </w:rPr>
              <w:t>small premises</w:t>
            </w:r>
          </w:p>
        </w:tc>
        <w:tc>
          <w:tcPr>
            <w:tcW w:w="3492" w:type="pct"/>
            <w:shd w:val="clear" w:color="auto" w:fill="auto"/>
          </w:tcPr>
          <w:p w14:paraId="34E21684" w14:textId="77777777" w:rsidR="00D21EFB" w:rsidRPr="00B06351" w:rsidRDefault="00D21EFB" w:rsidP="008B6E48">
            <w:pPr>
              <w:pStyle w:val="Glossarynoindent"/>
            </w:pPr>
            <w:r w:rsidRPr="00B06351">
              <w:t>Premises are small if they are not normally sufficient to accommodate more than two other households (and no more than six people in addition to the owner-occupier and/or their relatives and/or close relations).</w:t>
            </w:r>
          </w:p>
        </w:tc>
      </w:tr>
      <w:tr w:rsidR="00D21EFB" w:rsidRPr="00B06351" w14:paraId="013DC9FB" w14:textId="77777777" w:rsidTr="008B6E48">
        <w:trPr>
          <w:cantSplit/>
        </w:trPr>
        <w:tc>
          <w:tcPr>
            <w:tcW w:w="1508" w:type="pct"/>
            <w:shd w:val="clear" w:color="auto" w:fill="auto"/>
          </w:tcPr>
          <w:p w14:paraId="23A7EEB8" w14:textId="77777777" w:rsidR="00D21EFB" w:rsidRPr="00B06351" w:rsidRDefault="00D21EFB" w:rsidP="008B6E48">
            <w:pPr>
              <w:pStyle w:val="Glossarynoindent"/>
              <w:rPr>
                <w:rStyle w:val="Strong"/>
              </w:rPr>
            </w:pPr>
            <w:r w:rsidRPr="00B06351">
              <w:rPr>
                <w:rStyle w:val="Strong"/>
              </w:rPr>
              <w:t>Specific equality duties</w:t>
            </w:r>
          </w:p>
        </w:tc>
        <w:tc>
          <w:tcPr>
            <w:tcW w:w="3492" w:type="pct"/>
            <w:shd w:val="clear" w:color="auto" w:fill="auto"/>
          </w:tcPr>
          <w:p w14:paraId="7C7DCD66" w14:textId="77777777" w:rsidR="00D21EFB" w:rsidRPr="00B06351" w:rsidRDefault="00D21EFB" w:rsidP="008B6E48">
            <w:pPr>
              <w:pStyle w:val="Glossarynoindent"/>
            </w:pPr>
            <w:r w:rsidRPr="00B06351">
              <w:t>These are duties imposed on certain public authorities. They are designed to ensure the better performance by a public authority of the public sector equality duty (</w:t>
            </w:r>
            <w:r w:rsidRPr="00B06351">
              <w:rPr>
                <w:rStyle w:val="Emphasis"/>
              </w:rPr>
              <w:t>see also</w:t>
            </w:r>
            <w:r w:rsidRPr="00B06351">
              <w:t xml:space="preserve"> </w:t>
            </w:r>
            <w:r w:rsidRPr="00B06351">
              <w:rPr>
                <w:rStyle w:val="Strong"/>
              </w:rPr>
              <w:t>public sector equality duty</w:t>
            </w:r>
            <w:r w:rsidRPr="00B06351">
              <w:t>). The specific duties are different in Scotland, England and Wales.</w:t>
            </w:r>
          </w:p>
        </w:tc>
      </w:tr>
      <w:tr w:rsidR="00D21EFB" w:rsidRPr="00B06351" w14:paraId="00CCBB06" w14:textId="77777777" w:rsidTr="008B6E48">
        <w:trPr>
          <w:cantSplit/>
        </w:trPr>
        <w:tc>
          <w:tcPr>
            <w:tcW w:w="1508" w:type="pct"/>
            <w:shd w:val="clear" w:color="auto" w:fill="auto"/>
          </w:tcPr>
          <w:p w14:paraId="3A7A427A" w14:textId="77777777" w:rsidR="00D21EFB" w:rsidRPr="00B06351" w:rsidRDefault="00D21EFB" w:rsidP="008B6E48">
            <w:pPr>
              <w:pStyle w:val="Glossarynoindent"/>
              <w:rPr>
                <w:rStyle w:val="Strong"/>
              </w:rPr>
            </w:pPr>
            <w:r w:rsidRPr="00B06351">
              <w:rPr>
                <w:rStyle w:val="Strong"/>
              </w:rPr>
              <w:t>stakeholders</w:t>
            </w:r>
          </w:p>
        </w:tc>
        <w:tc>
          <w:tcPr>
            <w:tcW w:w="3492" w:type="pct"/>
            <w:shd w:val="clear" w:color="auto" w:fill="auto"/>
          </w:tcPr>
          <w:p w14:paraId="7F55272C" w14:textId="77777777" w:rsidR="00D21EFB" w:rsidRPr="00B06351" w:rsidRDefault="00D21EFB" w:rsidP="008B6E48">
            <w:pPr>
              <w:pStyle w:val="Glossarynoindent"/>
            </w:pPr>
            <w:r w:rsidRPr="00B06351">
              <w:t>People with an interest in a subject or issue who are likely to be affected by any decision relating to it and/or have responsibilities relating to it.</w:t>
            </w:r>
          </w:p>
        </w:tc>
      </w:tr>
      <w:tr w:rsidR="00D21EFB" w:rsidRPr="00B06351" w14:paraId="684944AE" w14:textId="77777777" w:rsidTr="008B6E48">
        <w:trPr>
          <w:cantSplit/>
        </w:trPr>
        <w:tc>
          <w:tcPr>
            <w:tcW w:w="1508" w:type="pct"/>
            <w:shd w:val="clear" w:color="auto" w:fill="auto"/>
          </w:tcPr>
          <w:p w14:paraId="492F885B" w14:textId="77777777" w:rsidR="00D21EFB" w:rsidRPr="00B06351" w:rsidRDefault="00D21EFB" w:rsidP="008B6E48">
            <w:pPr>
              <w:pStyle w:val="Glossarynoindent"/>
              <w:rPr>
                <w:rStyle w:val="Strong"/>
              </w:rPr>
            </w:pPr>
            <w:r w:rsidRPr="00B06351">
              <w:rPr>
                <w:rStyle w:val="Strong"/>
              </w:rPr>
              <w:t>substantial</w:t>
            </w:r>
          </w:p>
        </w:tc>
        <w:tc>
          <w:tcPr>
            <w:tcW w:w="3492" w:type="pct"/>
            <w:shd w:val="clear" w:color="auto" w:fill="auto"/>
          </w:tcPr>
          <w:p w14:paraId="3F8EE739" w14:textId="77777777" w:rsidR="00D21EFB" w:rsidRPr="00B06351" w:rsidRDefault="00D21EFB" w:rsidP="008B6E48">
            <w:pPr>
              <w:pStyle w:val="Glossarynoindent"/>
            </w:pPr>
            <w:r w:rsidRPr="00B06351">
              <w:t>This word tends to come up most in connection with the definition of disability and the duty to make reasonable adjustments for disabled workers. The Equality Act says only that ‘substantial’ means more than minor or trivial.</w:t>
            </w:r>
          </w:p>
        </w:tc>
      </w:tr>
      <w:tr w:rsidR="00D21EFB" w:rsidRPr="00B06351" w14:paraId="67EBBBEE" w14:textId="77777777" w:rsidTr="008B6E48">
        <w:trPr>
          <w:cantSplit/>
        </w:trPr>
        <w:tc>
          <w:tcPr>
            <w:tcW w:w="1508" w:type="pct"/>
            <w:shd w:val="clear" w:color="auto" w:fill="auto"/>
          </w:tcPr>
          <w:p w14:paraId="5DDCB248" w14:textId="77777777" w:rsidR="00D21EFB" w:rsidRPr="00B06351" w:rsidRDefault="00D21EFB" w:rsidP="008B6E48">
            <w:pPr>
              <w:pStyle w:val="Glossarynoindent"/>
              <w:rPr>
                <w:rStyle w:val="Strong"/>
              </w:rPr>
            </w:pPr>
            <w:r w:rsidRPr="00B06351">
              <w:rPr>
                <w:rStyle w:val="Strong"/>
              </w:rPr>
              <w:t>terms of employment</w:t>
            </w:r>
          </w:p>
        </w:tc>
        <w:tc>
          <w:tcPr>
            <w:tcW w:w="3492" w:type="pct"/>
            <w:shd w:val="clear" w:color="auto" w:fill="auto"/>
          </w:tcPr>
          <w:p w14:paraId="76B063A6" w14:textId="77777777" w:rsidR="00D21EFB" w:rsidRPr="00B06351" w:rsidRDefault="00D21EFB" w:rsidP="008B6E48">
            <w:pPr>
              <w:pStyle w:val="Glossarynoindent"/>
            </w:pPr>
            <w:r w:rsidRPr="00B06351">
              <w:t>The provisions of a person’s contract of employment, whether provided for expressly in the contract itself or incorporated by statute, custom and practice or common law etc.</w:t>
            </w:r>
          </w:p>
        </w:tc>
      </w:tr>
      <w:tr w:rsidR="00D21EFB" w:rsidRPr="00B06351" w14:paraId="06DF206A" w14:textId="77777777" w:rsidTr="008B6E48">
        <w:trPr>
          <w:cantSplit/>
        </w:trPr>
        <w:tc>
          <w:tcPr>
            <w:tcW w:w="1508" w:type="pct"/>
            <w:shd w:val="clear" w:color="auto" w:fill="auto"/>
          </w:tcPr>
          <w:p w14:paraId="59959790" w14:textId="77777777" w:rsidR="00D21EFB" w:rsidRPr="00B06351" w:rsidRDefault="00D21EFB" w:rsidP="008B6E48">
            <w:pPr>
              <w:pStyle w:val="Glossarynoindent"/>
              <w:rPr>
                <w:rStyle w:val="Strong"/>
              </w:rPr>
            </w:pPr>
            <w:r w:rsidRPr="00B06351">
              <w:rPr>
                <w:rStyle w:val="Strong"/>
              </w:rPr>
              <w:t>textphone</w:t>
            </w:r>
          </w:p>
        </w:tc>
        <w:tc>
          <w:tcPr>
            <w:tcW w:w="3492" w:type="pct"/>
            <w:shd w:val="clear" w:color="auto" w:fill="auto"/>
          </w:tcPr>
          <w:p w14:paraId="5AE4640D" w14:textId="77777777" w:rsidR="00D21EFB" w:rsidRPr="00B06351" w:rsidRDefault="00D21EFB" w:rsidP="008B6E48">
            <w:pPr>
              <w:pStyle w:val="Glossarynoindent"/>
            </w:pPr>
            <w:r w:rsidRPr="00B06351">
              <w:t>A type of telephone for Deaf or hard of hearing people which is attached to a keyboard and a screen on which the messages sent and received are displayed.</w:t>
            </w:r>
          </w:p>
        </w:tc>
      </w:tr>
      <w:tr w:rsidR="00D21EFB" w:rsidRPr="00B06351" w14:paraId="5A10BE01" w14:textId="77777777" w:rsidTr="008B6E48">
        <w:trPr>
          <w:cantSplit/>
        </w:trPr>
        <w:tc>
          <w:tcPr>
            <w:tcW w:w="1508" w:type="pct"/>
            <w:shd w:val="clear" w:color="auto" w:fill="auto"/>
          </w:tcPr>
          <w:p w14:paraId="38EB463E" w14:textId="77777777" w:rsidR="00D21EFB" w:rsidRPr="00B06351" w:rsidRDefault="00D21EFB" w:rsidP="008B6E48">
            <w:pPr>
              <w:pStyle w:val="Glossarynoindent"/>
              <w:rPr>
                <w:rStyle w:val="Strong"/>
              </w:rPr>
            </w:pPr>
            <w:r w:rsidRPr="00B06351">
              <w:rPr>
                <w:rStyle w:val="Strong"/>
              </w:rPr>
              <w:t>transsexual person</w:t>
            </w:r>
          </w:p>
        </w:tc>
        <w:tc>
          <w:tcPr>
            <w:tcW w:w="3492" w:type="pct"/>
            <w:shd w:val="clear" w:color="auto" w:fill="auto"/>
          </w:tcPr>
          <w:p w14:paraId="34F29A28" w14:textId="77777777" w:rsidR="00D21EFB" w:rsidRPr="00B06351" w:rsidRDefault="00D21EFB" w:rsidP="008B6E48">
            <w:pPr>
              <w:pStyle w:val="Glossarynoindent"/>
            </w:pPr>
            <w:r w:rsidRPr="00B06351">
              <w:t xml:space="preserve">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 person. Once a transsexual person has acquired a </w:t>
            </w:r>
            <w:r w:rsidRPr="00B06351">
              <w:rPr>
                <w:rStyle w:val="Strong"/>
              </w:rPr>
              <w:t>gender recognition certificate</w:t>
            </w:r>
            <w:r w:rsidRPr="00B06351">
              <w:t>, it is probably the case that they should be treated entirely as in their acquired gender.</w:t>
            </w:r>
          </w:p>
        </w:tc>
      </w:tr>
      <w:tr w:rsidR="00D21EFB" w:rsidRPr="00B06351" w14:paraId="56B8B600" w14:textId="77777777" w:rsidTr="008B6E48">
        <w:trPr>
          <w:cantSplit/>
        </w:trPr>
        <w:tc>
          <w:tcPr>
            <w:tcW w:w="1508" w:type="pct"/>
            <w:shd w:val="clear" w:color="auto" w:fill="auto"/>
          </w:tcPr>
          <w:p w14:paraId="4F562586" w14:textId="77777777" w:rsidR="00D21EFB" w:rsidRPr="00B06351" w:rsidRDefault="00D21EFB" w:rsidP="008B6E48">
            <w:pPr>
              <w:pStyle w:val="Glossarynoindent"/>
              <w:rPr>
                <w:rStyle w:val="Strong"/>
              </w:rPr>
            </w:pPr>
            <w:r w:rsidRPr="00B06351">
              <w:rPr>
                <w:rStyle w:val="Strong"/>
              </w:rPr>
              <w:t>UK Text Relay Service</w:t>
            </w:r>
          </w:p>
        </w:tc>
        <w:tc>
          <w:tcPr>
            <w:tcW w:w="3492" w:type="pct"/>
            <w:shd w:val="clear" w:color="auto" w:fill="auto"/>
          </w:tcPr>
          <w:p w14:paraId="36EA5481" w14:textId="77777777" w:rsidR="00D21EFB" w:rsidRPr="00B06351" w:rsidRDefault="00D21EFB" w:rsidP="008B6E48">
            <w:pPr>
              <w:pStyle w:val="Glossarynoindent"/>
            </w:pPr>
            <w:r w:rsidRPr="00B06351">
              <w:t>Text Relay is a national telephone relay service for Deaf, deafened, hard of hearing, deafblind and speech-impaired people. It lets them use a textphone to access any services that are available on standard telephone systems.</w:t>
            </w:r>
          </w:p>
        </w:tc>
      </w:tr>
      <w:tr w:rsidR="00D21EFB" w:rsidRPr="00B06351" w14:paraId="1EDF220A" w14:textId="77777777" w:rsidTr="008B6E48">
        <w:trPr>
          <w:cantSplit/>
        </w:trPr>
        <w:tc>
          <w:tcPr>
            <w:tcW w:w="1508" w:type="pct"/>
            <w:shd w:val="clear" w:color="auto" w:fill="auto"/>
          </w:tcPr>
          <w:p w14:paraId="072AEF60" w14:textId="77777777" w:rsidR="00D21EFB" w:rsidRPr="00B06351" w:rsidRDefault="00D21EFB" w:rsidP="008B6E48">
            <w:pPr>
              <w:pStyle w:val="Glossarynoindent"/>
              <w:rPr>
                <w:rStyle w:val="Strong"/>
              </w:rPr>
            </w:pPr>
            <w:r w:rsidRPr="00B06351">
              <w:rPr>
                <w:rStyle w:val="Strong"/>
              </w:rPr>
              <w:t>unfavourably</w:t>
            </w:r>
          </w:p>
        </w:tc>
        <w:tc>
          <w:tcPr>
            <w:tcW w:w="3492" w:type="pct"/>
            <w:shd w:val="clear" w:color="auto" w:fill="auto"/>
          </w:tcPr>
          <w:p w14:paraId="152DF365" w14:textId="77777777" w:rsidR="00D21EFB" w:rsidRPr="00B06351" w:rsidRDefault="00D21EFB" w:rsidP="008B6E48">
            <w:pPr>
              <w:pStyle w:val="Glossarynoindent"/>
            </w:pPr>
            <w:r w:rsidRPr="00B06351">
              <w:t xml:space="preserve">The term is used (instead of less favourable) where a comparator is not required to show that someone has been subjected to a detriment or disadvantage because of a protected characteristic – for example in relation to </w:t>
            </w:r>
            <w:r w:rsidRPr="00B06351">
              <w:rPr>
                <w:rStyle w:val="Strong"/>
              </w:rPr>
              <w:t>pregnancy and maternity</w:t>
            </w:r>
            <w:r w:rsidRPr="00B06351">
              <w:t xml:space="preserve"> discrimination, or </w:t>
            </w:r>
            <w:r w:rsidRPr="00B06351">
              <w:rPr>
                <w:rStyle w:val="Strong"/>
              </w:rPr>
              <w:t>discrimination arising from disability</w:t>
            </w:r>
            <w:r w:rsidRPr="00B06351">
              <w:t>.</w:t>
            </w:r>
          </w:p>
        </w:tc>
      </w:tr>
      <w:tr w:rsidR="00D21EFB" w:rsidRPr="00B06351" w14:paraId="2423C2C6" w14:textId="77777777" w:rsidTr="008B6E48">
        <w:trPr>
          <w:cantSplit/>
        </w:trPr>
        <w:tc>
          <w:tcPr>
            <w:tcW w:w="1508" w:type="pct"/>
            <w:shd w:val="clear" w:color="auto" w:fill="auto"/>
          </w:tcPr>
          <w:p w14:paraId="7129A3E2" w14:textId="77777777" w:rsidR="00D21EFB" w:rsidRPr="00B06351" w:rsidRDefault="00D21EFB" w:rsidP="008B6E48">
            <w:pPr>
              <w:pStyle w:val="Glossarynoindent"/>
              <w:rPr>
                <w:rStyle w:val="Strong"/>
              </w:rPr>
            </w:pPr>
            <w:r w:rsidRPr="00B06351">
              <w:rPr>
                <w:rStyle w:val="Strong"/>
              </w:rPr>
              <w:t>victimisation</w:t>
            </w:r>
          </w:p>
        </w:tc>
        <w:tc>
          <w:tcPr>
            <w:tcW w:w="3492" w:type="pct"/>
            <w:shd w:val="clear" w:color="auto" w:fill="auto"/>
          </w:tcPr>
          <w:p w14:paraId="65811587" w14:textId="77777777" w:rsidR="00D21EFB" w:rsidRPr="00B06351" w:rsidRDefault="00D21EFB" w:rsidP="008B6E48">
            <w:pPr>
              <w:pStyle w:val="Glossarynoindent"/>
            </w:pPr>
            <w:r w:rsidRPr="00B06351">
              <w:t>Subjecting a person to a detriment because they have done a protected act or there is a belief that they have done a protected act i.e. bringing proceedings under the Equality Act; giving evidence or information in connection with proceedings under the Act; doing any other thing for the purposes or in connection with the Act; making an allegation that a person has contravened the Act; or making a relevant pay disclosure.</w:t>
            </w:r>
          </w:p>
        </w:tc>
      </w:tr>
      <w:tr w:rsidR="00D21EFB" w:rsidRPr="00B06351" w14:paraId="29843BE4" w14:textId="77777777" w:rsidTr="008B6E48">
        <w:trPr>
          <w:cantSplit/>
        </w:trPr>
        <w:tc>
          <w:tcPr>
            <w:tcW w:w="1508" w:type="pct"/>
            <w:shd w:val="clear" w:color="auto" w:fill="auto"/>
          </w:tcPr>
          <w:p w14:paraId="0AF3DA88" w14:textId="77777777" w:rsidR="00D21EFB" w:rsidRPr="00B06351" w:rsidRDefault="00D21EFB" w:rsidP="008B6E48">
            <w:pPr>
              <w:pStyle w:val="Glossarynoindent"/>
              <w:rPr>
                <w:rStyle w:val="Strong"/>
              </w:rPr>
            </w:pPr>
            <w:r w:rsidRPr="00B06351">
              <w:rPr>
                <w:rStyle w:val="Strong"/>
              </w:rPr>
              <w:t>victimise</w:t>
            </w:r>
          </w:p>
        </w:tc>
        <w:tc>
          <w:tcPr>
            <w:tcW w:w="3492" w:type="pct"/>
            <w:shd w:val="clear" w:color="auto" w:fill="auto"/>
          </w:tcPr>
          <w:p w14:paraId="48135A83" w14:textId="77777777" w:rsidR="00D21EFB" w:rsidRPr="00B06351" w:rsidRDefault="00D21EFB" w:rsidP="008B6E48">
            <w:pPr>
              <w:pStyle w:val="Glossarynoindent"/>
            </w:pPr>
            <w:r w:rsidRPr="00B06351">
              <w:t>The act of victimisation.</w:t>
            </w:r>
          </w:p>
        </w:tc>
      </w:tr>
      <w:tr w:rsidR="00D21EFB" w:rsidRPr="00B06351" w14:paraId="7F7285E1" w14:textId="77777777" w:rsidTr="008B6E48">
        <w:trPr>
          <w:cantSplit/>
        </w:trPr>
        <w:tc>
          <w:tcPr>
            <w:tcW w:w="1508" w:type="pct"/>
            <w:shd w:val="clear" w:color="auto" w:fill="auto"/>
          </w:tcPr>
          <w:p w14:paraId="50FA6DAC" w14:textId="77777777" w:rsidR="00D21EFB" w:rsidRPr="00B06351" w:rsidRDefault="00D21EFB" w:rsidP="008B6E48">
            <w:pPr>
              <w:pStyle w:val="Glossarynoindent"/>
              <w:rPr>
                <w:rStyle w:val="Strong"/>
              </w:rPr>
            </w:pPr>
            <w:r w:rsidRPr="00B06351">
              <w:rPr>
                <w:rStyle w:val="Strong"/>
              </w:rPr>
              <w:t>worker</w:t>
            </w:r>
          </w:p>
        </w:tc>
        <w:tc>
          <w:tcPr>
            <w:tcW w:w="3492" w:type="pct"/>
            <w:shd w:val="clear" w:color="auto" w:fill="auto"/>
          </w:tcPr>
          <w:p w14:paraId="324E4324" w14:textId="77777777" w:rsidR="00D21EFB" w:rsidRPr="00B06351" w:rsidRDefault="00D21EFB" w:rsidP="008B6E48">
            <w:pPr>
              <w:pStyle w:val="Glossarynoindent"/>
            </w:pPr>
            <w:r w:rsidRPr="00B06351">
              <w:t>In this guide, ‘worker’ is used to refer to any person working for an employer, whether they are employed on a contract of employment (ie an ‘</w:t>
            </w:r>
            <w:r w:rsidRPr="00B06351">
              <w:rPr>
                <w:rStyle w:val="Strong"/>
              </w:rPr>
              <w:t>employee’</w:t>
            </w:r>
            <w:r w:rsidRPr="00B06351">
              <w:t xml:space="preserve">) or on a contract personally to do work, or more generally as a </w:t>
            </w:r>
            <w:r w:rsidRPr="00B06351">
              <w:rPr>
                <w:rStyle w:val="Strong"/>
              </w:rPr>
              <w:t>contract worker</w:t>
            </w:r>
            <w:r w:rsidRPr="00B06351">
              <w:t>.</w:t>
            </w:r>
          </w:p>
        </w:tc>
      </w:tr>
    </w:tbl>
    <w:p w14:paraId="678705B7" w14:textId="77777777" w:rsidR="00D21EFB" w:rsidRPr="00B06351" w:rsidRDefault="00D21EFB" w:rsidP="00D21EFB"/>
    <w:p w14:paraId="1C8EF911" w14:textId="77777777" w:rsidR="001968E2" w:rsidRDefault="001968E2" w:rsidP="001968E2"/>
    <w:p w14:paraId="33F5C703" w14:textId="77777777" w:rsidR="001968E2" w:rsidRDefault="001968E2" w:rsidP="001968E2"/>
    <w:p w14:paraId="76E07CA7" w14:textId="77777777" w:rsidR="001968E2" w:rsidRDefault="001968E2" w:rsidP="001968E2"/>
    <w:p w14:paraId="1D1B0636" w14:textId="77777777" w:rsidR="001968E2" w:rsidRPr="001968E2" w:rsidRDefault="001968E2" w:rsidP="001968E2">
      <w:pPr>
        <w:sectPr w:rsidR="001968E2" w:rsidRPr="001968E2" w:rsidSect="00D21EFB">
          <w:pgSz w:w="11906" w:h="16838" w:code="9"/>
          <w:pgMar w:top="1418" w:right="1418" w:bottom="1418" w:left="1418" w:header="624" w:footer="624" w:gutter="0"/>
          <w:cols w:space="720"/>
          <w:noEndnote/>
        </w:sectPr>
      </w:pPr>
    </w:p>
    <w:p w14:paraId="5521D62E" w14:textId="45BF0205" w:rsidR="00127ADE" w:rsidRPr="00FC387D" w:rsidRDefault="00127ADE" w:rsidP="00D21EFB">
      <w:pPr>
        <w:pStyle w:val="L1Headers"/>
        <w:numPr>
          <w:ilvl w:val="0"/>
          <w:numId w:val="0"/>
        </w:numPr>
        <w:tabs>
          <w:tab w:val="center" w:pos="4535"/>
        </w:tabs>
      </w:pPr>
      <w:bookmarkStart w:id="253" w:name="_Toc297300546"/>
      <w:r w:rsidRPr="00FC387D">
        <w:t>Contacts</w:t>
      </w:r>
      <w:bookmarkEnd w:id="253"/>
    </w:p>
    <w:p w14:paraId="0E2279DB" w14:textId="131E8665" w:rsidR="00127ADE" w:rsidRPr="00921E87" w:rsidRDefault="00127ADE" w:rsidP="00921E87">
      <w:pPr>
        <w:rPr>
          <w:rStyle w:val="Hyperlink"/>
        </w:rPr>
      </w:pPr>
      <w:r w:rsidRPr="00921E87">
        <w:t xml:space="preserve">This publication and related equality and human rights resources are available from the Commission’s website: </w:t>
      </w:r>
      <w:hyperlink r:id="rId88" w:history="1">
        <w:r w:rsidR="00921E87" w:rsidRPr="001E65D5">
          <w:rPr>
            <w:rStyle w:val="Hyperlink"/>
            <w:rFonts w:cs="Times New Roman"/>
            <w:szCs w:val="22"/>
          </w:rPr>
          <w:t>www.equalityhumanrights.com</w:t>
        </w:r>
      </w:hyperlink>
      <w:r w:rsidR="00921E87">
        <w:t xml:space="preserve"> </w:t>
      </w:r>
    </w:p>
    <w:p w14:paraId="5BA9838D" w14:textId="77777777" w:rsidR="00127ADE" w:rsidRPr="00921E87" w:rsidRDefault="00127ADE" w:rsidP="00921E87">
      <w:r w:rsidRPr="00921E87">
        <w:t>For advice, information or guidance on equality, discrimination or human rights issues, please contact the Equality Advisory and Support Service, a free and independent service.</w:t>
      </w:r>
    </w:p>
    <w:p w14:paraId="11288C85" w14:textId="4BD14982" w:rsidR="00127ADE" w:rsidRPr="00921E87" w:rsidRDefault="00127ADE" w:rsidP="00921E87">
      <w:r w:rsidRPr="00921E87">
        <w:t xml:space="preserve">Website </w:t>
      </w:r>
      <w:r w:rsidRPr="00921E87">
        <w:tab/>
      </w:r>
      <w:hyperlink r:id="rId89" w:history="1">
        <w:r w:rsidR="00921E87" w:rsidRPr="001E65D5">
          <w:rPr>
            <w:rStyle w:val="Hyperlink"/>
            <w:rFonts w:cs="Times New Roman"/>
            <w:szCs w:val="22"/>
          </w:rPr>
          <w:t>www.equalityadvisoryservice.com</w:t>
        </w:r>
      </w:hyperlink>
      <w:r w:rsidR="00921E87">
        <w:t xml:space="preserve"> </w:t>
      </w:r>
    </w:p>
    <w:p w14:paraId="5BA38B0E" w14:textId="77777777" w:rsidR="00127ADE" w:rsidRPr="00921E87" w:rsidRDefault="00127ADE" w:rsidP="00921E87">
      <w:r w:rsidRPr="00921E87">
        <w:t xml:space="preserve">Telephone </w:t>
      </w:r>
      <w:r w:rsidRPr="00921E87">
        <w:tab/>
        <w:t>0808 800 0082</w:t>
      </w:r>
    </w:p>
    <w:p w14:paraId="2C1A6F87" w14:textId="77777777" w:rsidR="00127ADE" w:rsidRPr="00921E87" w:rsidRDefault="00127ADE" w:rsidP="00921E87">
      <w:r w:rsidRPr="00921E87">
        <w:t xml:space="preserve">Textphone </w:t>
      </w:r>
      <w:r w:rsidRPr="00921E87">
        <w:tab/>
        <w:t>0808 800 0084</w:t>
      </w:r>
    </w:p>
    <w:p w14:paraId="0D3566E9" w14:textId="77777777" w:rsidR="00127ADE" w:rsidRPr="00921E87" w:rsidRDefault="00127ADE" w:rsidP="00921E87">
      <w:r w:rsidRPr="00921E87">
        <w:t xml:space="preserve">Hours </w:t>
      </w:r>
      <w:r w:rsidRPr="00921E87">
        <w:tab/>
      </w:r>
      <w:r w:rsidRPr="00921E87">
        <w:tab/>
        <w:t>09:00 to 20:00 (Monday to Friday)</w:t>
      </w:r>
    </w:p>
    <w:p w14:paraId="54B9BC74" w14:textId="77777777" w:rsidR="00127ADE" w:rsidRPr="00921E87" w:rsidRDefault="00127ADE" w:rsidP="00921E87">
      <w:r w:rsidRPr="00921E87">
        <w:tab/>
      </w:r>
      <w:r w:rsidRPr="00921E87">
        <w:tab/>
        <w:t>10:00 to 14:00 (Saturday)</w:t>
      </w:r>
    </w:p>
    <w:p w14:paraId="747F96BD" w14:textId="77777777" w:rsidR="00127ADE" w:rsidRPr="00921E87" w:rsidRDefault="00127ADE" w:rsidP="00921E87">
      <w:r w:rsidRPr="00921E87">
        <w:t xml:space="preserve">Post </w:t>
      </w:r>
      <w:r w:rsidRPr="00921E87">
        <w:tab/>
      </w:r>
      <w:r w:rsidRPr="00921E87">
        <w:tab/>
        <w:t>FREEPOST Equality Advisory Support Service FPN4431</w:t>
      </w:r>
    </w:p>
    <w:p w14:paraId="5DC6C060" w14:textId="66BD4A5D" w:rsidR="00127ADE" w:rsidRPr="00921E87" w:rsidRDefault="00127ADE" w:rsidP="00921E87">
      <w:r w:rsidRPr="00921E87">
        <w:t xml:space="preserve">Questions and comments regarding this publication may be addressed to: </w:t>
      </w:r>
      <w:hyperlink r:id="rId90" w:history="1">
        <w:r w:rsidR="00921E87" w:rsidRPr="001E65D5">
          <w:rPr>
            <w:rStyle w:val="Hyperlink"/>
            <w:rFonts w:cs="Times New Roman"/>
            <w:szCs w:val="22"/>
          </w:rPr>
          <w:t>correspondence@equalityhumanrights.com</w:t>
        </w:r>
      </w:hyperlink>
      <w:r w:rsidRPr="00921E87">
        <w:t>.</w:t>
      </w:r>
      <w:r w:rsidR="00921E87">
        <w:t xml:space="preserve"> </w:t>
      </w:r>
      <w:r w:rsidRPr="00921E87">
        <w:t>The Commission welcomes your feedback</w:t>
      </w:r>
      <w:r w:rsidR="00921E87">
        <w:t>.</w:t>
      </w:r>
    </w:p>
    <w:p w14:paraId="2CCF1C7C" w14:textId="77777777" w:rsidR="00127ADE" w:rsidRPr="002455AE" w:rsidRDefault="00127ADE" w:rsidP="00921E87">
      <w:pPr>
        <w:pStyle w:val="L4Headers"/>
      </w:pPr>
      <w:r w:rsidRPr="002455AE">
        <w:t>Alternative</w:t>
      </w:r>
      <w:r>
        <w:t xml:space="preserve"> </w:t>
      </w:r>
      <w:r w:rsidRPr="002455AE">
        <w:t>formats</w:t>
      </w:r>
    </w:p>
    <w:p w14:paraId="20849352" w14:textId="36E418F6" w:rsidR="00127ADE" w:rsidRPr="00921E87" w:rsidRDefault="00127ADE" w:rsidP="00921E87">
      <w:r w:rsidRPr="00921E87">
        <w:t xml:space="preserve">This guide is available as a PDF file and as a Microsoft Word file from </w:t>
      </w:r>
      <w:hyperlink r:id="rId91" w:history="1">
        <w:r w:rsidRPr="00921E87">
          <w:rPr>
            <w:rStyle w:val="Hyperlink"/>
            <w:szCs w:val="24"/>
          </w:rPr>
          <w:t>www.equalityhumanrights.com</w:t>
        </w:r>
      </w:hyperlink>
      <w:r w:rsidRPr="00921E87">
        <w:t xml:space="preserve">. For information on accessing a Commission publication in an alternative format, please contact: </w:t>
      </w:r>
      <w:hyperlink r:id="rId92" w:history="1">
        <w:r w:rsidRPr="0032468F">
          <w:rPr>
            <w:rStyle w:val="Hyperlink"/>
          </w:rPr>
          <w:t>correspondence@equalityhumanrights.com</w:t>
        </w:r>
      </w:hyperlink>
      <w:r w:rsidR="00921E87">
        <w:rPr>
          <w:rStyle w:val="FollowedHyperlink"/>
        </w:rPr>
        <w:t>.</w:t>
      </w:r>
      <w:r w:rsidR="00921E87">
        <w:t xml:space="preserve"> </w:t>
      </w:r>
    </w:p>
    <w:p w14:paraId="23D0E306" w14:textId="77777777" w:rsidR="00921E87" w:rsidRDefault="00921E87" w:rsidP="00921E87"/>
    <w:p w14:paraId="1FA21EAB" w14:textId="77777777" w:rsidR="00921E87" w:rsidRPr="00921E87" w:rsidRDefault="00921E87" w:rsidP="00921E87"/>
    <w:p w14:paraId="19147534" w14:textId="77777777" w:rsidR="00127ADE" w:rsidRPr="00921E87" w:rsidRDefault="00127ADE" w:rsidP="00921E87">
      <w:r w:rsidRPr="00921E87">
        <w:t>© 2014 Equality and Human Rights Commission</w:t>
      </w:r>
    </w:p>
    <w:p w14:paraId="40E0F926" w14:textId="08C8D647" w:rsidR="00127ADE" w:rsidRPr="00921E87" w:rsidRDefault="00127ADE" w:rsidP="00921E87">
      <w:r w:rsidRPr="00921E87">
        <w:t xml:space="preserve">First published January 2011. Last updated </w:t>
      </w:r>
      <w:r w:rsidR="006D6BC5">
        <w:t>June 2015.</w:t>
      </w:r>
    </w:p>
    <w:p w14:paraId="7F531EC0" w14:textId="679E6F0E" w:rsidR="00DA5ECD" w:rsidRPr="00921E87" w:rsidRDefault="00127ADE" w:rsidP="00921E87">
      <w:r w:rsidRPr="00921E87">
        <w:t>ISBN</w:t>
      </w:r>
      <w:r w:rsidR="004A770B" w:rsidRPr="00921E87">
        <w:t xml:space="preserve"> 978-1-84206-624-9</w:t>
      </w:r>
    </w:p>
    <w:sectPr w:rsidR="00DA5ECD" w:rsidRPr="00921E87" w:rsidSect="00B2631D">
      <w:headerReference w:type="default" r:id="rId93"/>
      <w:footerReference w:type="default" r:id="rId94"/>
      <w:pgSz w:w="11906" w:h="16838" w:code="9"/>
      <w:pgMar w:top="1418" w:right="1418" w:bottom="1418" w:left="1418" w:header="624"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0D343" w14:textId="77777777" w:rsidR="00A3256A" w:rsidRDefault="00A3256A">
      <w:r>
        <w:separator/>
      </w:r>
    </w:p>
  </w:endnote>
  <w:endnote w:type="continuationSeparator" w:id="0">
    <w:p w14:paraId="77B40CF9" w14:textId="77777777" w:rsidR="00A3256A" w:rsidRDefault="00A3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8A38" w14:textId="77777777" w:rsidR="00F028F1" w:rsidRDefault="00F028F1" w:rsidP="008B6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6A094" w14:textId="77777777" w:rsidR="00F028F1" w:rsidRDefault="00F028F1" w:rsidP="00B26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4046" w14:textId="77777777" w:rsidR="00F028F1" w:rsidRPr="0079547E" w:rsidRDefault="00F028F1" w:rsidP="00B2631D">
    <w:pPr>
      <w:ind w:right="-2"/>
      <w:jc w:val="right"/>
    </w:pPr>
    <w:r w:rsidRPr="007F0340">
      <w:rPr>
        <w:noProof/>
        <w:lang w:eastAsia="en-GB"/>
      </w:rPr>
      <w:drawing>
        <wp:anchor distT="0" distB="0" distL="114300" distR="114300" simplePos="0" relativeHeight="251661312" behindDoc="0" locked="0" layoutInCell="1" allowOverlap="1" wp14:anchorId="7DBCC177" wp14:editId="4D56E013">
          <wp:simplePos x="0" y="0"/>
          <wp:positionH relativeFrom="column">
            <wp:posOffset>-47625</wp:posOffset>
          </wp:positionH>
          <wp:positionV relativeFrom="paragraph">
            <wp:posOffset>15240</wp:posOffset>
          </wp:positionV>
          <wp:extent cx="1846580" cy="449580"/>
          <wp:effectExtent l="0" t="0" r="1270" b="7620"/>
          <wp:wrapNone/>
          <wp:docPr id="1" name="Picture 1"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47E">
      <w:t>Equality and Human Rights Commission</w:t>
    </w:r>
  </w:p>
  <w:p w14:paraId="4059CAAD" w14:textId="0047C1E0" w:rsidR="00F028F1" w:rsidRDefault="00255B48" w:rsidP="00B2631D">
    <w:pPr>
      <w:pStyle w:val="Footer"/>
      <w:jc w:val="right"/>
    </w:pPr>
    <w:hyperlink r:id="rId2" w:history="1">
      <w:r w:rsidR="00F028F1" w:rsidRPr="007F0340">
        <w:rPr>
          <w:rStyle w:val="Hyperlink"/>
        </w:rPr>
        <w:t>www.equalityhumanrights.com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22A2" w14:textId="08168FFE" w:rsidR="00F028F1" w:rsidRDefault="00F028F1" w:rsidP="00D21EFB">
    <w:pPr>
      <w:pStyle w:val="Footer"/>
      <w:tabs>
        <w:tab w:val="right" w:pos="9639"/>
      </w:tabs>
      <w:rPr>
        <w:szCs w:val="18"/>
      </w:rPr>
    </w:pPr>
    <w:r w:rsidRPr="00AD283F">
      <w:rPr>
        <w:szCs w:val="18"/>
      </w:rPr>
      <w:t xml:space="preserve">Equality and Human Rights Commission – </w:t>
    </w:r>
    <w:hyperlink r:id="rId1" w:history="1">
      <w:r w:rsidRPr="00AD283F">
        <w:rPr>
          <w:rStyle w:val="Hyperlink"/>
          <w:szCs w:val="18"/>
        </w:rPr>
        <w:t>www.equalityhumanrights.com</w:t>
      </w:r>
    </w:hyperlink>
    <w:r w:rsidRPr="00AD283F">
      <w:rPr>
        <w:szCs w:val="18"/>
      </w:rPr>
      <w:t xml:space="preserve"> </w:t>
    </w:r>
    <w:r w:rsidRPr="00AD283F">
      <w:rPr>
        <w:szCs w:val="18"/>
      </w:rPr>
      <w:tab/>
    </w:r>
    <w:r w:rsidRPr="00AD283F">
      <w:rPr>
        <w:szCs w:val="18"/>
      </w:rPr>
      <w:fldChar w:fldCharType="begin"/>
    </w:r>
    <w:r w:rsidRPr="00AD283F">
      <w:rPr>
        <w:szCs w:val="18"/>
      </w:rPr>
      <w:instrText xml:space="preserve"> PAGE   \* MERGEFORMAT </w:instrText>
    </w:r>
    <w:r w:rsidRPr="00AD283F">
      <w:rPr>
        <w:szCs w:val="18"/>
      </w:rPr>
      <w:fldChar w:fldCharType="separate"/>
    </w:r>
    <w:r w:rsidR="00255B48">
      <w:rPr>
        <w:noProof/>
        <w:szCs w:val="18"/>
      </w:rPr>
      <w:t>2</w:t>
    </w:r>
    <w:r w:rsidRPr="00AD283F">
      <w:rPr>
        <w:szCs w:val="18"/>
      </w:rPr>
      <w:fldChar w:fldCharType="end"/>
    </w:r>
  </w:p>
  <w:p w14:paraId="5BEBABBE" w14:textId="00666077" w:rsidR="00F028F1" w:rsidRPr="00D21EFB" w:rsidRDefault="00F028F1" w:rsidP="00D21EFB">
    <w:pPr>
      <w:pStyle w:val="Footer"/>
      <w:rPr>
        <w:szCs w:val="18"/>
      </w:rPr>
    </w:pPr>
    <w:r w:rsidRPr="00AD283F">
      <w:rPr>
        <w:szCs w:val="18"/>
      </w:rPr>
      <w:t>Updated June 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6BE0" w14:textId="77777777" w:rsidR="00F028F1" w:rsidRPr="0079547E" w:rsidRDefault="00F028F1" w:rsidP="00B2631D">
    <w:pPr>
      <w:ind w:right="-2"/>
      <w:jc w:val="right"/>
    </w:pPr>
    <w:r w:rsidRPr="007F0340">
      <w:rPr>
        <w:noProof/>
        <w:lang w:eastAsia="en-GB"/>
      </w:rPr>
      <w:drawing>
        <wp:anchor distT="0" distB="0" distL="114300" distR="114300" simplePos="0" relativeHeight="251659264" behindDoc="0" locked="0" layoutInCell="1" allowOverlap="1" wp14:anchorId="7686032E" wp14:editId="0E3500F0">
          <wp:simplePos x="0" y="0"/>
          <wp:positionH relativeFrom="column">
            <wp:posOffset>-47625</wp:posOffset>
          </wp:positionH>
          <wp:positionV relativeFrom="paragraph">
            <wp:posOffset>15240</wp:posOffset>
          </wp:positionV>
          <wp:extent cx="1846580" cy="449580"/>
          <wp:effectExtent l="0" t="0" r="1270" b="7620"/>
          <wp:wrapNone/>
          <wp:docPr id="3" name="Picture 3"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47E">
      <w:t>Equality and Human Rights Commission</w:t>
    </w:r>
  </w:p>
  <w:p w14:paraId="59CD79E1" w14:textId="5568C889" w:rsidR="00F028F1" w:rsidRPr="00B2631D" w:rsidRDefault="00255B48" w:rsidP="00B2631D">
    <w:pPr>
      <w:pStyle w:val="Footer"/>
      <w:jc w:val="right"/>
    </w:pPr>
    <w:hyperlink r:id="rId2" w:history="1">
      <w:r w:rsidR="00F028F1" w:rsidRPr="007F0340">
        <w:rPr>
          <w:rStyle w:val="Hyperlink"/>
        </w:rPr>
        <w:t>www.equalityhumanrights.com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9D45" w14:textId="77777777" w:rsidR="00A3256A" w:rsidRDefault="00A3256A">
      <w:r>
        <w:separator/>
      </w:r>
    </w:p>
  </w:footnote>
  <w:footnote w:type="continuationSeparator" w:id="0">
    <w:p w14:paraId="34BC1A67" w14:textId="77777777" w:rsidR="00A3256A" w:rsidRDefault="00A3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05EF" w14:textId="77777777" w:rsidR="00F028F1" w:rsidRDefault="00F028F1"/>
  <w:p w14:paraId="7FEC6BC6" w14:textId="77777777" w:rsidR="00F028F1" w:rsidRDefault="00F028F1"/>
  <w:p w14:paraId="2BEF95D9" w14:textId="77777777" w:rsidR="00F028F1" w:rsidRDefault="00F028F1" w:rsidP="00D56E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81A1" w14:textId="77777777" w:rsidR="00F028F1" w:rsidRDefault="00F028F1"/>
  <w:p w14:paraId="25C9C9D8" w14:textId="77777777" w:rsidR="00F028F1" w:rsidRDefault="00F028F1"/>
  <w:p w14:paraId="49511A77" w14:textId="77777777" w:rsidR="00F028F1" w:rsidRDefault="00F028F1" w:rsidP="0025118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3D88" w14:textId="243C833C" w:rsidR="00F028F1" w:rsidRDefault="00255B48">
    <w:pPr>
      <w:pStyle w:val="Header"/>
    </w:pPr>
    <w:r>
      <w:rPr>
        <w:noProof/>
      </w:rPr>
      <w:fldChar w:fldCharType="begin"/>
    </w:r>
    <w:r>
      <w:rPr>
        <w:noProof/>
      </w:rPr>
      <w:instrText xml:space="preserve"> STYLEREF Title \* MERGEFORMAT </w:instrText>
    </w:r>
    <w:r>
      <w:rPr>
        <w:noProof/>
      </w:rPr>
      <w:fldChar w:fldCharType="separate"/>
    </w:r>
    <w:r>
      <w:rPr>
        <w:noProof/>
      </w:rPr>
      <w:t>Your rights to equality from healthcare and social care services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23DB" w14:textId="3EF3543D" w:rsidR="00F028F1" w:rsidRDefault="00F02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EA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82B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AA65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2438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BE96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E463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2EA0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B27A8E"/>
    <w:lvl w:ilvl="0">
      <w:start w:val="1"/>
      <w:numFmt w:val="bullet"/>
      <w:pStyle w:val="ListBullet3"/>
      <w:lvlText w:val="−"/>
      <w:lvlJc w:val="left"/>
      <w:pPr>
        <w:tabs>
          <w:tab w:val="num" w:pos="1211"/>
        </w:tabs>
        <w:ind w:left="1211" w:hanging="360"/>
      </w:pPr>
      <w:rPr>
        <w:rFonts w:ascii="Arial" w:hAnsi="Arial" w:hint="default"/>
      </w:rPr>
    </w:lvl>
  </w:abstractNum>
  <w:abstractNum w:abstractNumId="8" w15:restartNumberingAfterBreak="0">
    <w:nsid w:val="FFFFFF83"/>
    <w:multiLevelType w:val="singleLevel"/>
    <w:tmpl w:val="C21A0F84"/>
    <w:lvl w:ilvl="0">
      <w:start w:val="1"/>
      <w:numFmt w:val="bullet"/>
      <w:lvlText w:val="■"/>
      <w:lvlJc w:val="left"/>
      <w:pPr>
        <w:tabs>
          <w:tab w:val="num" w:pos="785"/>
        </w:tabs>
        <w:ind w:left="785" w:hanging="360"/>
      </w:pPr>
      <w:rPr>
        <w:rFonts w:ascii="Arial" w:hAnsi="Arial" w:hint="default"/>
        <w:sz w:val="20"/>
      </w:rPr>
    </w:lvl>
  </w:abstractNum>
  <w:abstractNum w:abstractNumId="9" w15:restartNumberingAfterBreak="0">
    <w:nsid w:val="FFFFFF88"/>
    <w:multiLevelType w:val="singleLevel"/>
    <w:tmpl w:val="7F7C2F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886F80"/>
    <w:lvl w:ilvl="0">
      <w:start w:val="1"/>
      <w:numFmt w:val="bullet"/>
      <w:lvlText w:val=""/>
      <w:lvlJc w:val="left"/>
      <w:pPr>
        <w:tabs>
          <w:tab w:val="num" w:pos="360"/>
        </w:tabs>
        <w:ind w:left="360" w:hanging="360"/>
      </w:pPr>
      <w:rPr>
        <w:rFonts w:ascii="Symbol" w:hAnsi="Symbol" w:hint="default"/>
        <w:b w:val="0"/>
        <w:i w:val="0"/>
        <w:color w:val="915387"/>
        <w:sz w:val="40"/>
      </w:rPr>
    </w:lvl>
  </w:abstractNum>
  <w:abstractNum w:abstractNumId="11" w15:restartNumberingAfterBreak="0">
    <w:nsid w:val="028E39E2"/>
    <w:multiLevelType w:val="hybridMultilevel"/>
    <w:tmpl w:val="99F0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EE0659"/>
    <w:multiLevelType w:val="hybridMultilevel"/>
    <w:tmpl w:val="822C7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5B064B"/>
    <w:multiLevelType w:val="hybridMultilevel"/>
    <w:tmpl w:val="07046C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F4C8B"/>
    <w:multiLevelType w:val="hybridMultilevel"/>
    <w:tmpl w:val="8892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AB43B5"/>
    <w:multiLevelType w:val="hybridMultilevel"/>
    <w:tmpl w:val="FCF62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875FDE"/>
    <w:multiLevelType w:val="hybridMultilevel"/>
    <w:tmpl w:val="F186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D0730"/>
    <w:multiLevelType w:val="hybridMultilevel"/>
    <w:tmpl w:val="F8A0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A5A61"/>
    <w:multiLevelType w:val="hybridMultilevel"/>
    <w:tmpl w:val="8360905E"/>
    <w:lvl w:ilvl="0" w:tplc="DB6A29F8">
      <w:start w:val="1"/>
      <w:numFmt w:val="bullet"/>
      <w:pStyle w:val="ListBullet"/>
      <w:lvlText w:val=""/>
      <w:lvlJc w:val="left"/>
      <w:pPr>
        <w:tabs>
          <w:tab w:val="num" w:pos="425"/>
        </w:tabs>
        <w:ind w:left="0" w:firstLine="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84031"/>
    <w:multiLevelType w:val="hybridMultilevel"/>
    <w:tmpl w:val="00F0425A"/>
    <w:lvl w:ilvl="0" w:tplc="E2543CF0">
      <w:start w:val="1"/>
      <w:numFmt w:val="decimal"/>
      <w:pStyle w:val="L1Headers"/>
      <w:lvlText w:val="%1 | "/>
      <w:lvlJc w:val="left"/>
      <w:pPr>
        <w:ind w:left="720" w:hanging="360"/>
      </w:pPr>
      <w:rPr>
        <w:rFonts w:hint="default"/>
        <w:color w:val="E200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67EA0"/>
    <w:multiLevelType w:val="multilevel"/>
    <w:tmpl w:val="905A4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EF483F"/>
    <w:multiLevelType w:val="multilevel"/>
    <w:tmpl w:val="45760AF0"/>
    <w:lvl w:ilvl="0">
      <w:start w:val="1"/>
      <w:numFmt w:val="bullet"/>
      <w:lvlText w:val="-"/>
      <w:lvlJc w:val="left"/>
      <w:pPr>
        <w:ind w:left="785" w:hanging="360"/>
      </w:pPr>
      <w:rPr>
        <w:rFonts w:ascii="Arial" w:eastAsiaTheme="minorHAnsi" w:hAnsi="Arial" w:cs="Arial" w:hint="default"/>
      </w:rPr>
    </w:lvl>
    <w:lvl w:ilvl="1">
      <w:start w:val="1"/>
      <w:numFmt w:val="bullet"/>
      <w:lvlText w:val="o"/>
      <w:lvlJc w:val="left"/>
      <w:pPr>
        <w:ind w:left="1505" w:hanging="360"/>
      </w:pPr>
      <w:rPr>
        <w:rFonts w:ascii="Courier New" w:hAnsi="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46C24EAF"/>
    <w:multiLevelType w:val="hybridMultilevel"/>
    <w:tmpl w:val="44CA6E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E0F95"/>
    <w:multiLevelType w:val="hybridMultilevel"/>
    <w:tmpl w:val="45760AF0"/>
    <w:lvl w:ilvl="0" w:tplc="F878CF2C">
      <w:start w:val="1"/>
      <w:numFmt w:val="bullet"/>
      <w:pStyle w:val="ListBullet2"/>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77E84"/>
    <w:multiLevelType w:val="hybridMultilevel"/>
    <w:tmpl w:val="DCB23144"/>
    <w:lvl w:ilvl="0" w:tplc="8020EBAC">
      <w:start w:val="1"/>
      <w:numFmt w:val="decimal"/>
      <w:pStyle w:val="Numberedlis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628153F"/>
    <w:multiLevelType w:val="hybridMultilevel"/>
    <w:tmpl w:val="50B49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3027C"/>
    <w:multiLevelType w:val="hybridMultilevel"/>
    <w:tmpl w:val="CE5411F8"/>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880"/>
        </w:tabs>
        <w:ind w:left="2880" w:hanging="360"/>
      </w:pPr>
      <w:rPr>
        <w:rFonts w:ascii="Wingdings" w:hAnsi="Wingding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8A7221C"/>
    <w:multiLevelType w:val="hybridMultilevel"/>
    <w:tmpl w:val="840EAE78"/>
    <w:lvl w:ilvl="0" w:tplc="87C65662">
      <w:start w:val="1"/>
      <w:numFmt w:val="decimal"/>
      <w:lvlText w:val="%1 | "/>
      <w:lvlJc w:val="left"/>
      <w:pPr>
        <w:ind w:left="720" w:hanging="360"/>
      </w:pPr>
      <w:rPr>
        <w:rFonts w:hint="default"/>
        <w:color w:val="E200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D0060"/>
    <w:multiLevelType w:val="hybridMultilevel"/>
    <w:tmpl w:val="089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552CE"/>
    <w:multiLevelType w:val="hybridMultilevel"/>
    <w:tmpl w:val="E500E1DC"/>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7F6D45"/>
    <w:multiLevelType w:val="hybridMultilevel"/>
    <w:tmpl w:val="DF509E5C"/>
    <w:lvl w:ilvl="0" w:tplc="97FE8B1A">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766435FD"/>
    <w:multiLevelType w:val="hybridMultilevel"/>
    <w:tmpl w:val="F2622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12"/>
  </w:num>
  <w:num w:numId="13">
    <w:abstractNumId w:val="32"/>
  </w:num>
  <w:num w:numId="14">
    <w:abstractNumId w:val="25"/>
  </w:num>
  <w:num w:numId="15">
    <w:abstractNumId w:val="16"/>
  </w:num>
  <w:num w:numId="16">
    <w:abstractNumId w:val="11"/>
  </w:num>
  <w:num w:numId="17">
    <w:abstractNumId w:val="22"/>
  </w:num>
  <w:num w:numId="18">
    <w:abstractNumId w:val="13"/>
  </w:num>
  <w:num w:numId="19">
    <w:abstractNumId w:val="26"/>
  </w:num>
  <w:num w:numId="20">
    <w:abstractNumId w:val="31"/>
  </w:num>
  <w:num w:numId="21">
    <w:abstractNumId w:val="17"/>
  </w:num>
  <w:num w:numId="22">
    <w:abstractNumId w:val="28"/>
  </w:num>
  <w:num w:numId="23">
    <w:abstractNumId w:val="15"/>
  </w:num>
  <w:num w:numId="24">
    <w:abstractNumId w:val="27"/>
  </w:num>
  <w:num w:numId="25">
    <w:abstractNumId w:val="33"/>
  </w:num>
  <w:num w:numId="26">
    <w:abstractNumId w:val="0"/>
  </w:num>
  <w:num w:numId="27">
    <w:abstractNumId w:val="14"/>
  </w:num>
  <w:num w:numId="28">
    <w:abstractNumId w:val="30"/>
  </w:num>
  <w:num w:numId="29">
    <w:abstractNumId w:val="24"/>
  </w:num>
  <w:num w:numId="30">
    <w:abstractNumId w:val="19"/>
  </w:num>
  <w:num w:numId="31">
    <w:abstractNumId w:val="20"/>
  </w:num>
  <w:num w:numId="32">
    <w:abstractNumId w:val="23"/>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8A"/>
    <w:rsid w:val="00000CB7"/>
    <w:rsid w:val="000059F5"/>
    <w:rsid w:val="00016976"/>
    <w:rsid w:val="000350C0"/>
    <w:rsid w:val="00051C10"/>
    <w:rsid w:val="000546A5"/>
    <w:rsid w:val="00091FE7"/>
    <w:rsid w:val="0009435C"/>
    <w:rsid w:val="00096452"/>
    <w:rsid w:val="000A3412"/>
    <w:rsid w:val="000C48F5"/>
    <w:rsid w:val="000E28BE"/>
    <w:rsid w:val="000F547F"/>
    <w:rsid w:val="000F6B30"/>
    <w:rsid w:val="000F6FA1"/>
    <w:rsid w:val="001223F2"/>
    <w:rsid w:val="00127ADE"/>
    <w:rsid w:val="00141957"/>
    <w:rsid w:val="001510D9"/>
    <w:rsid w:val="001521A9"/>
    <w:rsid w:val="00163C2A"/>
    <w:rsid w:val="001659CE"/>
    <w:rsid w:val="001721DC"/>
    <w:rsid w:val="001739F9"/>
    <w:rsid w:val="0017425B"/>
    <w:rsid w:val="00175B92"/>
    <w:rsid w:val="001968E2"/>
    <w:rsid w:val="001C06D4"/>
    <w:rsid w:val="001C5010"/>
    <w:rsid w:val="001D7351"/>
    <w:rsid w:val="00210DB4"/>
    <w:rsid w:val="00225A24"/>
    <w:rsid w:val="00237AF0"/>
    <w:rsid w:val="0025118A"/>
    <w:rsid w:val="00253492"/>
    <w:rsid w:val="00255B48"/>
    <w:rsid w:val="00272CC5"/>
    <w:rsid w:val="00286B8F"/>
    <w:rsid w:val="002A0578"/>
    <w:rsid w:val="002A1957"/>
    <w:rsid w:val="002B023F"/>
    <w:rsid w:val="002B46A5"/>
    <w:rsid w:val="002B6522"/>
    <w:rsid w:val="002C43EB"/>
    <w:rsid w:val="002D3267"/>
    <w:rsid w:val="002D49FD"/>
    <w:rsid w:val="002E1E78"/>
    <w:rsid w:val="002E7769"/>
    <w:rsid w:val="003020C5"/>
    <w:rsid w:val="003022AD"/>
    <w:rsid w:val="00302AAA"/>
    <w:rsid w:val="00317A13"/>
    <w:rsid w:val="0032468F"/>
    <w:rsid w:val="00345770"/>
    <w:rsid w:val="00347D95"/>
    <w:rsid w:val="00350092"/>
    <w:rsid w:val="003609FD"/>
    <w:rsid w:val="00365495"/>
    <w:rsid w:val="00373A3F"/>
    <w:rsid w:val="0038652F"/>
    <w:rsid w:val="00390702"/>
    <w:rsid w:val="003B7228"/>
    <w:rsid w:val="003B7547"/>
    <w:rsid w:val="003B7706"/>
    <w:rsid w:val="003C2DF2"/>
    <w:rsid w:val="003D3AA1"/>
    <w:rsid w:val="003E1F79"/>
    <w:rsid w:val="003E4FCB"/>
    <w:rsid w:val="004016F4"/>
    <w:rsid w:val="00410F92"/>
    <w:rsid w:val="00411AAB"/>
    <w:rsid w:val="00413FEC"/>
    <w:rsid w:val="0042035E"/>
    <w:rsid w:val="00422B51"/>
    <w:rsid w:val="004302C8"/>
    <w:rsid w:val="004312B3"/>
    <w:rsid w:val="0043741E"/>
    <w:rsid w:val="004426E0"/>
    <w:rsid w:val="0045328C"/>
    <w:rsid w:val="004579F6"/>
    <w:rsid w:val="00465CEF"/>
    <w:rsid w:val="004754C2"/>
    <w:rsid w:val="00483324"/>
    <w:rsid w:val="004903E3"/>
    <w:rsid w:val="004A770B"/>
    <w:rsid w:val="004B5E3F"/>
    <w:rsid w:val="004B6EBF"/>
    <w:rsid w:val="004D00AB"/>
    <w:rsid w:val="004F1CE7"/>
    <w:rsid w:val="004F69F7"/>
    <w:rsid w:val="005019FF"/>
    <w:rsid w:val="00507C54"/>
    <w:rsid w:val="00510AE2"/>
    <w:rsid w:val="005171EB"/>
    <w:rsid w:val="00571036"/>
    <w:rsid w:val="005809FC"/>
    <w:rsid w:val="00590F8B"/>
    <w:rsid w:val="005A784B"/>
    <w:rsid w:val="005C293D"/>
    <w:rsid w:val="005C4C64"/>
    <w:rsid w:val="005F1027"/>
    <w:rsid w:val="005F2698"/>
    <w:rsid w:val="005F4CD7"/>
    <w:rsid w:val="006026FA"/>
    <w:rsid w:val="00620F09"/>
    <w:rsid w:val="00630387"/>
    <w:rsid w:val="00632724"/>
    <w:rsid w:val="0063396B"/>
    <w:rsid w:val="006643E0"/>
    <w:rsid w:val="006824BA"/>
    <w:rsid w:val="0068307E"/>
    <w:rsid w:val="006844DF"/>
    <w:rsid w:val="006878F9"/>
    <w:rsid w:val="006A07C8"/>
    <w:rsid w:val="006B21D0"/>
    <w:rsid w:val="006C0561"/>
    <w:rsid w:val="006C3AAB"/>
    <w:rsid w:val="006C5939"/>
    <w:rsid w:val="006D0F47"/>
    <w:rsid w:val="006D2C17"/>
    <w:rsid w:val="006D6BC5"/>
    <w:rsid w:val="006E64AE"/>
    <w:rsid w:val="006F4C0D"/>
    <w:rsid w:val="00715B3F"/>
    <w:rsid w:val="007212D3"/>
    <w:rsid w:val="00725885"/>
    <w:rsid w:val="00727413"/>
    <w:rsid w:val="007420D8"/>
    <w:rsid w:val="0074586B"/>
    <w:rsid w:val="00754F7B"/>
    <w:rsid w:val="007811CD"/>
    <w:rsid w:val="00781FBF"/>
    <w:rsid w:val="00786BF7"/>
    <w:rsid w:val="007A4BCA"/>
    <w:rsid w:val="007A58B0"/>
    <w:rsid w:val="007C1E3F"/>
    <w:rsid w:val="007D18D6"/>
    <w:rsid w:val="007D6F44"/>
    <w:rsid w:val="007D762C"/>
    <w:rsid w:val="007E4E6A"/>
    <w:rsid w:val="00803B50"/>
    <w:rsid w:val="00815046"/>
    <w:rsid w:val="008209B3"/>
    <w:rsid w:val="0082416F"/>
    <w:rsid w:val="008405CC"/>
    <w:rsid w:val="00854C1C"/>
    <w:rsid w:val="00867206"/>
    <w:rsid w:val="00871EC3"/>
    <w:rsid w:val="0087692F"/>
    <w:rsid w:val="0089168D"/>
    <w:rsid w:val="008A4400"/>
    <w:rsid w:val="008B3D34"/>
    <w:rsid w:val="008B6E48"/>
    <w:rsid w:val="008C28D3"/>
    <w:rsid w:val="008E06D0"/>
    <w:rsid w:val="008F0DDA"/>
    <w:rsid w:val="008F4C43"/>
    <w:rsid w:val="009205B5"/>
    <w:rsid w:val="00921E87"/>
    <w:rsid w:val="00925735"/>
    <w:rsid w:val="00926D92"/>
    <w:rsid w:val="009448F6"/>
    <w:rsid w:val="009547CE"/>
    <w:rsid w:val="00964375"/>
    <w:rsid w:val="00970AEA"/>
    <w:rsid w:val="00977B9B"/>
    <w:rsid w:val="00981A34"/>
    <w:rsid w:val="009A631B"/>
    <w:rsid w:val="009B677B"/>
    <w:rsid w:val="009E2D17"/>
    <w:rsid w:val="009E5A2E"/>
    <w:rsid w:val="009E617F"/>
    <w:rsid w:val="00A203BF"/>
    <w:rsid w:val="00A3256A"/>
    <w:rsid w:val="00A37C11"/>
    <w:rsid w:val="00A40949"/>
    <w:rsid w:val="00A44C4F"/>
    <w:rsid w:val="00A5515F"/>
    <w:rsid w:val="00A56C2D"/>
    <w:rsid w:val="00A60404"/>
    <w:rsid w:val="00A63A74"/>
    <w:rsid w:val="00A65710"/>
    <w:rsid w:val="00A7661D"/>
    <w:rsid w:val="00A866DE"/>
    <w:rsid w:val="00A926A7"/>
    <w:rsid w:val="00AA29A7"/>
    <w:rsid w:val="00AA46A5"/>
    <w:rsid w:val="00AE1969"/>
    <w:rsid w:val="00AE70BC"/>
    <w:rsid w:val="00AF6DEC"/>
    <w:rsid w:val="00B0409A"/>
    <w:rsid w:val="00B07C8A"/>
    <w:rsid w:val="00B14C5E"/>
    <w:rsid w:val="00B2631D"/>
    <w:rsid w:val="00B26A1E"/>
    <w:rsid w:val="00B56CA5"/>
    <w:rsid w:val="00B6061B"/>
    <w:rsid w:val="00BA5F16"/>
    <w:rsid w:val="00BD7469"/>
    <w:rsid w:val="00BE1532"/>
    <w:rsid w:val="00BE7033"/>
    <w:rsid w:val="00BF30B6"/>
    <w:rsid w:val="00BF59DF"/>
    <w:rsid w:val="00C110E7"/>
    <w:rsid w:val="00C14036"/>
    <w:rsid w:val="00C16F4B"/>
    <w:rsid w:val="00C26A17"/>
    <w:rsid w:val="00C31337"/>
    <w:rsid w:val="00C32D91"/>
    <w:rsid w:val="00C43C41"/>
    <w:rsid w:val="00C5323C"/>
    <w:rsid w:val="00C64509"/>
    <w:rsid w:val="00C647D1"/>
    <w:rsid w:val="00CA46E4"/>
    <w:rsid w:val="00CA4C1B"/>
    <w:rsid w:val="00CA4DBC"/>
    <w:rsid w:val="00CC0300"/>
    <w:rsid w:val="00CC1415"/>
    <w:rsid w:val="00CD0FA6"/>
    <w:rsid w:val="00CD3061"/>
    <w:rsid w:val="00CD34C8"/>
    <w:rsid w:val="00CE32DE"/>
    <w:rsid w:val="00CF6FF9"/>
    <w:rsid w:val="00D02B4D"/>
    <w:rsid w:val="00D11DDC"/>
    <w:rsid w:val="00D12192"/>
    <w:rsid w:val="00D20022"/>
    <w:rsid w:val="00D21EFB"/>
    <w:rsid w:val="00D2789C"/>
    <w:rsid w:val="00D438E0"/>
    <w:rsid w:val="00D44A40"/>
    <w:rsid w:val="00D45DB2"/>
    <w:rsid w:val="00D518D2"/>
    <w:rsid w:val="00D52C2D"/>
    <w:rsid w:val="00D54925"/>
    <w:rsid w:val="00D56E3B"/>
    <w:rsid w:val="00D5762D"/>
    <w:rsid w:val="00D60064"/>
    <w:rsid w:val="00D715EA"/>
    <w:rsid w:val="00D83F8B"/>
    <w:rsid w:val="00D86529"/>
    <w:rsid w:val="00DA1BBD"/>
    <w:rsid w:val="00DA5ECD"/>
    <w:rsid w:val="00DC4001"/>
    <w:rsid w:val="00DC76C2"/>
    <w:rsid w:val="00DD5C9E"/>
    <w:rsid w:val="00DE1EE4"/>
    <w:rsid w:val="00DF14E5"/>
    <w:rsid w:val="00E0674B"/>
    <w:rsid w:val="00E14327"/>
    <w:rsid w:val="00E244B2"/>
    <w:rsid w:val="00E30194"/>
    <w:rsid w:val="00E45863"/>
    <w:rsid w:val="00E473D5"/>
    <w:rsid w:val="00E504AE"/>
    <w:rsid w:val="00E627B2"/>
    <w:rsid w:val="00E64DF0"/>
    <w:rsid w:val="00E666EF"/>
    <w:rsid w:val="00E82AF2"/>
    <w:rsid w:val="00E82CFD"/>
    <w:rsid w:val="00E93D81"/>
    <w:rsid w:val="00EA5D81"/>
    <w:rsid w:val="00EB1F6D"/>
    <w:rsid w:val="00EC0AEC"/>
    <w:rsid w:val="00ED0612"/>
    <w:rsid w:val="00ED28A9"/>
    <w:rsid w:val="00EE280E"/>
    <w:rsid w:val="00EE6ABD"/>
    <w:rsid w:val="00F01419"/>
    <w:rsid w:val="00F028F1"/>
    <w:rsid w:val="00F13ED8"/>
    <w:rsid w:val="00F208A7"/>
    <w:rsid w:val="00F25483"/>
    <w:rsid w:val="00F41B19"/>
    <w:rsid w:val="00F73BC5"/>
    <w:rsid w:val="00F812FB"/>
    <w:rsid w:val="00F8424B"/>
    <w:rsid w:val="00FA628E"/>
    <w:rsid w:val="00FB6473"/>
    <w:rsid w:val="00FC70A9"/>
    <w:rsid w:val="00FC71E2"/>
    <w:rsid w:val="00FE1235"/>
    <w:rsid w:val="00FE4584"/>
    <w:rsid w:val="00FF1C5C"/>
    <w:rsid w:val="00FF3F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F3386"/>
  <w15:docId w15:val="{BBA769C4-8BE9-43AF-B38C-2098A5FF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EC"/>
    <w:pPr>
      <w:spacing w:before="120" w:after="120" w:line="312" w:lineRule="auto"/>
    </w:pPr>
    <w:rPr>
      <w:rFonts w:ascii="Arial" w:eastAsia="Calibri" w:hAnsi="Arial"/>
      <w:sz w:val="24"/>
      <w:szCs w:val="24"/>
    </w:rPr>
  </w:style>
  <w:style w:type="paragraph" w:styleId="Heading1">
    <w:name w:val="heading 1"/>
    <w:basedOn w:val="Normal"/>
    <w:next w:val="Normal"/>
    <w:link w:val="Heading1Char"/>
    <w:qFormat/>
    <w:rsid w:val="0025118A"/>
    <w:pPr>
      <w:keepNext/>
      <w:spacing w:before="240" w:after="360"/>
      <w:outlineLvl w:val="0"/>
    </w:pPr>
    <w:rPr>
      <w:rFonts w:ascii="Arial Bold" w:hAnsi="Arial Bold" w:cs="Arial"/>
      <w:b/>
      <w:bCs/>
      <w:color w:val="E2007A"/>
      <w:kern w:val="32"/>
      <w:sz w:val="52"/>
      <w:szCs w:val="32"/>
    </w:rPr>
  </w:style>
  <w:style w:type="paragraph" w:styleId="Heading2">
    <w:name w:val="heading 2"/>
    <w:basedOn w:val="Normal"/>
    <w:next w:val="Normal"/>
    <w:link w:val="Heading2Char"/>
    <w:qFormat/>
    <w:rsid w:val="0025118A"/>
    <w:pPr>
      <w:keepNext/>
      <w:spacing w:before="240" w:after="240" w:line="280" w:lineRule="atLeast"/>
      <w:outlineLvl w:val="1"/>
    </w:pPr>
    <w:rPr>
      <w:rFonts w:ascii="Arial Bold" w:hAnsi="Arial Bold" w:cs="Arial"/>
      <w:b/>
      <w:bCs/>
      <w:iCs/>
      <w:color w:val="E2007A"/>
      <w:sz w:val="44"/>
      <w:szCs w:val="28"/>
    </w:rPr>
  </w:style>
  <w:style w:type="paragraph" w:styleId="Heading3">
    <w:name w:val="heading 3"/>
    <w:basedOn w:val="Normal"/>
    <w:next w:val="Normal"/>
    <w:link w:val="Heading3Char"/>
    <w:qFormat/>
    <w:rsid w:val="0025118A"/>
    <w:pPr>
      <w:keepNext/>
      <w:spacing w:before="240" w:after="60"/>
      <w:outlineLvl w:val="2"/>
    </w:pPr>
    <w:rPr>
      <w:rFonts w:cs="Arial"/>
      <w:b/>
      <w:bCs/>
      <w:i/>
      <w:color w:val="E2007A"/>
      <w:sz w:val="36"/>
      <w:szCs w:val="44"/>
    </w:rPr>
  </w:style>
  <w:style w:type="paragraph" w:styleId="Heading4">
    <w:name w:val="heading 4"/>
    <w:basedOn w:val="Normal"/>
    <w:next w:val="Normal"/>
    <w:autoRedefine/>
    <w:qFormat/>
    <w:rsid w:val="006D0F47"/>
    <w:pPr>
      <w:keepNext/>
      <w:spacing w:before="240" w:after="60"/>
      <w:outlineLvl w:val="3"/>
    </w:pPr>
    <w:rPr>
      <w:rFonts w:ascii="Arial Bold" w:hAnsi="Arial Bold"/>
      <w:b/>
      <w:bCs/>
      <w:sz w:val="32"/>
      <w:szCs w:val="28"/>
    </w:rPr>
  </w:style>
  <w:style w:type="paragraph" w:styleId="Heading5">
    <w:name w:val="heading 5"/>
    <w:basedOn w:val="Normal"/>
    <w:next w:val="Normal"/>
    <w:link w:val="Heading5Char"/>
    <w:uiPriority w:val="9"/>
    <w:semiHidden/>
    <w:unhideWhenUsed/>
    <w:qFormat/>
    <w:rsid w:val="00D21E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18A"/>
    <w:rPr>
      <w:rFonts w:ascii="Arial Bold" w:eastAsia="Calibri" w:hAnsi="Arial Bold" w:cs="Arial"/>
      <w:b/>
      <w:bCs/>
      <w:color w:val="E2007A"/>
      <w:kern w:val="32"/>
      <w:sz w:val="52"/>
      <w:szCs w:val="32"/>
      <w:lang w:val="en-US" w:eastAsia="en-US" w:bidi="ar-SA"/>
    </w:rPr>
  </w:style>
  <w:style w:type="character" w:customStyle="1" w:styleId="Heading2Char">
    <w:name w:val="Heading 2 Char"/>
    <w:link w:val="Heading2"/>
    <w:rsid w:val="0025118A"/>
    <w:rPr>
      <w:rFonts w:ascii="Arial Bold" w:eastAsia="Calibri" w:hAnsi="Arial Bold" w:cs="Arial"/>
      <w:b/>
      <w:bCs/>
      <w:iCs/>
      <w:color w:val="E2007A"/>
      <w:sz w:val="44"/>
      <w:szCs w:val="28"/>
      <w:lang w:val="en-US" w:eastAsia="en-US" w:bidi="ar-SA"/>
    </w:rPr>
  </w:style>
  <w:style w:type="character" w:customStyle="1" w:styleId="Heading3Char">
    <w:name w:val="Heading 3 Char"/>
    <w:link w:val="Heading3"/>
    <w:rsid w:val="0025118A"/>
    <w:rPr>
      <w:rFonts w:ascii="Arial" w:eastAsia="Calibri" w:hAnsi="Arial" w:cs="Arial"/>
      <w:b/>
      <w:bCs/>
      <w:i/>
      <w:color w:val="E2007A"/>
      <w:sz w:val="36"/>
      <w:szCs w:val="44"/>
      <w:lang w:val="en-US" w:eastAsia="en-US" w:bidi="ar-SA"/>
    </w:rPr>
  </w:style>
  <w:style w:type="paragraph" w:customStyle="1" w:styleId="StyleArialBoldDarkTealCentered">
    <w:name w:val="Style Arial Bold Dark Teal Centered"/>
    <w:basedOn w:val="Normal"/>
    <w:rsid w:val="00ED28A9"/>
    <w:rPr>
      <w:b/>
      <w:bCs/>
      <w:color w:val="003366"/>
      <w:sz w:val="20"/>
      <w:szCs w:val="20"/>
    </w:rPr>
  </w:style>
  <w:style w:type="character" w:styleId="FollowedHyperlink">
    <w:name w:val="FollowedHyperlink"/>
    <w:rsid w:val="00921E87"/>
    <w:rPr>
      <w:rFonts w:ascii="Arial" w:hAnsi="Arial"/>
      <w:b w:val="0"/>
      <w:color w:val="003366"/>
      <w:sz w:val="24"/>
      <w:szCs w:val="20"/>
      <w:u w:val="none"/>
    </w:rPr>
  </w:style>
  <w:style w:type="character" w:styleId="Hyperlink">
    <w:name w:val="Hyperlink"/>
    <w:uiPriority w:val="99"/>
    <w:qFormat/>
    <w:rsid w:val="001968E2"/>
    <w:rPr>
      <w:rFonts w:ascii="Arial" w:hAnsi="Arial" w:cs="Arial"/>
      <w:b w:val="0"/>
      <w:bCs/>
      <w:dstrike w:val="0"/>
      <w:color w:val="auto"/>
      <w:sz w:val="24"/>
      <w:szCs w:val="20"/>
      <w:u w:val="single"/>
      <w:effect w:val="none"/>
    </w:rPr>
  </w:style>
  <w:style w:type="paragraph" w:styleId="Footer">
    <w:name w:val="footer"/>
    <w:basedOn w:val="Normal"/>
    <w:link w:val="FooterChar"/>
    <w:uiPriority w:val="99"/>
    <w:rsid w:val="00D21EFB"/>
    <w:pPr>
      <w:tabs>
        <w:tab w:val="center" w:pos="4153"/>
        <w:tab w:val="right" w:pos="8306"/>
      </w:tabs>
      <w:spacing w:after="0" w:line="240" w:lineRule="auto"/>
    </w:pPr>
    <w:rPr>
      <w:sz w:val="18"/>
    </w:rPr>
  </w:style>
  <w:style w:type="character" w:styleId="PageNumber">
    <w:name w:val="page number"/>
    <w:rsid w:val="0025118A"/>
    <w:rPr>
      <w:rFonts w:ascii="Arial Bold" w:hAnsi="Arial Bold"/>
      <w:b/>
      <w:sz w:val="24"/>
    </w:rPr>
  </w:style>
  <w:style w:type="paragraph" w:styleId="ListBullet">
    <w:name w:val="List Bullet"/>
    <w:basedOn w:val="Normal"/>
    <w:link w:val="ListBulletChar"/>
    <w:rsid w:val="008F4C43"/>
    <w:pPr>
      <w:numPr>
        <w:numId w:val="11"/>
      </w:numPr>
      <w:ind w:left="425" w:hanging="425"/>
    </w:pPr>
    <w:rPr>
      <w:lang w:eastAsia="x-none"/>
    </w:rPr>
  </w:style>
  <w:style w:type="character" w:customStyle="1" w:styleId="ListBulletChar">
    <w:name w:val="List Bullet Char"/>
    <w:link w:val="ListBullet"/>
    <w:rsid w:val="008F4C43"/>
    <w:rPr>
      <w:rFonts w:ascii="Arial" w:eastAsia="Calibri" w:hAnsi="Arial"/>
      <w:sz w:val="24"/>
      <w:szCs w:val="24"/>
      <w:lang w:eastAsia="x-none"/>
    </w:rPr>
  </w:style>
  <w:style w:type="paragraph" w:styleId="ListBullet2">
    <w:name w:val="List Bullet 2"/>
    <w:basedOn w:val="Normal"/>
    <w:autoRedefine/>
    <w:rsid w:val="00921E87"/>
    <w:pPr>
      <w:numPr>
        <w:numId w:val="32"/>
      </w:numPr>
      <w:tabs>
        <w:tab w:val="left" w:pos="851"/>
      </w:tabs>
    </w:pPr>
    <w:rPr>
      <w:rFonts w:cs="Arial"/>
      <w:lang w:eastAsia="en-GB"/>
    </w:rPr>
  </w:style>
  <w:style w:type="paragraph" w:styleId="ListBullet3">
    <w:name w:val="List Bullet 3"/>
    <w:basedOn w:val="Normal"/>
    <w:autoRedefine/>
    <w:rsid w:val="0025118A"/>
    <w:pPr>
      <w:numPr>
        <w:numId w:val="3"/>
      </w:numPr>
      <w:tabs>
        <w:tab w:val="left" w:pos="1276"/>
      </w:tabs>
    </w:pPr>
  </w:style>
  <w:style w:type="paragraph" w:customStyle="1" w:styleId="GPTitle">
    <w:name w:val="GP Title"/>
    <w:basedOn w:val="Normal"/>
    <w:rsid w:val="0025118A"/>
    <w:pPr>
      <w:pBdr>
        <w:top w:val="single" w:sz="6" w:space="10" w:color="auto"/>
        <w:left w:val="single" w:sz="6" w:space="12" w:color="auto"/>
        <w:bottom w:val="single" w:sz="6" w:space="10" w:color="auto"/>
        <w:right w:val="single" w:sz="6" w:space="10" w:color="auto"/>
      </w:pBdr>
      <w:ind w:left="284" w:right="284"/>
    </w:pPr>
    <w:rPr>
      <w:rFonts w:ascii="Arial Bold" w:hAnsi="Arial Bold"/>
      <w:b/>
      <w:color w:val="E2007A"/>
      <w:sz w:val="28"/>
      <w:szCs w:val="28"/>
    </w:rPr>
  </w:style>
  <w:style w:type="paragraph" w:customStyle="1" w:styleId="GPNormal">
    <w:name w:val="GP Normal"/>
    <w:basedOn w:val="Normal"/>
    <w:rsid w:val="0025118A"/>
    <w:pPr>
      <w:pBdr>
        <w:top w:val="single" w:sz="6" w:space="10" w:color="auto"/>
        <w:left w:val="single" w:sz="6" w:space="12" w:color="auto"/>
        <w:bottom w:val="single" w:sz="6" w:space="10" w:color="auto"/>
        <w:right w:val="single" w:sz="6" w:space="10" w:color="auto"/>
      </w:pBdr>
      <w:ind w:left="284" w:right="284"/>
    </w:pPr>
  </w:style>
  <w:style w:type="paragraph" w:customStyle="1" w:styleId="Exampletext">
    <w:name w:val="Example text"/>
    <w:basedOn w:val="Normal"/>
    <w:link w:val="ExampletextChar"/>
    <w:rsid w:val="0025118A"/>
    <w:pPr>
      <w:pBdr>
        <w:top w:val="single" w:sz="6" w:space="8" w:color="E2007A"/>
        <w:left w:val="single" w:sz="6" w:space="12" w:color="E2007A"/>
        <w:bottom w:val="single" w:sz="6" w:space="8" w:color="E2007A"/>
        <w:right w:val="single" w:sz="6" w:space="12" w:color="E2007A"/>
      </w:pBdr>
      <w:ind w:left="284" w:right="284"/>
    </w:pPr>
  </w:style>
  <w:style w:type="character" w:customStyle="1" w:styleId="ExampletextChar">
    <w:name w:val="Example text Char"/>
    <w:link w:val="Exampletext"/>
    <w:rsid w:val="0025118A"/>
    <w:rPr>
      <w:rFonts w:ascii="Arial" w:eastAsia="Calibri" w:hAnsi="Arial"/>
      <w:sz w:val="24"/>
      <w:szCs w:val="22"/>
      <w:lang w:val="en-US" w:eastAsia="en-US" w:bidi="ar-SA"/>
    </w:rPr>
  </w:style>
  <w:style w:type="paragraph" w:customStyle="1" w:styleId="GPSub1">
    <w:name w:val="GP Sub1"/>
    <w:basedOn w:val="ListBullet"/>
    <w:link w:val="GPSub1Char"/>
    <w:autoRedefine/>
    <w:rsid w:val="0025118A"/>
    <w:pPr>
      <w:pBdr>
        <w:top w:val="single" w:sz="6" w:space="10" w:color="auto"/>
        <w:left w:val="single" w:sz="6" w:space="12" w:color="auto"/>
        <w:bottom w:val="single" w:sz="6" w:space="10" w:color="auto"/>
        <w:right w:val="single" w:sz="6" w:space="10" w:color="auto"/>
      </w:pBdr>
      <w:tabs>
        <w:tab w:val="clear" w:pos="425"/>
        <w:tab w:val="left" w:pos="709"/>
      </w:tabs>
      <w:ind w:left="709" w:right="284"/>
    </w:pPr>
  </w:style>
  <w:style w:type="character" w:customStyle="1" w:styleId="GPSub1Char">
    <w:name w:val="GP Sub1 Char"/>
    <w:basedOn w:val="ListBulletChar"/>
    <w:link w:val="GPSub1"/>
    <w:rsid w:val="0025118A"/>
    <w:rPr>
      <w:rFonts w:ascii="Arial" w:eastAsia="Calibri" w:hAnsi="Arial"/>
      <w:sz w:val="24"/>
      <w:szCs w:val="22"/>
      <w:lang w:val="en-US" w:eastAsia="x-none"/>
    </w:rPr>
  </w:style>
  <w:style w:type="paragraph" w:styleId="Title">
    <w:name w:val="Title"/>
    <w:basedOn w:val="Normal"/>
    <w:link w:val="TitleChar"/>
    <w:qFormat/>
    <w:rsid w:val="007A58B0"/>
    <w:pPr>
      <w:spacing w:after="360" w:line="288" w:lineRule="auto"/>
      <w:outlineLvl w:val="0"/>
    </w:pPr>
    <w:rPr>
      <w:rFonts w:ascii="Georgia" w:hAnsi="Georgia"/>
      <w:sz w:val="84"/>
      <w:szCs w:val="84"/>
    </w:rPr>
  </w:style>
  <w:style w:type="character" w:customStyle="1" w:styleId="TitleChar">
    <w:name w:val="Title Char"/>
    <w:link w:val="Title"/>
    <w:locked/>
    <w:rsid w:val="007A58B0"/>
    <w:rPr>
      <w:rFonts w:ascii="Georgia" w:eastAsia="Calibri" w:hAnsi="Georgia"/>
      <w:sz w:val="84"/>
      <w:szCs w:val="84"/>
      <w:lang w:val="en-US"/>
    </w:rPr>
  </w:style>
  <w:style w:type="paragraph" w:customStyle="1" w:styleId="ExampleSub1">
    <w:name w:val="Example Sub1"/>
    <w:basedOn w:val="Exampletext"/>
    <w:link w:val="ExampleSub1Char"/>
    <w:rsid w:val="0025118A"/>
    <w:pPr>
      <w:numPr>
        <w:numId w:val="13"/>
      </w:numPr>
      <w:ind w:left="709" w:hanging="425"/>
    </w:pPr>
  </w:style>
  <w:style w:type="character" w:customStyle="1" w:styleId="ExampleSub1Char">
    <w:name w:val="Example Sub1 Char"/>
    <w:basedOn w:val="ExampletextChar"/>
    <w:link w:val="ExampleSub1"/>
    <w:rsid w:val="0025118A"/>
    <w:rPr>
      <w:rFonts w:ascii="Arial" w:eastAsia="Calibri" w:hAnsi="Arial"/>
      <w:sz w:val="24"/>
      <w:szCs w:val="22"/>
      <w:lang w:val="en-US" w:eastAsia="en-US" w:bidi="ar-SA"/>
    </w:rPr>
  </w:style>
  <w:style w:type="paragraph" w:customStyle="1" w:styleId="Numberedlist">
    <w:name w:val="Numbered list"/>
    <w:basedOn w:val="Normal"/>
    <w:rsid w:val="00921E87"/>
    <w:pPr>
      <w:numPr>
        <w:numId w:val="14"/>
      </w:numPr>
      <w:tabs>
        <w:tab w:val="clear" w:pos="720"/>
        <w:tab w:val="left" w:pos="425"/>
      </w:tabs>
      <w:ind w:left="454" w:hanging="454"/>
    </w:pPr>
  </w:style>
  <w:style w:type="paragraph" w:customStyle="1" w:styleId="QandA">
    <w:name w:val="Q and A"/>
    <w:basedOn w:val="Normal"/>
    <w:link w:val="QandAChar"/>
    <w:rsid w:val="0025118A"/>
    <w:pPr>
      <w:ind w:left="425" w:hanging="425"/>
    </w:pPr>
    <w:rPr>
      <w:lang w:eastAsia="en-GB"/>
    </w:rPr>
  </w:style>
  <w:style w:type="character" w:customStyle="1" w:styleId="QandAChar">
    <w:name w:val="Q and A Char"/>
    <w:link w:val="QandA"/>
    <w:rsid w:val="0025118A"/>
    <w:rPr>
      <w:rFonts w:ascii="Arial" w:eastAsia="Calibri" w:hAnsi="Arial"/>
      <w:sz w:val="24"/>
      <w:szCs w:val="22"/>
      <w:lang w:val="en-GB" w:eastAsia="en-GB" w:bidi="ar-SA"/>
    </w:rPr>
  </w:style>
  <w:style w:type="paragraph" w:customStyle="1" w:styleId="Indentexamplesub1">
    <w:name w:val="Indent example sub1"/>
    <w:basedOn w:val="ExampleSub1"/>
    <w:rsid w:val="0025118A"/>
    <w:pPr>
      <w:tabs>
        <w:tab w:val="left" w:pos="425"/>
      </w:tabs>
      <w:ind w:left="1134"/>
    </w:pPr>
    <w:rPr>
      <w:lang w:eastAsia="en-GB"/>
    </w:rPr>
  </w:style>
  <w:style w:type="paragraph" w:customStyle="1" w:styleId="Indentexample">
    <w:name w:val="Indent example"/>
    <w:basedOn w:val="Exampletext"/>
    <w:link w:val="IndentexampleChar"/>
    <w:rsid w:val="0025118A"/>
    <w:pPr>
      <w:ind w:left="709"/>
    </w:pPr>
    <w:rPr>
      <w:lang w:eastAsia="en-GB"/>
    </w:rPr>
  </w:style>
  <w:style w:type="character" w:customStyle="1" w:styleId="IndentexampleChar">
    <w:name w:val="Indent example Char"/>
    <w:link w:val="Indentexample"/>
    <w:rsid w:val="0025118A"/>
    <w:rPr>
      <w:rFonts w:ascii="Arial" w:eastAsia="Calibri" w:hAnsi="Arial"/>
      <w:sz w:val="24"/>
      <w:szCs w:val="22"/>
      <w:lang w:val="en-GB" w:eastAsia="en-GB" w:bidi="ar-SA"/>
    </w:rPr>
  </w:style>
  <w:style w:type="paragraph" w:customStyle="1" w:styleId="Indenttext">
    <w:name w:val="Indent text"/>
    <w:basedOn w:val="Normal"/>
    <w:rsid w:val="0025118A"/>
    <w:pPr>
      <w:ind w:left="425"/>
    </w:pPr>
    <w:rPr>
      <w:lang w:eastAsia="en-GB"/>
    </w:rPr>
  </w:style>
  <w:style w:type="paragraph" w:customStyle="1" w:styleId="Indentindentexamplesub1">
    <w:name w:val="Indent indent example sub1"/>
    <w:basedOn w:val="Indentexamplesub1"/>
    <w:rsid w:val="0025118A"/>
    <w:pPr>
      <w:ind w:left="1474"/>
    </w:pPr>
  </w:style>
  <w:style w:type="paragraph" w:customStyle="1" w:styleId="Glossaryindent">
    <w:name w:val="Glossary indent"/>
    <w:basedOn w:val="Normal"/>
    <w:link w:val="GlossaryindentCharChar"/>
    <w:rsid w:val="0025118A"/>
    <w:pPr>
      <w:ind w:left="3686" w:hanging="3686"/>
    </w:pPr>
  </w:style>
  <w:style w:type="character" w:customStyle="1" w:styleId="GlossaryindentCharChar">
    <w:name w:val="Glossary indent Char Char"/>
    <w:link w:val="Glossaryindent"/>
    <w:rsid w:val="0025118A"/>
    <w:rPr>
      <w:rFonts w:ascii="Arial" w:eastAsia="Calibri" w:hAnsi="Arial"/>
      <w:sz w:val="24"/>
      <w:szCs w:val="22"/>
      <w:lang w:val="en-US" w:eastAsia="en-US" w:bidi="ar-SA"/>
    </w:rPr>
  </w:style>
  <w:style w:type="paragraph" w:styleId="TOC1">
    <w:name w:val="toc 1"/>
    <w:basedOn w:val="Normal"/>
    <w:next w:val="Normal"/>
    <w:autoRedefine/>
    <w:uiPriority w:val="39"/>
    <w:rsid w:val="00786BF7"/>
    <w:pPr>
      <w:tabs>
        <w:tab w:val="left" w:pos="426"/>
        <w:tab w:val="right" w:leader="dot" w:pos="9060"/>
      </w:tabs>
      <w:spacing w:before="240"/>
    </w:pPr>
  </w:style>
  <w:style w:type="paragraph" w:styleId="TOC2">
    <w:name w:val="toc 2"/>
    <w:basedOn w:val="Normal"/>
    <w:next w:val="Normal"/>
    <w:autoRedefine/>
    <w:uiPriority w:val="39"/>
    <w:rsid w:val="00786BF7"/>
    <w:pPr>
      <w:spacing w:line="288" w:lineRule="auto"/>
    </w:pPr>
  </w:style>
  <w:style w:type="paragraph" w:styleId="TOC3">
    <w:name w:val="toc 3"/>
    <w:basedOn w:val="Normal"/>
    <w:next w:val="Normal"/>
    <w:autoRedefine/>
    <w:uiPriority w:val="39"/>
    <w:rsid w:val="00786BF7"/>
    <w:pPr>
      <w:spacing w:line="264" w:lineRule="auto"/>
      <w:ind w:left="397"/>
    </w:pPr>
  </w:style>
  <w:style w:type="paragraph" w:customStyle="1" w:styleId="Glossarynoindent">
    <w:name w:val="Glossary no indent"/>
    <w:basedOn w:val="Glossaryindent"/>
    <w:link w:val="GlossarynoindentChar"/>
    <w:rsid w:val="0025118A"/>
    <w:pPr>
      <w:tabs>
        <w:tab w:val="left" w:pos="3686"/>
      </w:tabs>
      <w:ind w:left="0" w:firstLine="0"/>
    </w:pPr>
  </w:style>
  <w:style w:type="character" w:customStyle="1" w:styleId="GlossarynoindentChar">
    <w:name w:val="Glossary no indent Char"/>
    <w:basedOn w:val="GlossaryindentCharChar"/>
    <w:link w:val="Glossarynoindent"/>
    <w:rsid w:val="0025118A"/>
    <w:rPr>
      <w:rFonts w:ascii="Arial" w:eastAsia="Calibri" w:hAnsi="Arial"/>
      <w:sz w:val="24"/>
      <w:szCs w:val="22"/>
      <w:lang w:val="en-US" w:eastAsia="en-US" w:bidi="ar-SA"/>
    </w:rPr>
  </w:style>
  <w:style w:type="paragraph" w:styleId="BalloonText">
    <w:name w:val="Balloon Text"/>
    <w:basedOn w:val="Normal"/>
    <w:semiHidden/>
    <w:rsid w:val="0042035E"/>
    <w:rPr>
      <w:rFonts w:ascii="Tahoma" w:hAnsi="Tahoma" w:cs="Tahoma"/>
      <w:sz w:val="16"/>
      <w:szCs w:val="16"/>
    </w:rPr>
  </w:style>
  <w:style w:type="character" w:customStyle="1" w:styleId="FooterChar">
    <w:name w:val="Footer Char"/>
    <w:link w:val="Footer"/>
    <w:uiPriority w:val="99"/>
    <w:rsid w:val="00D21EFB"/>
    <w:rPr>
      <w:rFonts w:ascii="Arial" w:eastAsia="Calibri" w:hAnsi="Arial"/>
      <w:sz w:val="18"/>
      <w:szCs w:val="24"/>
    </w:rPr>
  </w:style>
  <w:style w:type="paragraph" w:styleId="Header">
    <w:name w:val="header"/>
    <w:basedOn w:val="Normal"/>
    <w:link w:val="HeaderChar"/>
    <w:rsid w:val="003B7228"/>
    <w:pPr>
      <w:tabs>
        <w:tab w:val="center" w:pos="4513"/>
        <w:tab w:val="right" w:pos="9026"/>
      </w:tabs>
      <w:spacing w:before="0" w:line="240" w:lineRule="auto"/>
    </w:pPr>
    <w:rPr>
      <w:sz w:val="18"/>
    </w:rPr>
  </w:style>
  <w:style w:type="character" w:customStyle="1" w:styleId="HeaderChar">
    <w:name w:val="Header Char"/>
    <w:link w:val="Header"/>
    <w:rsid w:val="003B7228"/>
    <w:rPr>
      <w:rFonts w:ascii="Arial" w:eastAsia="Calibri" w:hAnsi="Arial"/>
      <w:sz w:val="18"/>
      <w:szCs w:val="22"/>
    </w:rPr>
  </w:style>
  <w:style w:type="character" w:styleId="CommentReference">
    <w:name w:val="annotation reference"/>
    <w:rsid w:val="001659CE"/>
    <w:rPr>
      <w:sz w:val="18"/>
      <w:szCs w:val="18"/>
    </w:rPr>
  </w:style>
  <w:style w:type="paragraph" w:styleId="CommentText">
    <w:name w:val="annotation text"/>
    <w:basedOn w:val="Normal"/>
    <w:link w:val="CommentTextChar"/>
    <w:rsid w:val="001659CE"/>
    <w:rPr>
      <w:lang w:eastAsia="x-none"/>
    </w:rPr>
  </w:style>
  <w:style w:type="character" w:customStyle="1" w:styleId="CommentTextChar">
    <w:name w:val="Comment Text Char"/>
    <w:link w:val="CommentText"/>
    <w:rsid w:val="001659CE"/>
    <w:rPr>
      <w:rFonts w:ascii="Arial" w:eastAsia="Calibri" w:hAnsi="Arial"/>
      <w:sz w:val="24"/>
      <w:szCs w:val="24"/>
      <w:lang w:val="en-US"/>
    </w:rPr>
  </w:style>
  <w:style w:type="paragraph" w:styleId="CommentSubject">
    <w:name w:val="annotation subject"/>
    <w:basedOn w:val="CommentText"/>
    <w:next w:val="CommentText"/>
    <w:link w:val="CommentSubjectChar"/>
    <w:rsid w:val="001659CE"/>
    <w:rPr>
      <w:b/>
      <w:bCs/>
    </w:rPr>
  </w:style>
  <w:style w:type="character" w:customStyle="1" w:styleId="CommentSubjectChar">
    <w:name w:val="Comment Subject Char"/>
    <w:link w:val="CommentSubject"/>
    <w:rsid w:val="001659CE"/>
    <w:rPr>
      <w:rFonts w:ascii="Arial" w:eastAsia="Calibri" w:hAnsi="Arial"/>
      <w:b/>
      <w:bCs/>
      <w:sz w:val="24"/>
      <w:szCs w:val="24"/>
      <w:lang w:val="en-US"/>
    </w:rPr>
  </w:style>
  <w:style w:type="character" w:customStyle="1" w:styleId="skypepnhtextspan">
    <w:name w:val="skype_pnh_text_span"/>
    <w:rsid w:val="00A60404"/>
  </w:style>
  <w:style w:type="character" w:customStyle="1" w:styleId="skypepnhfreetextspan">
    <w:name w:val="skype_pnh_free_text_span"/>
    <w:rsid w:val="00A60404"/>
  </w:style>
  <w:style w:type="paragraph" w:customStyle="1" w:styleId="ColorfulShading-Accent11">
    <w:name w:val="Colorful Shading - Accent 11"/>
    <w:hidden/>
    <w:uiPriority w:val="99"/>
    <w:semiHidden/>
    <w:rsid w:val="005F1027"/>
    <w:rPr>
      <w:rFonts w:ascii="Arial" w:eastAsia="Calibri" w:hAnsi="Arial"/>
      <w:sz w:val="24"/>
      <w:szCs w:val="22"/>
      <w:lang w:val="en-US"/>
    </w:rPr>
  </w:style>
  <w:style w:type="paragraph" w:styleId="FootnoteText">
    <w:name w:val="footnote text"/>
    <w:basedOn w:val="Normal"/>
    <w:link w:val="FootnoteTextChar"/>
    <w:uiPriority w:val="99"/>
    <w:unhideWhenUsed/>
    <w:rsid w:val="00411AAB"/>
    <w:pPr>
      <w:widowControl w:val="0"/>
      <w:spacing w:after="0" w:line="240" w:lineRule="auto"/>
    </w:pPr>
    <w:rPr>
      <w:rFonts w:ascii="Calibri" w:hAnsi="Calibri"/>
    </w:rPr>
  </w:style>
  <w:style w:type="character" w:customStyle="1" w:styleId="FootnoteTextChar">
    <w:name w:val="Footnote Text Char"/>
    <w:link w:val="FootnoteText"/>
    <w:uiPriority w:val="99"/>
    <w:rsid w:val="00411AAB"/>
    <w:rPr>
      <w:rFonts w:ascii="Calibri" w:eastAsia="Calibri" w:hAnsi="Calibri"/>
      <w:sz w:val="24"/>
      <w:szCs w:val="24"/>
      <w:lang w:val="en-US" w:eastAsia="en-US"/>
    </w:rPr>
  </w:style>
  <w:style w:type="character" w:styleId="FootnoteReference">
    <w:name w:val="footnote reference"/>
    <w:uiPriority w:val="99"/>
    <w:unhideWhenUsed/>
    <w:rsid w:val="00411AAB"/>
    <w:rPr>
      <w:vertAlign w:val="superscript"/>
    </w:rPr>
  </w:style>
  <w:style w:type="paragraph" w:customStyle="1" w:styleId="Basepara">
    <w:name w:val="&gt; Base para"/>
    <w:basedOn w:val="Normal"/>
    <w:qFormat/>
    <w:rsid w:val="00411AAB"/>
    <w:pPr>
      <w:spacing w:after="80"/>
    </w:pPr>
    <w:rPr>
      <w:rFonts w:cs="Arial"/>
    </w:rPr>
  </w:style>
  <w:style w:type="paragraph" w:customStyle="1" w:styleId="Parasection">
    <w:name w:val="&gt; Para (section)"/>
    <w:basedOn w:val="Normal"/>
    <w:qFormat/>
    <w:rsid w:val="00127ADE"/>
    <w:pPr>
      <w:spacing w:after="640"/>
    </w:pPr>
  </w:style>
  <w:style w:type="paragraph" w:customStyle="1" w:styleId="Parabase">
    <w:name w:val="&gt; Para (base)"/>
    <w:basedOn w:val="Normal"/>
    <w:qFormat/>
    <w:rsid w:val="00D21EFB"/>
    <w:pPr>
      <w:spacing w:line="264" w:lineRule="auto"/>
    </w:pPr>
    <w:rPr>
      <w:rFonts w:cs="Arial"/>
    </w:rPr>
  </w:style>
  <w:style w:type="paragraph" w:customStyle="1" w:styleId="L4Headers">
    <w:name w:val="&gt; L4 Headers"/>
    <w:basedOn w:val="Parabase"/>
    <w:qFormat/>
    <w:rsid w:val="006C0561"/>
    <w:pPr>
      <w:keepNext/>
      <w:spacing w:before="240"/>
      <w:outlineLvl w:val="3"/>
    </w:pPr>
    <w:rPr>
      <w:b/>
    </w:rPr>
  </w:style>
  <w:style w:type="paragraph" w:customStyle="1" w:styleId="L1Headers">
    <w:name w:val="&gt; L1 Headers"/>
    <w:basedOn w:val="Heading1"/>
    <w:qFormat/>
    <w:rsid w:val="00921E87"/>
    <w:pPr>
      <w:keepLines/>
      <w:numPr>
        <w:numId w:val="30"/>
      </w:numPr>
      <w:spacing w:before="0" w:after="1280"/>
      <w:ind w:left="1134" w:hanging="1134"/>
    </w:pPr>
    <w:rPr>
      <w:rFonts w:ascii="Georgia" w:eastAsia="Times New Roman" w:hAnsi="Georgia" w:cs="Times New Roman"/>
      <w:b w:val="0"/>
      <w:color w:val="auto"/>
      <w:kern w:val="0"/>
      <w:sz w:val="56"/>
      <w:szCs w:val="56"/>
      <w:lang w:eastAsia="en-GB"/>
    </w:rPr>
  </w:style>
  <w:style w:type="paragraph" w:customStyle="1" w:styleId="Parass">
    <w:name w:val="&gt; Para (ss)"/>
    <w:basedOn w:val="Parasection"/>
    <w:qFormat/>
    <w:rsid w:val="00127ADE"/>
    <w:pPr>
      <w:spacing w:after="360"/>
    </w:pPr>
  </w:style>
  <w:style w:type="paragraph" w:styleId="Subtitle">
    <w:name w:val="Subtitle"/>
    <w:basedOn w:val="Normal"/>
    <w:next w:val="Normal"/>
    <w:link w:val="SubtitleChar"/>
    <w:qFormat/>
    <w:rsid w:val="007A58B0"/>
    <w:pPr>
      <w:spacing w:after="240" w:line="288" w:lineRule="auto"/>
    </w:pPr>
    <w:rPr>
      <w:rFonts w:ascii="Georgia" w:hAnsi="Georgia" w:cs="Arial"/>
      <w:sz w:val="52"/>
      <w:szCs w:val="52"/>
      <w:lang w:eastAsia="en-GB"/>
    </w:rPr>
  </w:style>
  <w:style w:type="character" w:customStyle="1" w:styleId="SubtitleChar">
    <w:name w:val="Subtitle Char"/>
    <w:link w:val="Subtitle"/>
    <w:rsid w:val="007A58B0"/>
    <w:rPr>
      <w:rFonts w:ascii="Georgia" w:eastAsia="Calibri" w:hAnsi="Georgia" w:cs="Arial"/>
      <w:sz w:val="52"/>
      <w:szCs w:val="52"/>
      <w:lang w:eastAsia="en-GB"/>
    </w:rPr>
  </w:style>
  <w:style w:type="paragraph" w:customStyle="1" w:styleId="ID">
    <w:name w:val="ID"/>
    <w:basedOn w:val="Title"/>
    <w:uiPriority w:val="1"/>
    <w:qFormat/>
    <w:rsid w:val="00272CC5"/>
    <w:pPr>
      <w:widowControl w:val="0"/>
      <w:spacing w:after="720" w:line="312" w:lineRule="auto"/>
    </w:pPr>
    <w:rPr>
      <w:rFonts w:ascii="Arial" w:eastAsia="Georgia" w:cs="Georgia"/>
      <w:color w:val="E2007A"/>
      <w:sz w:val="28"/>
      <w:szCs w:val="28"/>
    </w:rPr>
  </w:style>
  <w:style w:type="paragraph" w:customStyle="1" w:styleId="L2Headers">
    <w:name w:val="&gt; L2 Headers"/>
    <w:basedOn w:val="Heading2"/>
    <w:qFormat/>
    <w:rsid w:val="00D11DDC"/>
    <w:pPr>
      <w:keepLines/>
      <w:pBdr>
        <w:bottom w:val="dotted" w:sz="4" w:space="1" w:color="auto"/>
      </w:pBdr>
      <w:spacing w:before="640" w:after="320" w:line="312" w:lineRule="auto"/>
    </w:pPr>
    <w:rPr>
      <w:rFonts w:ascii="Arial" w:eastAsia="Times New Roman" w:hAnsi="Arial" w:cs="Times New Roman"/>
      <w:iCs w:val="0"/>
      <w:sz w:val="28"/>
      <w:szCs w:val="26"/>
    </w:rPr>
  </w:style>
  <w:style w:type="paragraph" w:customStyle="1" w:styleId="L3Heading">
    <w:name w:val="&gt; L3 Heading"/>
    <w:basedOn w:val="Normal"/>
    <w:qFormat/>
    <w:rsid w:val="00921E87"/>
    <w:pPr>
      <w:keepNext/>
      <w:spacing w:before="240"/>
      <w:outlineLvl w:val="2"/>
    </w:pPr>
    <w:rPr>
      <w:rFonts w:cs="Arial"/>
      <w:b/>
      <w:color w:val="E2007A"/>
      <w:sz w:val="26"/>
      <w:szCs w:val="28"/>
      <w:lang w:eastAsia="en-GB"/>
    </w:rPr>
  </w:style>
  <w:style w:type="character" w:styleId="Strong">
    <w:name w:val="Strong"/>
    <w:basedOn w:val="DefaultParagraphFont"/>
    <w:qFormat/>
    <w:rsid w:val="00921E87"/>
    <w:rPr>
      <w:b/>
      <w:bCs/>
    </w:rPr>
  </w:style>
  <w:style w:type="table" w:styleId="TableGrid">
    <w:name w:val="Table Grid"/>
    <w:basedOn w:val="TableNormal"/>
    <w:rsid w:val="0092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B7228"/>
    <w:rPr>
      <w:i/>
      <w:iCs/>
    </w:rPr>
  </w:style>
  <w:style w:type="character" w:customStyle="1" w:styleId="Heading5Char">
    <w:name w:val="Heading 5 Char"/>
    <w:basedOn w:val="DefaultParagraphFont"/>
    <w:link w:val="Heading5"/>
    <w:uiPriority w:val="9"/>
    <w:semiHidden/>
    <w:rsid w:val="00D21EFB"/>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rsid w:val="004F1CE7"/>
    <w:pPr>
      <w:ind w:left="720"/>
    </w:pPr>
  </w:style>
  <w:style w:type="paragraph" w:styleId="TOC5">
    <w:name w:val="toc 5"/>
    <w:basedOn w:val="Normal"/>
    <w:next w:val="Normal"/>
    <w:autoRedefine/>
    <w:rsid w:val="004F1CE7"/>
    <w:pPr>
      <w:ind w:left="960"/>
    </w:pPr>
  </w:style>
  <w:style w:type="paragraph" w:styleId="TOC6">
    <w:name w:val="toc 6"/>
    <w:basedOn w:val="Normal"/>
    <w:next w:val="Normal"/>
    <w:autoRedefine/>
    <w:rsid w:val="004F1CE7"/>
    <w:pPr>
      <w:ind w:left="1200"/>
    </w:pPr>
  </w:style>
  <w:style w:type="paragraph" w:styleId="TOC7">
    <w:name w:val="toc 7"/>
    <w:basedOn w:val="Normal"/>
    <w:next w:val="Normal"/>
    <w:autoRedefine/>
    <w:rsid w:val="004F1CE7"/>
    <w:pPr>
      <w:ind w:left="1440"/>
    </w:pPr>
  </w:style>
  <w:style w:type="paragraph" w:styleId="TOC8">
    <w:name w:val="toc 8"/>
    <w:basedOn w:val="Normal"/>
    <w:next w:val="Normal"/>
    <w:autoRedefine/>
    <w:rsid w:val="004F1CE7"/>
    <w:pPr>
      <w:ind w:left="1680"/>
    </w:pPr>
  </w:style>
  <w:style w:type="paragraph" w:styleId="TOC9">
    <w:name w:val="toc 9"/>
    <w:basedOn w:val="Normal"/>
    <w:next w:val="Normal"/>
    <w:autoRedefine/>
    <w:rsid w:val="004F1CE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3273">
      <w:bodyDiv w:val="1"/>
      <w:marLeft w:val="0"/>
      <w:marRight w:val="0"/>
      <w:marTop w:val="0"/>
      <w:marBottom w:val="0"/>
      <w:divBdr>
        <w:top w:val="none" w:sz="0" w:space="0" w:color="auto"/>
        <w:left w:val="none" w:sz="0" w:space="0" w:color="auto"/>
        <w:bottom w:val="none" w:sz="0" w:space="0" w:color="auto"/>
        <w:right w:val="none" w:sz="0" w:space="0" w:color="auto"/>
      </w:divBdr>
    </w:div>
    <w:div w:id="174143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v.uk/government/publications/discrimination-and-other-prohibited-conduct-complaints-questionnaire" TargetMode="External"/><Relationship Id="rId26" Type="http://schemas.openxmlformats.org/officeDocument/2006/relationships/hyperlink" Target="http://www.cas.org.uk" TargetMode="External"/><Relationship Id="rId39" Type="http://schemas.openxmlformats.org/officeDocument/2006/relationships/hyperlink" Target="mailto:advice@crae.org.uk" TargetMode="External"/><Relationship Id="rId21" Type="http://schemas.openxmlformats.org/officeDocument/2006/relationships/hyperlink" Target="http://www.advicenow.org.uk/" TargetMode="External"/><Relationship Id="rId34" Type="http://schemas.openxmlformats.org/officeDocument/2006/relationships/hyperlink" Target="http://www.ageuk.org.uk" TargetMode="External"/><Relationship Id="rId42" Type="http://schemas.openxmlformats.org/officeDocument/2006/relationships/hyperlink" Target="mailto:info@carers.org" TargetMode="External"/><Relationship Id="rId47" Type="http://schemas.openxmlformats.org/officeDocument/2006/relationships/hyperlink" Target="mailto:information@mencap.org.uk" TargetMode="External"/><Relationship Id="rId50" Type="http://schemas.openxmlformats.org/officeDocument/2006/relationships/hyperlink" Target="http://disabilityrightsuk.org/" TargetMode="External"/><Relationship Id="rId55" Type="http://schemas.openxmlformats.org/officeDocument/2006/relationships/hyperlink" Target="mailto:helpline@rnib.org.uk" TargetMode="External"/><Relationship Id="rId63" Type="http://schemas.openxmlformats.org/officeDocument/2006/relationships/hyperlink" Target="http://www.gingerbread.org.uk" TargetMode="External"/><Relationship Id="rId68" Type="http://schemas.openxmlformats.org/officeDocument/2006/relationships/hyperlink" Target="http://www.womensaid.org.uk" TargetMode="External"/><Relationship Id="rId76" Type="http://schemas.openxmlformats.org/officeDocument/2006/relationships/hyperlink" Target="mailto:office@pfc.org.uk" TargetMode="External"/><Relationship Id="rId84" Type="http://schemas.openxmlformats.org/officeDocument/2006/relationships/hyperlink" Target="http://www.lgf.org.uk" TargetMode="External"/><Relationship Id="rId89" Type="http://schemas.openxmlformats.org/officeDocument/2006/relationships/hyperlink" Target="http://www.equalityadvisoryservice.com" TargetMode="External"/><Relationship Id="rId7" Type="http://schemas.openxmlformats.org/officeDocument/2006/relationships/endnotes" Target="endnotes.xml"/><Relationship Id="rId71" Type="http://schemas.openxmlformats.org/officeDocument/2006/relationships/hyperlink" Target="http://www.gires.org.uk" TargetMode="External"/><Relationship Id="rId92" Type="http://schemas.openxmlformats.org/officeDocument/2006/relationships/hyperlink" Target="mailto:correspondence@equalityhumanrights.com" TargetMode="External"/><Relationship Id="rId2" Type="http://schemas.openxmlformats.org/officeDocument/2006/relationships/numbering" Target="numbering.xml"/><Relationship Id="rId16" Type="http://schemas.openxmlformats.org/officeDocument/2006/relationships/hyperlink" Target="http://www.justice.gov.uk/courts/mediation" TargetMode="External"/><Relationship Id="rId29" Type="http://schemas.openxmlformats.org/officeDocument/2006/relationships/hyperlink" Target="http://www.equalities.gov.uk" TargetMode="External"/><Relationship Id="rId11" Type="http://schemas.openxmlformats.org/officeDocument/2006/relationships/header" Target="header2.xml"/><Relationship Id="rId24" Type="http://schemas.openxmlformats.org/officeDocument/2006/relationships/hyperlink" Target="http://www.citizensadvice.org.uk" TargetMode="External"/><Relationship Id="rId32" Type="http://schemas.openxmlformats.org/officeDocument/2006/relationships/hyperlink" Target="mailto:wales@lawsociety.org.uk" TargetMode="External"/><Relationship Id="rId37" Type="http://schemas.openxmlformats.org/officeDocument/2006/relationships/hyperlink" Target="http://www.childrenslegalcentre.com" TargetMode="External"/><Relationship Id="rId40" Type="http://schemas.openxmlformats.org/officeDocument/2006/relationships/hyperlink" Target="http://www.carers.org" TargetMode="External"/><Relationship Id="rId45" Type="http://schemas.openxmlformats.org/officeDocument/2006/relationships/hyperlink" Target="http://www.dls.org.uk" TargetMode="External"/><Relationship Id="rId53" Type="http://schemas.openxmlformats.org/officeDocument/2006/relationships/hyperlink" Target="mailto:advice@rethink.org" TargetMode="External"/><Relationship Id="rId58" Type="http://schemas.openxmlformats.org/officeDocument/2006/relationships/hyperlink" Target="mailto:tinnitushelpline@hearingloss.org.uk" TargetMode="External"/><Relationship Id="rId66" Type="http://schemas.openxmlformats.org/officeDocument/2006/relationships/hyperlink" Target="http://www.row.org.uk" TargetMode="External"/><Relationship Id="rId74" Type="http://schemas.openxmlformats.org/officeDocument/2006/relationships/hyperlink" Target="mailto:nfo@gendertrust.org.uk" TargetMode="External"/><Relationship Id="rId79" Type="http://schemas.openxmlformats.org/officeDocument/2006/relationships/hyperlink" Target="mailto:contact@akt.org.uk" TargetMode="External"/><Relationship Id="rId87" Type="http://schemas.openxmlformats.org/officeDocument/2006/relationships/hyperlink" Target="mailto:info@stonewall.org.uk" TargetMode="External"/><Relationship Id="rId5" Type="http://schemas.openxmlformats.org/officeDocument/2006/relationships/webSettings" Target="webSettings.xml"/><Relationship Id="rId61" Type="http://schemas.openxmlformats.org/officeDocument/2006/relationships/hyperlink" Target="http://www.tht.org.uk" TargetMode="External"/><Relationship Id="rId82" Type="http://schemas.openxmlformats.org/officeDocument/2006/relationships/hyperlink" Target="http://www.galop.org.uk" TargetMode="External"/><Relationship Id="rId90" Type="http://schemas.openxmlformats.org/officeDocument/2006/relationships/hyperlink" Target="mailto:correspondence@equalityhumanrights.com" TargetMode="External"/><Relationship Id="rId95" Type="http://schemas.openxmlformats.org/officeDocument/2006/relationships/fontTable" Target="fontTable.xml"/><Relationship Id="rId19" Type="http://schemas.openxmlformats.org/officeDocument/2006/relationships/hyperlink" Target="https://www.gov.uk/government/publications/asking-and-responding-to-questions-of-discrimination-in-the-provision-of-goods-and-services-and-public-functions" TargetMode="External"/><Relationship Id="rId14" Type="http://schemas.openxmlformats.org/officeDocument/2006/relationships/hyperlink" Target="http://www.rnib.org.uk/professionals/webaccessibility/Pages/web_accessibility.aspx" TargetMode="External"/><Relationship Id="rId22" Type="http://schemas.openxmlformats.org/officeDocument/2006/relationships/hyperlink" Target="http://www.adviceuk.org.uk" TargetMode="External"/><Relationship Id="rId27" Type="http://schemas.openxmlformats.org/officeDocument/2006/relationships/hyperlink" Target="http://www.gov.uk/civil-legal-advice" TargetMode="External"/><Relationship Id="rId30" Type="http://schemas.openxmlformats.org/officeDocument/2006/relationships/hyperlink" Target="http://www.lawcentres.org.uk" TargetMode="External"/><Relationship Id="rId35" Type="http://schemas.openxmlformats.org/officeDocument/2006/relationships/hyperlink" Target="mailto:contact@ageuk.org.uk" TargetMode="External"/><Relationship Id="rId43" Type="http://schemas.openxmlformats.org/officeDocument/2006/relationships/hyperlink" Target="http://www.carersuk.org" TargetMode="External"/><Relationship Id="rId48" Type="http://schemas.openxmlformats.org/officeDocument/2006/relationships/hyperlink" Target="http://www.mind.org.uk" TargetMode="External"/><Relationship Id="rId56" Type="http://schemas.openxmlformats.org/officeDocument/2006/relationships/hyperlink" Target="http://www.actiononhearingloss.org.uk" TargetMode="External"/><Relationship Id="rId64" Type="http://schemas.openxmlformats.org/officeDocument/2006/relationships/hyperlink" Target="mailto:info@gingerbread.org.uk" TargetMode="External"/><Relationship Id="rId69" Type="http://schemas.openxmlformats.org/officeDocument/2006/relationships/hyperlink" Target="mailto:info@womensaid.org.uk" TargetMode="External"/><Relationship Id="rId77" Type="http://schemas.openxmlformats.org/officeDocument/2006/relationships/hyperlink" Target="http://www.interfaith.org.uk" TargetMode="External"/><Relationship Id="rId8" Type="http://schemas.openxmlformats.org/officeDocument/2006/relationships/header" Target="header1.xml"/><Relationship Id="rId51" Type="http://schemas.openxmlformats.org/officeDocument/2006/relationships/hyperlink" Target="mailto:enquiries@disabilityrightsuk.org" TargetMode="External"/><Relationship Id="rId72" Type="http://schemas.openxmlformats.org/officeDocument/2006/relationships/hyperlink" Target="mailto:info@gires.org.uk" TargetMode="External"/><Relationship Id="rId80" Type="http://schemas.openxmlformats.org/officeDocument/2006/relationships/hyperlink" Target="http://www.equality-network.org" TargetMode="External"/><Relationship Id="rId85" Type="http://schemas.openxmlformats.org/officeDocument/2006/relationships/hyperlink" Target="mailto:info@lgf.org.uk" TargetMode="External"/><Relationship Id="rId93"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scottishmediation.org.uk/" TargetMode="External"/><Relationship Id="rId25" Type="http://schemas.openxmlformats.org/officeDocument/2006/relationships/hyperlink" Target="http://www.adviceguide.org.uk/" TargetMode="External"/><Relationship Id="rId33" Type="http://schemas.openxmlformats.org/officeDocument/2006/relationships/hyperlink" Target="http://www.scotlawcentres.blogspot.com" TargetMode="External"/><Relationship Id="rId38" Type="http://schemas.openxmlformats.org/officeDocument/2006/relationships/hyperlink" Target="mailto:info@crae.org.uk" TargetMode="External"/><Relationship Id="rId46" Type="http://schemas.openxmlformats.org/officeDocument/2006/relationships/hyperlink" Target="http://www.mencap.org.uk" TargetMode="External"/><Relationship Id="rId59" Type="http://schemas.openxmlformats.org/officeDocument/2006/relationships/hyperlink" Target="http://www.scope.org.uk" TargetMode="External"/><Relationship Id="rId67" Type="http://schemas.openxmlformats.org/officeDocument/2006/relationships/hyperlink" Target="mailto:info@row.org.uk" TargetMode="External"/><Relationship Id="rId20" Type="http://schemas.openxmlformats.org/officeDocument/2006/relationships/hyperlink" Target="https://www.equalityadvisoryservice.com" TargetMode="External"/><Relationship Id="rId41" Type="http://schemas.openxmlformats.org/officeDocument/2006/relationships/hyperlink" Target="http://www.youngcarers.net" TargetMode="External"/><Relationship Id="rId54" Type="http://schemas.openxmlformats.org/officeDocument/2006/relationships/hyperlink" Target="http://www.rnib.org.uk" TargetMode="External"/><Relationship Id="rId62" Type="http://schemas.openxmlformats.org/officeDocument/2006/relationships/hyperlink" Target="mailto:info@tht.org.uk" TargetMode="External"/><Relationship Id="rId70" Type="http://schemas.openxmlformats.org/officeDocument/2006/relationships/hyperlink" Target="mailto:helpline@womensaid.org.uk" TargetMode="External"/><Relationship Id="rId75" Type="http://schemas.openxmlformats.org/officeDocument/2006/relationships/hyperlink" Target="http://www.pfc.org.uk" TargetMode="External"/><Relationship Id="rId83" Type="http://schemas.openxmlformats.org/officeDocument/2006/relationships/hyperlink" Target="mailto:info@galop.org.uk" TargetMode="External"/><Relationship Id="rId88" Type="http://schemas.openxmlformats.org/officeDocument/2006/relationships/hyperlink" Target="http://www.equalityhumanrights.com" TargetMode="External"/><Relationship Id="rId91" Type="http://schemas.openxmlformats.org/officeDocument/2006/relationships/hyperlink" Target="http://www.equalityhumanrights.c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qualityadvisoryservice.com/" TargetMode="External"/><Relationship Id="rId23" Type="http://schemas.openxmlformats.org/officeDocument/2006/relationships/hyperlink" Target="mailto:mail@adviceuk.org.uk" TargetMode="External"/><Relationship Id="rId28" Type="http://schemas.openxmlformats.org/officeDocument/2006/relationships/hyperlink" Target="http://www.direct.gov.uk" TargetMode="External"/><Relationship Id="rId36" Type="http://schemas.openxmlformats.org/officeDocument/2006/relationships/hyperlink" Target="http://www.childline.org.uk" TargetMode="External"/><Relationship Id="rId49" Type="http://schemas.openxmlformats.org/officeDocument/2006/relationships/hyperlink" Target="mailto:legal@mind.org.uk" TargetMode="External"/><Relationship Id="rId57" Type="http://schemas.openxmlformats.org/officeDocument/2006/relationships/hyperlink" Target="mailto:informationline@hearingloss.org.uk" TargetMode="External"/><Relationship Id="rId10" Type="http://schemas.openxmlformats.org/officeDocument/2006/relationships/footer" Target="footer2.xml"/><Relationship Id="rId31" Type="http://schemas.openxmlformats.org/officeDocument/2006/relationships/hyperlink" Target="http://www.lawsociety.org.uk" TargetMode="External"/><Relationship Id="rId44" Type="http://schemas.openxmlformats.org/officeDocument/2006/relationships/hyperlink" Target="mailto:info@carersuk.org" TargetMode="External"/><Relationship Id="rId52" Type="http://schemas.openxmlformats.org/officeDocument/2006/relationships/hyperlink" Target="http://www.rethink.org" TargetMode="External"/><Relationship Id="rId60" Type="http://schemas.openxmlformats.org/officeDocument/2006/relationships/hyperlink" Target="mailto:response@scope.org.uk?subject=From%20the%20website%20Contact%20us%20page" TargetMode="External"/><Relationship Id="rId65" Type="http://schemas.openxmlformats.org/officeDocument/2006/relationships/hyperlink" Target="http://www.maternityaction.org.uk" TargetMode="External"/><Relationship Id="rId73" Type="http://schemas.openxmlformats.org/officeDocument/2006/relationships/hyperlink" Target="http://www.gendertrust.org.uk" TargetMode="External"/><Relationship Id="rId78" Type="http://schemas.openxmlformats.org/officeDocument/2006/relationships/hyperlink" Target="http://www.akt.org.uk" TargetMode="External"/><Relationship Id="rId81" Type="http://schemas.openxmlformats.org/officeDocument/2006/relationships/hyperlink" Target="mailto:en@equality-network.org" TargetMode="External"/><Relationship Id="rId86" Type="http://schemas.openxmlformats.org/officeDocument/2006/relationships/hyperlink" Target="http://www.stonewall.org.uk"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E18D-39EA-4944-A5D4-2FE2FDB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23310</Words>
  <Characters>132873</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Your rights to equality from healthcare and social care services</vt:lpstr>
    </vt:vector>
  </TitlesOfParts>
  <Company/>
  <LinksUpToDate>false</LinksUpToDate>
  <CharactersWithSpaces>155872</CharactersWithSpaces>
  <SharedDoc>false</SharedDoc>
  <HLinks>
    <vt:vector size="408" baseType="variant">
      <vt:variant>
        <vt:i4>7995451</vt:i4>
      </vt:variant>
      <vt:variant>
        <vt:i4>384</vt:i4>
      </vt:variant>
      <vt:variant>
        <vt:i4>0</vt:i4>
      </vt:variant>
      <vt:variant>
        <vt:i4>5</vt:i4>
      </vt:variant>
      <vt:variant>
        <vt:lpwstr>mailto:correspondence@equalityhumanrights.com</vt:lpwstr>
      </vt:variant>
      <vt:variant>
        <vt:lpwstr/>
      </vt:variant>
      <vt:variant>
        <vt:i4>3407972</vt:i4>
      </vt:variant>
      <vt:variant>
        <vt:i4>381</vt:i4>
      </vt:variant>
      <vt:variant>
        <vt:i4>0</vt:i4>
      </vt:variant>
      <vt:variant>
        <vt:i4>5</vt:i4>
      </vt:variant>
      <vt:variant>
        <vt:lpwstr>http://www.equalityhumanrights.com</vt:lpwstr>
      </vt:variant>
      <vt:variant>
        <vt:lpwstr/>
      </vt:variant>
      <vt:variant>
        <vt:i4>7012373</vt:i4>
      </vt:variant>
      <vt:variant>
        <vt:i4>378</vt:i4>
      </vt:variant>
      <vt:variant>
        <vt:i4>0</vt:i4>
      </vt:variant>
      <vt:variant>
        <vt:i4>5</vt:i4>
      </vt:variant>
      <vt:variant>
        <vt:lpwstr>https://www.gov.uk/government/publications/asking-and-responding-to-questions-of-discrimination-in-the-provision-of-goods-and-services-and-public-functions</vt:lpwstr>
      </vt:variant>
      <vt:variant>
        <vt:lpwstr/>
      </vt:variant>
      <vt:variant>
        <vt:i4>3407948</vt:i4>
      </vt:variant>
      <vt:variant>
        <vt:i4>375</vt:i4>
      </vt:variant>
      <vt:variant>
        <vt:i4>0</vt:i4>
      </vt:variant>
      <vt:variant>
        <vt:i4>5</vt:i4>
      </vt:variant>
      <vt:variant>
        <vt:lpwstr>https://www.gov.uk/government/publications/discrimination-and-other-prohibited-conduct-complaints-questionnaire</vt:lpwstr>
      </vt:variant>
      <vt:variant>
        <vt:lpwstr/>
      </vt:variant>
      <vt:variant>
        <vt:i4>852040</vt:i4>
      </vt:variant>
      <vt:variant>
        <vt:i4>372</vt:i4>
      </vt:variant>
      <vt:variant>
        <vt:i4>0</vt:i4>
      </vt:variant>
      <vt:variant>
        <vt:i4>5</vt:i4>
      </vt:variant>
      <vt:variant>
        <vt:lpwstr>http://www.scottishmediation.org.uk/</vt:lpwstr>
      </vt:variant>
      <vt:variant>
        <vt:lpwstr/>
      </vt:variant>
      <vt:variant>
        <vt:i4>7602284</vt:i4>
      </vt:variant>
      <vt:variant>
        <vt:i4>369</vt:i4>
      </vt:variant>
      <vt:variant>
        <vt:i4>0</vt:i4>
      </vt:variant>
      <vt:variant>
        <vt:i4>5</vt:i4>
      </vt:variant>
      <vt:variant>
        <vt:lpwstr>http://www.justice.gov.uk/courts/mediation</vt:lpwstr>
      </vt:variant>
      <vt:variant>
        <vt:lpwstr/>
      </vt:variant>
      <vt:variant>
        <vt:i4>5046365</vt:i4>
      </vt:variant>
      <vt:variant>
        <vt:i4>366</vt:i4>
      </vt:variant>
      <vt:variant>
        <vt:i4>0</vt:i4>
      </vt:variant>
      <vt:variant>
        <vt:i4>5</vt:i4>
      </vt:variant>
      <vt:variant>
        <vt:lpwstr>https://www.equalityadvisoryservice.com/</vt:lpwstr>
      </vt:variant>
      <vt:variant>
        <vt:lpwstr/>
      </vt:variant>
      <vt:variant>
        <vt:i4>5439528</vt:i4>
      </vt:variant>
      <vt:variant>
        <vt:i4>363</vt:i4>
      </vt:variant>
      <vt:variant>
        <vt:i4>0</vt:i4>
      </vt:variant>
      <vt:variant>
        <vt:i4>5</vt:i4>
      </vt:variant>
      <vt:variant>
        <vt:lpwstr>http://www.rnib.org.uk/professionals/webaccessibility/Pages/web_accessibility.aspx</vt:lpwstr>
      </vt:variant>
      <vt:variant>
        <vt:lpwstr/>
      </vt:variant>
      <vt:variant>
        <vt:i4>1507340</vt:i4>
      </vt:variant>
      <vt:variant>
        <vt:i4>356</vt:i4>
      </vt:variant>
      <vt:variant>
        <vt:i4>0</vt:i4>
      </vt:variant>
      <vt:variant>
        <vt:i4>5</vt:i4>
      </vt:variant>
      <vt:variant>
        <vt:lpwstr/>
      </vt:variant>
      <vt:variant>
        <vt:lpwstr>_Toc288638366</vt:lpwstr>
      </vt:variant>
      <vt:variant>
        <vt:i4>1507343</vt:i4>
      </vt:variant>
      <vt:variant>
        <vt:i4>350</vt:i4>
      </vt:variant>
      <vt:variant>
        <vt:i4>0</vt:i4>
      </vt:variant>
      <vt:variant>
        <vt:i4>5</vt:i4>
      </vt:variant>
      <vt:variant>
        <vt:lpwstr/>
      </vt:variant>
      <vt:variant>
        <vt:lpwstr>_Toc288638365</vt:lpwstr>
      </vt:variant>
      <vt:variant>
        <vt:i4>1507342</vt:i4>
      </vt:variant>
      <vt:variant>
        <vt:i4>344</vt:i4>
      </vt:variant>
      <vt:variant>
        <vt:i4>0</vt:i4>
      </vt:variant>
      <vt:variant>
        <vt:i4>5</vt:i4>
      </vt:variant>
      <vt:variant>
        <vt:lpwstr/>
      </vt:variant>
      <vt:variant>
        <vt:lpwstr>_Toc288638364</vt:lpwstr>
      </vt:variant>
      <vt:variant>
        <vt:i4>1507337</vt:i4>
      </vt:variant>
      <vt:variant>
        <vt:i4>338</vt:i4>
      </vt:variant>
      <vt:variant>
        <vt:i4>0</vt:i4>
      </vt:variant>
      <vt:variant>
        <vt:i4>5</vt:i4>
      </vt:variant>
      <vt:variant>
        <vt:lpwstr/>
      </vt:variant>
      <vt:variant>
        <vt:lpwstr>_Toc288638363</vt:lpwstr>
      </vt:variant>
      <vt:variant>
        <vt:i4>1507336</vt:i4>
      </vt:variant>
      <vt:variant>
        <vt:i4>332</vt:i4>
      </vt:variant>
      <vt:variant>
        <vt:i4>0</vt:i4>
      </vt:variant>
      <vt:variant>
        <vt:i4>5</vt:i4>
      </vt:variant>
      <vt:variant>
        <vt:lpwstr/>
      </vt:variant>
      <vt:variant>
        <vt:lpwstr>_Toc288638362</vt:lpwstr>
      </vt:variant>
      <vt:variant>
        <vt:i4>1507339</vt:i4>
      </vt:variant>
      <vt:variant>
        <vt:i4>326</vt:i4>
      </vt:variant>
      <vt:variant>
        <vt:i4>0</vt:i4>
      </vt:variant>
      <vt:variant>
        <vt:i4>5</vt:i4>
      </vt:variant>
      <vt:variant>
        <vt:lpwstr/>
      </vt:variant>
      <vt:variant>
        <vt:lpwstr>_Toc288638361</vt:lpwstr>
      </vt:variant>
      <vt:variant>
        <vt:i4>1507338</vt:i4>
      </vt:variant>
      <vt:variant>
        <vt:i4>320</vt:i4>
      </vt:variant>
      <vt:variant>
        <vt:i4>0</vt:i4>
      </vt:variant>
      <vt:variant>
        <vt:i4>5</vt:i4>
      </vt:variant>
      <vt:variant>
        <vt:lpwstr/>
      </vt:variant>
      <vt:variant>
        <vt:lpwstr>_Toc288638360</vt:lpwstr>
      </vt:variant>
      <vt:variant>
        <vt:i4>1310723</vt:i4>
      </vt:variant>
      <vt:variant>
        <vt:i4>314</vt:i4>
      </vt:variant>
      <vt:variant>
        <vt:i4>0</vt:i4>
      </vt:variant>
      <vt:variant>
        <vt:i4>5</vt:i4>
      </vt:variant>
      <vt:variant>
        <vt:lpwstr/>
      </vt:variant>
      <vt:variant>
        <vt:lpwstr>_Toc288638359</vt:lpwstr>
      </vt:variant>
      <vt:variant>
        <vt:i4>1310722</vt:i4>
      </vt:variant>
      <vt:variant>
        <vt:i4>308</vt:i4>
      </vt:variant>
      <vt:variant>
        <vt:i4>0</vt:i4>
      </vt:variant>
      <vt:variant>
        <vt:i4>5</vt:i4>
      </vt:variant>
      <vt:variant>
        <vt:lpwstr/>
      </vt:variant>
      <vt:variant>
        <vt:lpwstr>_Toc288638358</vt:lpwstr>
      </vt:variant>
      <vt:variant>
        <vt:i4>1310733</vt:i4>
      </vt:variant>
      <vt:variant>
        <vt:i4>302</vt:i4>
      </vt:variant>
      <vt:variant>
        <vt:i4>0</vt:i4>
      </vt:variant>
      <vt:variant>
        <vt:i4>5</vt:i4>
      </vt:variant>
      <vt:variant>
        <vt:lpwstr/>
      </vt:variant>
      <vt:variant>
        <vt:lpwstr>_Toc288638357</vt:lpwstr>
      </vt:variant>
      <vt:variant>
        <vt:i4>1310732</vt:i4>
      </vt:variant>
      <vt:variant>
        <vt:i4>296</vt:i4>
      </vt:variant>
      <vt:variant>
        <vt:i4>0</vt:i4>
      </vt:variant>
      <vt:variant>
        <vt:i4>5</vt:i4>
      </vt:variant>
      <vt:variant>
        <vt:lpwstr/>
      </vt:variant>
      <vt:variant>
        <vt:lpwstr>_Toc288638356</vt:lpwstr>
      </vt:variant>
      <vt:variant>
        <vt:i4>1310735</vt:i4>
      </vt:variant>
      <vt:variant>
        <vt:i4>290</vt:i4>
      </vt:variant>
      <vt:variant>
        <vt:i4>0</vt:i4>
      </vt:variant>
      <vt:variant>
        <vt:i4>5</vt:i4>
      </vt:variant>
      <vt:variant>
        <vt:lpwstr/>
      </vt:variant>
      <vt:variant>
        <vt:lpwstr>_Toc288638355</vt:lpwstr>
      </vt:variant>
      <vt:variant>
        <vt:i4>1310734</vt:i4>
      </vt:variant>
      <vt:variant>
        <vt:i4>284</vt:i4>
      </vt:variant>
      <vt:variant>
        <vt:i4>0</vt:i4>
      </vt:variant>
      <vt:variant>
        <vt:i4>5</vt:i4>
      </vt:variant>
      <vt:variant>
        <vt:lpwstr/>
      </vt:variant>
      <vt:variant>
        <vt:lpwstr>_Toc288638354</vt:lpwstr>
      </vt:variant>
      <vt:variant>
        <vt:i4>1310729</vt:i4>
      </vt:variant>
      <vt:variant>
        <vt:i4>278</vt:i4>
      </vt:variant>
      <vt:variant>
        <vt:i4>0</vt:i4>
      </vt:variant>
      <vt:variant>
        <vt:i4>5</vt:i4>
      </vt:variant>
      <vt:variant>
        <vt:lpwstr/>
      </vt:variant>
      <vt:variant>
        <vt:lpwstr>_Toc288638353</vt:lpwstr>
      </vt:variant>
      <vt:variant>
        <vt:i4>1310728</vt:i4>
      </vt:variant>
      <vt:variant>
        <vt:i4>272</vt:i4>
      </vt:variant>
      <vt:variant>
        <vt:i4>0</vt:i4>
      </vt:variant>
      <vt:variant>
        <vt:i4>5</vt:i4>
      </vt:variant>
      <vt:variant>
        <vt:lpwstr/>
      </vt:variant>
      <vt:variant>
        <vt:lpwstr>_Toc288638352</vt:lpwstr>
      </vt:variant>
      <vt:variant>
        <vt:i4>1310731</vt:i4>
      </vt:variant>
      <vt:variant>
        <vt:i4>266</vt:i4>
      </vt:variant>
      <vt:variant>
        <vt:i4>0</vt:i4>
      </vt:variant>
      <vt:variant>
        <vt:i4>5</vt:i4>
      </vt:variant>
      <vt:variant>
        <vt:lpwstr/>
      </vt:variant>
      <vt:variant>
        <vt:lpwstr>_Toc288638351</vt:lpwstr>
      </vt:variant>
      <vt:variant>
        <vt:i4>1310730</vt:i4>
      </vt:variant>
      <vt:variant>
        <vt:i4>260</vt:i4>
      </vt:variant>
      <vt:variant>
        <vt:i4>0</vt:i4>
      </vt:variant>
      <vt:variant>
        <vt:i4>5</vt:i4>
      </vt:variant>
      <vt:variant>
        <vt:lpwstr/>
      </vt:variant>
      <vt:variant>
        <vt:lpwstr>_Toc288638350</vt:lpwstr>
      </vt:variant>
      <vt:variant>
        <vt:i4>1376259</vt:i4>
      </vt:variant>
      <vt:variant>
        <vt:i4>254</vt:i4>
      </vt:variant>
      <vt:variant>
        <vt:i4>0</vt:i4>
      </vt:variant>
      <vt:variant>
        <vt:i4>5</vt:i4>
      </vt:variant>
      <vt:variant>
        <vt:lpwstr/>
      </vt:variant>
      <vt:variant>
        <vt:lpwstr>_Toc288638349</vt:lpwstr>
      </vt:variant>
      <vt:variant>
        <vt:i4>1376258</vt:i4>
      </vt:variant>
      <vt:variant>
        <vt:i4>248</vt:i4>
      </vt:variant>
      <vt:variant>
        <vt:i4>0</vt:i4>
      </vt:variant>
      <vt:variant>
        <vt:i4>5</vt:i4>
      </vt:variant>
      <vt:variant>
        <vt:lpwstr/>
      </vt:variant>
      <vt:variant>
        <vt:lpwstr>_Toc288638348</vt:lpwstr>
      </vt:variant>
      <vt:variant>
        <vt:i4>1376269</vt:i4>
      </vt:variant>
      <vt:variant>
        <vt:i4>242</vt:i4>
      </vt:variant>
      <vt:variant>
        <vt:i4>0</vt:i4>
      </vt:variant>
      <vt:variant>
        <vt:i4>5</vt:i4>
      </vt:variant>
      <vt:variant>
        <vt:lpwstr/>
      </vt:variant>
      <vt:variant>
        <vt:lpwstr>_Toc288638347</vt:lpwstr>
      </vt:variant>
      <vt:variant>
        <vt:i4>1376268</vt:i4>
      </vt:variant>
      <vt:variant>
        <vt:i4>236</vt:i4>
      </vt:variant>
      <vt:variant>
        <vt:i4>0</vt:i4>
      </vt:variant>
      <vt:variant>
        <vt:i4>5</vt:i4>
      </vt:variant>
      <vt:variant>
        <vt:lpwstr/>
      </vt:variant>
      <vt:variant>
        <vt:lpwstr>_Toc288638346</vt:lpwstr>
      </vt:variant>
      <vt:variant>
        <vt:i4>1376271</vt:i4>
      </vt:variant>
      <vt:variant>
        <vt:i4>230</vt:i4>
      </vt:variant>
      <vt:variant>
        <vt:i4>0</vt:i4>
      </vt:variant>
      <vt:variant>
        <vt:i4>5</vt:i4>
      </vt:variant>
      <vt:variant>
        <vt:lpwstr/>
      </vt:variant>
      <vt:variant>
        <vt:lpwstr>_Toc288638345</vt:lpwstr>
      </vt:variant>
      <vt:variant>
        <vt:i4>1376270</vt:i4>
      </vt:variant>
      <vt:variant>
        <vt:i4>224</vt:i4>
      </vt:variant>
      <vt:variant>
        <vt:i4>0</vt:i4>
      </vt:variant>
      <vt:variant>
        <vt:i4>5</vt:i4>
      </vt:variant>
      <vt:variant>
        <vt:lpwstr/>
      </vt:variant>
      <vt:variant>
        <vt:lpwstr>_Toc288638344</vt:lpwstr>
      </vt:variant>
      <vt:variant>
        <vt:i4>1376265</vt:i4>
      </vt:variant>
      <vt:variant>
        <vt:i4>218</vt:i4>
      </vt:variant>
      <vt:variant>
        <vt:i4>0</vt:i4>
      </vt:variant>
      <vt:variant>
        <vt:i4>5</vt:i4>
      </vt:variant>
      <vt:variant>
        <vt:lpwstr/>
      </vt:variant>
      <vt:variant>
        <vt:lpwstr>_Toc288638343</vt:lpwstr>
      </vt:variant>
      <vt:variant>
        <vt:i4>1376264</vt:i4>
      </vt:variant>
      <vt:variant>
        <vt:i4>212</vt:i4>
      </vt:variant>
      <vt:variant>
        <vt:i4>0</vt:i4>
      </vt:variant>
      <vt:variant>
        <vt:i4>5</vt:i4>
      </vt:variant>
      <vt:variant>
        <vt:lpwstr/>
      </vt:variant>
      <vt:variant>
        <vt:lpwstr>_Toc288638342</vt:lpwstr>
      </vt:variant>
      <vt:variant>
        <vt:i4>1376267</vt:i4>
      </vt:variant>
      <vt:variant>
        <vt:i4>206</vt:i4>
      </vt:variant>
      <vt:variant>
        <vt:i4>0</vt:i4>
      </vt:variant>
      <vt:variant>
        <vt:i4>5</vt:i4>
      </vt:variant>
      <vt:variant>
        <vt:lpwstr/>
      </vt:variant>
      <vt:variant>
        <vt:lpwstr>_Toc288638341</vt:lpwstr>
      </vt:variant>
      <vt:variant>
        <vt:i4>1376266</vt:i4>
      </vt:variant>
      <vt:variant>
        <vt:i4>200</vt:i4>
      </vt:variant>
      <vt:variant>
        <vt:i4>0</vt:i4>
      </vt:variant>
      <vt:variant>
        <vt:i4>5</vt:i4>
      </vt:variant>
      <vt:variant>
        <vt:lpwstr/>
      </vt:variant>
      <vt:variant>
        <vt:lpwstr>_Toc288638340</vt:lpwstr>
      </vt:variant>
      <vt:variant>
        <vt:i4>1179651</vt:i4>
      </vt:variant>
      <vt:variant>
        <vt:i4>194</vt:i4>
      </vt:variant>
      <vt:variant>
        <vt:i4>0</vt:i4>
      </vt:variant>
      <vt:variant>
        <vt:i4>5</vt:i4>
      </vt:variant>
      <vt:variant>
        <vt:lpwstr/>
      </vt:variant>
      <vt:variant>
        <vt:lpwstr>_Toc288638339</vt:lpwstr>
      </vt:variant>
      <vt:variant>
        <vt:i4>1179650</vt:i4>
      </vt:variant>
      <vt:variant>
        <vt:i4>188</vt:i4>
      </vt:variant>
      <vt:variant>
        <vt:i4>0</vt:i4>
      </vt:variant>
      <vt:variant>
        <vt:i4>5</vt:i4>
      </vt:variant>
      <vt:variant>
        <vt:lpwstr/>
      </vt:variant>
      <vt:variant>
        <vt:lpwstr>_Toc288638338</vt:lpwstr>
      </vt:variant>
      <vt:variant>
        <vt:i4>1179661</vt:i4>
      </vt:variant>
      <vt:variant>
        <vt:i4>182</vt:i4>
      </vt:variant>
      <vt:variant>
        <vt:i4>0</vt:i4>
      </vt:variant>
      <vt:variant>
        <vt:i4>5</vt:i4>
      </vt:variant>
      <vt:variant>
        <vt:lpwstr/>
      </vt:variant>
      <vt:variant>
        <vt:lpwstr>_Toc288638337</vt:lpwstr>
      </vt:variant>
      <vt:variant>
        <vt:i4>1179660</vt:i4>
      </vt:variant>
      <vt:variant>
        <vt:i4>176</vt:i4>
      </vt:variant>
      <vt:variant>
        <vt:i4>0</vt:i4>
      </vt:variant>
      <vt:variant>
        <vt:i4>5</vt:i4>
      </vt:variant>
      <vt:variant>
        <vt:lpwstr/>
      </vt:variant>
      <vt:variant>
        <vt:lpwstr>_Toc288638336</vt:lpwstr>
      </vt:variant>
      <vt:variant>
        <vt:i4>1179663</vt:i4>
      </vt:variant>
      <vt:variant>
        <vt:i4>170</vt:i4>
      </vt:variant>
      <vt:variant>
        <vt:i4>0</vt:i4>
      </vt:variant>
      <vt:variant>
        <vt:i4>5</vt:i4>
      </vt:variant>
      <vt:variant>
        <vt:lpwstr/>
      </vt:variant>
      <vt:variant>
        <vt:lpwstr>_Toc288638335</vt:lpwstr>
      </vt:variant>
      <vt:variant>
        <vt:i4>1179662</vt:i4>
      </vt:variant>
      <vt:variant>
        <vt:i4>164</vt:i4>
      </vt:variant>
      <vt:variant>
        <vt:i4>0</vt:i4>
      </vt:variant>
      <vt:variant>
        <vt:i4>5</vt:i4>
      </vt:variant>
      <vt:variant>
        <vt:lpwstr/>
      </vt:variant>
      <vt:variant>
        <vt:lpwstr>_Toc288638334</vt:lpwstr>
      </vt:variant>
      <vt:variant>
        <vt:i4>1179657</vt:i4>
      </vt:variant>
      <vt:variant>
        <vt:i4>158</vt:i4>
      </vt:variant>
      <vt:variant>
        <vt:i4>0</vt:i4>
      </vt:variant>
      <vt:variant>
        <vt:i4>5</vt:i4>
      </vt:variant>
      <vt:variant>
        <vt:lpwstr/>
      </vt:variant>
      <vt:variant>
        <vt:lpwstr>_Toc288638333</vt:lpwstr>
      </vt:variant>
      <vt:variant>
        <vt:i4>1179656</vt:i4>
      </vt:variant>
      <vt:variant>
        <vt:i4>152</vt:i4>
      </vt:variant>
      <vt:variant>
        <vt:i4>0</vt:i4>
      </vt:variant>
      <vt:variant>
        <vt:i4>5</vt:i4>
      </vt:variant>
      <vt:variant>
        <vt:lpwstr/>
      </vt:variant>
      <vt:variant>
        <vt:lpwstr>_Toc288638332</vt:lpwstr>
      </vt:variant>
      <vt:variant>
        <vt:i4>1179659</vt:i4>
      </vt:variant>
      <vt:variant>
        <vt:i4>146</vt:i4>
      </vt:variant>
      <vt:variant>
        <vt:i4>0</vt:i4>
      </vt:variant>
      <vt:variant>
        <vt:i4>5</vt:i4>
      </vt:variant>
      <vt:variant>
        <vt:lpwstr/>
      </vt:variant>
      <vt:variant>
        <vt:lpwstr>_Toc288638331</vt:lpwstr>
      </vt:variant>
      <vt:variant>
        <vt:i4>1179658</vt:i4>
      </vt:variant>
      <vt:variant>
        <vt:i4>140</vt:i4>
      </vt:variant>
      <vt:variant>
        <vt:i4>0</vt:i4>
      </vt:variant>
      <vt:variant>
        <vt:i4>5</vt:i4>
      </vt:variant>
      <vt:variant>
        <vt:lpwstr/>
      </vt:variant>
      <vt:variant>
        <vt:lpwstr>_Toc288638330</vt:lpwstr>
      </vt:variant>
      <vt:variant>
        <vt:i4>1245187</vt:i4>
      </vt:variant>
      <vt:variant>
        <vt:i4>134</vt:i4>
      </vt:variant>
      <vt:variant>
        <vt:i4>0</vt:i4>
      </vt:variant>
      <vt:variant>
        <vt:i4>5</vt:i4>
      </vt:variant>
      <vt:variant>
        <vt:lpwstr/>
      </vt:variant>
      <vt:variant>
        <vt:lpwstr>_Toc288638329</vt:lpwstr>
      </vt:variant>
      <vt:variant>
        <vt:i4>1245186</vt:i4>
      </vt:variant>
      <vt:variant>
        <vt:i4>128</vt:i4>
      </vt:variant>
      <vt:variant>
        <vt:i4>0</vt:i4>
      </vt:variant>
      <vt:variant>
        <vt:i4>5</vt:i4>
      </vt:variant>
      <vt:variant>
        <vt:lpwstr/>
      </vt:variant>
      <vt:variant>
        <vt:lpwstr>_Toc288638328</vt:lpwstr>
      </vt:variant>
      <vt:variant>
        <vt:i4>1245197</vt:i4>
      </vt:variant>
      <vt:variant>
        <vt:i4>122</vt:i4>
      </vt:variant>
      <vt:variant>
        <vt:i4>0</vt:i4>
      </vt:variant>
      <vt:variant>
        <vt:i4>5</vt:i4>
      </vt:variant>
      <vt:variant>
        <vt:lpwstr/>
      </vt:variant>
      <vt:variant>
        <vt:lpwstr>_Toc288638327</vt:lpwstr>
      </vt:variant>
      <vt:variant>
        <vt:i4>1245196</vt:i4>
      </vt:variant>
      <vt:variant>
        <vt:i4>116</vt:i4>
      </vt:variant>
      <vt:variant>
        <vt:i4>0</vt:i4>
      </vt:variant>
      <vt:variant>
        <vt:i4>5</vt:i4>
      </vt:variant>
      <vt:variant>
        <vt:lpwstr/>
      </vt:variant>
      <vt:variant>
        <vt:lpwstr>_Toc288638326</vt:lpwstr>
      </vt:variant>
      <vt:variant>
        <vt:i4>1245199</vt:i4>
      </vt:variant>
      <vt:variant>
        <vt:i4>110</vt:i4>
      </vt:variant>
      <vt:variant>
        <vt:i4>0</vt:i4>
      </vt:variant>
      <vt:variant>
        <vt:i4>5</vt:i4>
      </vt:variant>
      <vt:variant>
        <vt:lpwstr/>
      </vt:variant>
      <vt:variant>
        <vt:lpwstr>_Toc288638325</vt:lpwstr>
      </vt:variant>
      <vt:variant>
        <vt:i4>1245198</vt:i4>
      </vt:variant>
      <vt:variant>
        <vt:i4>104</vt:i4>
      </vt:variant>
      <vt:variant>
        <vt:i4>0</vt:i4>
      </vt:variant>
      <vt:variant>
        <vt:i4>5</vt:i4>
      </vt:variant>
      <vt:variant>
        <vt:lpwstr/>
      </vt:variant>
      <vt:variant>
        <vt:lpwstr>_Toc288638324</vt:lpwstr>
      </vt:variant>
      <vt:variant>
        <vt:i4>1245193</vt:i4>
      </vt:variant>
      <vt:variant>
        <vt:i4>98</vt:i4>
      </vt:variant>
      <vt:variant>
        <vt:i4>0</vt:i4>
      </vt:variant>
      <vt:variant>
        <vt:i4>5</vt:i4>
      </vt:variant>
      <vt:variant>
        <vt:lpwstr/>
      </vt:variant>
      <vt:variant>
        <vt:lpwstr>_Toc288638323</vt:lpwstr>
      </vt:variant>
      <vt:variant>
        <vt:i4>1245192</vt:i4>
      </vt:variant>
      <vt:variant>
        <vt:i4>92</vt:i4>
      </vt:variant>
      <vt:variant>
        <vt:i4>0</vt:i4>
      </vt:variant>
      <vt:variant>
        <vt:i4>5</vt:i4>
      </vt:variant>
      <vt:variant>
        <vt:lpwstr/>
      </vt:variant>
      <vt:variant>
        <vt:lpwstr>_Toc288638322</vt:lpwstr>
      </vt:variant>
      <vt:variant>
        <vt:i4>1245195</vt:i4>
      </vt:variant>
      <vt:variant>
        <vt:i4>86</vt:i4>
      </vt:variant>
      <vt:variant>
        <vt:i4>0</vt:i4>
      </vt:variant>
      <vt:variant>
        <vt:i4>5</vt:i4>
      </vt:variant>
      <vt:variant>
        <vt:lpwstr/>
      </vt:variant>
      <vt:variant>
        <vt:lpwstr>_Toc288638321</vt:lpwstr>
      </vt:variant>
      <vt:variant>
        <vt:i4>1245194</vt:i4>
      </vt:variant>
      <vt:variant>
        <vt:i4>80</vt:i4>
      </vt:variant>
      <vt:variant>
        <vt:i4>0</vt:i4>
      </vt:variant>
      <vt:variant>
        <vt:i4>5</vt:i4>
      </vt:variant>
      <vt:variant>
        <vt:lpwstr/>
      </vt:variant>
      <vt:variant>
        <vt:lpwstr>_Toc288638320</vt:lpwstr>
      </vt:variant>
      <vt:variant>
        <vt:i4>1048579</vt:i4>
      </vt:variant>
      <vt:variant>
        <vt:i4>74</vt:i4>
      </vt:variant>
      <vt:variant>
        <vt:i4>0</vt:i4>
      </vt:variant>
      <vt:variant>
        <vt:i4>5</vt:i4>
      </vt:variant>
      <vt:variant>
        <vt:lpwstr/>
      </vt:variant>
      <vt:variant>
        <vt:lpwstr>_Toc288638319</vt:lpwstr>
      </vt:variant>
      <vt:variant>
        <vt:i4>1048578</vt:i4>
      </vt:variant>
      <vt:variant>
        <vt:i4>68</vt:i4>
      </vt:variant>
      <vt:variant>
        <vt:i4>0</vt:i4>
      </vt:variant>
      <vt:variant>
        <vt:i4>5</vt:i4>
      </vt:variant>
      <vt:variant>
        <vt:lpwstr/>
      </vt:variant>
      <vt:variant>
        <vt:lpwstr>_Toc288638318</vt:lpwstr>
      </vt:variant>
      <vt:variant>
        <vt:i4>1048589</vt:i4>
      </vt:variant>
      <vt:variant>
        <vt:i4>62</vt:i4>
      </vt:variant>
      <vt:variant>
        <vt:i4>0</vt:i4>
      </vt:variant>
      <vt:variant>
        <vt:i4>5</vt:i4>
      </vt:variant>
      <vt:variant>
        <vt:lpwstr/>
      </vt:variant>
      <vt:variant>
        <vt:lpwstr>_Toc288638317</vt:lpwstr>
      </vt:variant>
      <vt:variant>
        <vt:i4>1048588</vt:i4>
      </vt:variant>
      <vt:variant>
        <vt:i4>56</vt:i4>
      </vt:variant>
      <vt:variant>
        <vt:i4>0</vt:i4>
      </vt:variant>
      <vt:variant>
        <vt:i4>5</vt:i4>
      </vt:variant>
      <vt:variant>
        <vt:lpwstr/>
      </vt:variant>
      <vt:variant>
        <vt:lpwstr>_Toc288638316</vt:lpwstr>
      </vt:variant>
      <vt:variant>
        <vt:i4>1048591</vt:i4>
      </vt:variant>
      <vt:variant>
        <vt:i4>50</vt:i4>
      </vt:variant>
      <vt:variant>
        <vt:i4>0</vt:i4>
      </vt:variant>
      <vt:variant>
        <vt:i4>5</vt:i4>
      </vt:variant>
      <vt:variant>
        <vt:lpwstr/>
      </vt:variant>
      <vt:variant>
        <vt:lpwstr>_Toc288638315</vt:lpwstr>
      </vt:variant>
      <vt:variant>
        <vt:i4>1048590</vt:i4>
      </vt:variant>
      <vt:variant>
        <vt:i4>44</vt:i4>
      </vt:variant>
      <vt:variant>
        <vt:i4>0</vt:i4>
      </vt:variant>
      <vt:variant>
        <vt:i4>5</vt:i4>
      </vt:variant>
      <vt:variant>
        <vt:lpwstr/>
      </vt:variant>
      <vt:variant>
        <vt:lpwstr>_Toc288638314</vt:lpwstr>
      </vt:variant>
      <vt:variant>
        <vt:i4>1048585</vt:i4>
      </vt:variant>
      <vt:variant>
        <vt:i4>38</vt:i4>
      </vt:variant>
      <vt:variant>
        <vt:i4>0</vt:i4>
      </vt:variant>
      <vt:variant>
        <vt:i4>5</vt:i4>
      </vt:variant>
      <vt:variant>
        <vt:lpwstr/>
      </vt:variant>
      <vt:variant>
        <vt:lpwstr>_Toc288638313</vt:lpwstr>
      </vt:variant>
      <vt:variant>
        <vt:i4>1048584</vt:i4>
      </vt:variant>
      <vt:variant>
        <vt:i4>32</vt:i4>
      </vt:variant>
      <vt:variant>
        <vt:i4>0</vt:i4>
      </vt:variant>
      <vt:variant>
        <vt:i4>5</vt:i4>
      </vt:variant>
      <vt:variant>
        <vt:lpwstr/>
      </vt:variant>
      <vt:variant>
        <vt:lpwstr>_Toc288638312</vt:lpwstr>
      </vt:variant>
      <vt:variant>
        <vt:i4>1048587</vt:i4>
      </vt:variant>
      <vt:variant>
        <vt:i4>26</vt:i4>
      </vt:variant>
      <vt:variant>
        <vt:i4>0</vt:i4>
      </vt:variant>
      <vt:variant>
        <vt:i4>5</vt:i4>
      </vt:variant>
      <vt:variant>
        <vt:lpwstr/>
      </vt:variant>
      <vt:variant>
        <vt:lpwstr>_Toc288638311</vt:lpwstr>
      </vt:variant>
      <vt:variant>
        <vt:i4>1048586</vt:i4>
      </vt:variant>
      <vt:variant>
        <vt:i4>20</vt:i4>
      </vt:variant>
      <vt:variant>
        <vt:i4>0</vt:i4>
      </vt:variant>
      <vt:variant>
        <vt:i4>5</vt:i4>
      </vt:variant>
      <vt:variant>
        <vt:lpwstr/>
      </vt:variant>
      <vt:variant>
        <vt:lpwstr>_Toc288638310</vt:lpwstr>
      </vt:variant>
      <vt:variant>
        <vt:i4>1114115</vt:i4>
      </vt:variant>
      <vt:variant>
        <vt:i4>14</vt:i4>
      </vt:variant>
      <vt:variant>
        <vt:i4>0</vt:i4>
      </vt:variant>
      <vt:variant>
        <vt:i4>5</vt:i4>
      </vt:variant>
      <vt:variant>
        <vt:lpwstr/>
      </vt:variant>
      <vt:variant>
        <vt:lpwstr>_Toc288638309</vt:lpwstr>
      </vt:variant>
      <vt:variant>
        <vt:i4>1114114</vt:i4>
      </vt:variant>
      <vt:variant>
        <vt:i4>8</vt:i4>
      </vt:variant>
      <vt:variant>
        <vt:i4>0</vt:i4>
      </vt:variant>
      <vt:variant>
        <vt:i4>5</vt:i4>
      </vt:variant>
      <vt:variant>
        <vt:lpwstr/>
      </vt:variant>
      <vt:variant>
        <vt:lpwstr>_Toc288638308</vt:lpwstr>
      </vt:variant>
      <vt:variant>
        <vt:i4>1114125</vt:i4>
      </vt:variant>
      <vt:variant>
        <vt:i4>2</vt:i4>
      </vt:variant>
      <vt:variant>
        <vt:i4>0</vt:i4>
      </vt:variant>
      <vt:variant>
        <vt:i4>5</vt:i4>
      </vt:variant>
      <vt:variant>
        <vt:lpwstr/>
      </vt:variant>
      <vt:variant>
        <vt:lpwstr>_Toc288638307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to equality from healthcare and social care services</dc:title>
  <dc:creator>Raj Desai</dc:creator>
  <cp:lastModifiedBy>Rachel Longstaff</cp:lastModifiedBy>
  <cp:revision>2</cp:revision>
  <cp:lastPrinted>2016-02-09T09:21:00Z</cp:lastPrinted>
  <dcterms:created xsi:type="dcterms:W3CDTF">2019-04-11T10:40:00Z</dcterms:created>
  <dcterms:modified xsi:type="dcterms:W3CDTF">2019-04-11T10:40:00Z</dcterms:modified>
</cp:coreProperties>
</file>