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4A19B" w14:textId="6DF636AD" w:rsidR="00EC07AD" w:rsidRDefault="00EC07AD" w:rsidP="00EC07AD">
      <w:pPr>
        <w:pStyle w:val="Heading1"/>
        <w:rPr>
          <w:rFonts w:ascii="Arial" w:hAnsi="Arial" w:cs="Arial"/>
          <w:b/>
          <w:color w:val="auto"/>
          <w:sz w:val="36"/>
        </w:rPr>
      </w:pPr>
      <w:bookmarkStart w:id="0" w:name="_Toc30601740"/>
      <w:bookmarkStart w:id="1" w:name="_Toc30601880"/>
      <w:bookmarkStart w:id="2" w:name="_Toc30662626"/>
      <w:r>
        <w:rPr>
          <w:rFonts w:ascii="Arial" w:hAnsi="Arial" w:cs="Arial"/>
          <w:b/>
          <w:color w:val="auto"/>
          <w:sz w:val="36"/>
        </w:rPr>
        <w:t xml:space="preserve">Our </w:t>
      </w:r>
      <w:bookmarkStart w:id="3" w:name="_GoBack"/>
      <w:r>
        <w:rPr>
          <w:rFonts w:ascii="Arial" w:hAnsi="Arial" w:cs="Arial"/>
          <w:b/>
          <w:color w:val="auto"/>
          <w:sz w:val="36"/>
        </w:rPr>
        <w:t xml:space="preserve">response to the </w:t>
      </w:r>
      <w:r w:rsidRPr="00EC07AD">
        <w:rPr>
          <w:rFonts w:ascii="Arial" w:hAnsi="Arial" w:cs="Arial"/>
          <w:b/>
          <w:color w:val="auto"/>
          <w:sz w:val="36"/>
        </w:rPr>
        <w:t>Law Commission of England and Wales and the Scottish Law Commission</w:t>
      </w:r>
      <w:r>
        <w:rPr>
          <w:rFonts w:ascii="Arial" w:hAnsi="Arial" w:cs="Arial"/>
          <w:b/>
          <w:color w:val="auto"/>
          <w:sz w:val="36"/>
        </w:rPr>
        <w:t xml:space="preserve"> consultation on ‘Automated V</w:t>
      </w:r>
      <w:r w:rsidR="00F0011F" w:rsidRPr="00EC07AD">
        <w:rPr>
          <w:rFonts w:ascii="Arial" w:hAnsi="Arial" w:cs="Arial"/>
          <w:b/>
          <w:color w:val="auto"/>
          <w:sz w:val="36"/>
        </w:rPr>
        <w:t>ehicles: Consultation Paper 2 on Passenger Services and Public Transport</w:t>
      </w:r>
      <w:bookmarkEnd w:id="0"/>
      <w:bookmarkEnd w:id="1"/>
      <w:bookmarkEnd w:id="2"/>
      <w:r>
        <w:rPr>
          <w:rFonts w:ascii="Arial" w:hAnsi="Arial" w:cs="Arial"/>
          <w:b/>
          <w:color w:val="auto"/>
          <w:sz w:val="36"/>
        </w:rPr>
        <w:t>’</w:t>
      </w:r>
    </w:p>
    <w:bookmarkEnd w:id="3"/>
    <w:p w14:paraId="72C563C3" w14:textId="281DAE4E" w:rsidR="00F0011F" w:rsidRPr="00EC07AD" w:rsidRDefault="00F0011F" w:rsidP="00EC07AD">
      <w:pPr>
        <w:pStyle w:val="Heading1"/>
        <w:rPr>
          <w:rFonts w:ascii="Arial" w:hAnsi="Arial" w:cs="Arial"/>
          <w:b/>
          <w:color w:val="auto"/>
          <w:sz w:val="36"/>
        </w:rPr>
      </w:pPr>
      <w:r w:rsidRPr="00EC07AD">
        <w:rPr>
          <w:rFonts w:ascii="Arial" w:hAnsi="Arial" w:cs="Arial"/>
          <w:b/>
          <w:color w:val="auto"/>
          <w:sz w:val="36"/>
        </w:rPr>
        <w:t xml:space="preserve"> </w:t>
      </w:r>
    </w:p>
    <w:p w14:paraId="19911B97" w14:textId="77777777" w:rsidR="00F0011F" w:rsidRPr="0043704E" w:rsidRDefault="00F0011F" w:rsidP="00A8048F">
      <w:pPr>
        <w:pStyle w:val="documentsection"/>
        <w:spacing w:before="5" w:after="5" w:line="360" w:lineRule="auto"/>
        <w:jc w:val="both"/>
        <w:rPr>
          <w:rFonts w:cs="Arial"/>
          <w:color w:val="auto"/>
        </w:rPr>
      </w:pPr>
      <w:bookmarkStart w:id="4" w:name="_Toc534990663"/>
      <w:bookmarkStart w:id="5" w:name="_Toc534990772"/>
      <w:bookmarkStart w:id="6" w:name="_Toc535310319"/>
      <w:bookmarkStart w:id="7" w:name="_Toc535422138"/>
      <w:bookmarkStart w:id="8" w:name="_Toc20990602"/>
      <w:bookmarkStart w:id="9" w:name="_Toc24708119"/>
      <w:bookmarkStart w:id="10" w:name="_Toc30601741"/>
      <w:bookmarkStart w:id="11" w:name="_Toc30601881"/>
      <w:bookmarkStart w:id="12" w:name="_Toc30662627"/>
      <w:r w:rsidRPr="0043704E">
        <w:rPr>
          <w:rFonts w:cs="Arial"/>
          <w:color w:val="auto"/>
        </w:rPr>
        <w:t>Consultation details</w:t>
      </w:r>
      <w:bookmarkEnd w:id="4"/>
      <w:bookmarkEnd w:id="5"/>
      <w:bookmarkEnd w:id="6"/>
      <w:bookmarkEnd w:id="7"/>
      <w:bookmarkEnd w:id="8"/>
      <w:bookmarkEnd w:id="9"/>
      <w:bookmarkEnd w:id="10"/>
      <w:bookmarkEnd w:id="11"/>
      <w:bookmarkEnd w:id="12"/>
    </w:p>
    <w:p w14:paraId="6EDC2B1F" w14:textId="77777777" w:rsidR="00F0011F" w:rsidRPr="0043704E" w:rsidRDefault="00F0011F" w:rsidP="00A8048F">
      <w:pPr>
        <w:pStyle w:val="mainbodycopy"/>
        <w:spacing w:before="5" w:after="5"/>
        <w:jc w:val="both"/>
      </w:pPr>
      <w:r w:rsidRPr="0043704E">
        <w:rPr>
          <w:b/>
        </w:rPr>
        <w:t>Title of consultation:</w:t>
      </w:r>
      <w:r w:rsidRPr="0043704E">
        <w:t xml:space="preserve"> Automated Vehicles: Consultation Paper 2 on Passenger Services and Public Transport</w:t>
      </w:r>
    </w:p>
    <w:p w14:paraId="0F6F381B" w14:textId="77777777" w:rsidR="00F0011F" w:rsidRPr="0043704E" w:rsidRDefault="00F0011F" w:rsidP="00A8048F">
      <w:pPr>
        <w:pStyle w:val="mainbodycopy"/>
        <w:spacing w:before="5" w:after="5"/>
        <w:jc w:val="both"/>
      </w:pPr>
      <w:r w:rsidRPr="0043704E">
        <w:rPr>
          <w:b/>
        </w:rPr>
        <w:t xml:space="preserve">Source of consultation: </w:t>
      </w:r>
      <w:r w:rsidRPr="0043704E">
        <w:t xml:space="preserve">Law Commission of England and Wales and the Scottish Law Commission </w:t>
      </w:r>
    </w:p>
    <w:p w14:paraId="38C81064" w14:textId="7C9825EA" w:rsidR="00F0011F" w:rsidRPr="0043704E" w:rsidRDefault="00F0011F" w:rsidP="00A8048F">
      <w:pPr>
        <w:pStyle w:val="mainbodycopy"/>
        <w:spacing w:before="5" w:after="5"/>
        <w:jc w:val="both"/>
      </w:pPr>
      <w:r w:rsidRPr="0043704E">
        <w:rPr>
          <w:b/>
        </w:rPr>
        <w:t>Date:</w:t>
      </w:r>
      <w:r w:rsidRPr="0043704E">
        <w:t xml:space="preserve"> </w:t>
      </w:r>
      <w:r w:rsidR="0043704E">
        <w:t>3 February</w:t>
      </w:r>
      <w:r w:rsidRPr="0043704E">
        <w:t xml:space="preserve"> 2020</w:t>
      </w:r>
    </w:p>
    <w:p w14:paraId="6E29A916" w14:textId="77777777" w:rsidR="00F0011F" w:rsidRPr="0043704E" w:rsidRDefault="00F0011F" w:rsidP="00A8048F">
      <w:pPr>
        <w:pStyle w:val="documentsection"/>
        <w:spacing w:before="5" w:after="5" w:line="360" w:lineRule="auto"/>
        <w:jc w:val="both"/>
        <w:rPr>
          <w:rFonts w:cs="Arial"/>
          <w:color w:val="auto"/>
          <w:lang w:eastAsia="zh-CN"/>
        </w:rPr>
      </w:pPr>
      <w:bookmarkStart w:id="13" w:name="_Toc534990664"/>
      <w:bookmarkStart w:id="14" w:name="_Toc534990773"/>
      <w:bookmarkStart w:id="15" w:name="_Toc535310320"/>
      <w:bookmarkStart w:id="16" w:name="_Toc535422139"/>
      <w:bookmarkStart w:id="17" w:name="_Toc20990603"/>
      <w:bookmarkStart w:id="18" w:name="_Toc24708120"/>
      <w:bookmarkStart w:id="19" w:name="_Toc30601742"/>
      <w:bookmarkStart w:id="20" w:name="_Toc30601882"/>
      <w:bookmarkStart w:id="21" w:name="_Toc30662628"/>
      <w:r w:rsidRPr="0043704E">
        <w:rPr>
          <w:rFonts w:cs="Arial"/>
          <w:color w:val="auto"/>
          <w:lang w:eastAsia="zh-CN"/>
        </w:rPr>
        <w:t>For more information please contact</w:t>
      </w:r>
      <w:bookmarkEnd w:id="13"/>
      <w:bookmarkEnd w:id="14"/>
      <w:bookmarkEnd w:id="15"/>
      <w:bookmarkEnd w:id="16"/>
      <w:bookmarkEnd w:id="17"/>
      <w:bookmarkEnd w:id="18"/>
      <w:bookmarkEnd w:id="19"/>
      <w:bookmarkEnd w:id="20"/>
      <w:bookmarkEnd w:id="21"/>
    </w:p>
    <w:p w14:paraId="4F48AC40" w14:textId="77777777" w:rsidR="00F0011F" w:rsidRPr="0043704E" w:rsidRDefault="00F0011F" w:rsidP="00A8048F">
      <w:pPr>
        <w:spacing w:before="5" w:after="5" w:line="360" w:lineRule="auto"/>
        <w:jc w:val="both"/>
        <w:rPr>
          <w:rFonts w:cs="Arial"/>
        </w:rPr>
      </w:pPr>
      <w:r w:rsidRPr="0043704E">
        <w:rPr>
          <w:rFonts w:cs="Arial"/>
        </w:rPr>
        <w:t xml:space="preserve">If you have any queries about content included within this consultation response, or for further information, please contact </w:t>
      </w:r>
    </w:p>
    <w:p w14:paraId="3204E573" w14:textId="77777777" w:rsidR="00F0011F" w:rsidRPr="0043704E" w:rsidRDefault="00F0011F" w:rsidP="00A8048F">
      <w:pPr>
        <w:spacing w:before="5" w:after="5" w:line="360" w:lineRule="auto"/>
        <w:jc w:val="both"/>
        <w:rPr>
          <w:rFonts w:cs="Arial"/>
        </w:rPr>
      </w:pPr>
    </w:p>
    <w:p w14:paraId="00E32A39" w14:textId="7B8B87BE" w:rsidR="00F0011F" w:rsidRPr="0043704E" w:rsidRDefault="00F0011F" w:rsidP="00A8048F">
      <w:pPr>
        <w:spacing w:before="5" w:after="5" w:line="360" w:lineRule="auto"/>
        <w:jc w:val="both"/>
        <w:rPr>
          <w:rFonts w:cs="Arial"/>
        </w:rPr>
      </w:pPr>
      <w:r w:rsidRPr="0043704E">
        <w:rPr>
          <w:rFonts w:cs="Arial"/>
        </w:rPr>
        <w:t>Andrew Biden (</w:t>
      </w:r>
      <w:hyperlink r:id="rId8" w:history="1">
        <w:r w:rsidR="0043704E" w:rsidRPr="00EE0677">
          <w:rPr>
            <w:rStyle w:val="Hyperlink"/>
          </w:rPr>
          <w:t>andrew.biden@equalityhumanrights.com</w:t>
        </w:r>
      </w:hyperlink>
      <w:r w:rsidRPr="0043704E">
        <w:rPr>
          <w:rFonts w:cs="Arial"/>
        </w:rPr>
        <w:t>)</w:t>
      </w:r>
    </w:p>
    <w:p w14:paraId="25D77E16" w14:textId="77777777" w:rsidR="00F0011F" w:rsidRPr="0043704E" w:rsidRDefault="00F0011F" w:rsidP="00A8048F">
      <w:pPr>
        <w:spacing w:before="5" w:after="5" w:line="360" w:lineRule="auto"/>
        <w:jc w:val="both"/>
        <w:rPr>
          <w:rFonts w:cs="Arial"/>
        </w:rPr>
      </w:pPr>
    </w:p>
    <w:p w14:paraId="570CE05E" w14:textId="77777777" w:rsidR="00A52997" w:rsidRPr="0043704E" w:rsidRDefault="00F0011F" w:rsidP="00A8048F">
      <w:pPr>
        <w:spacing w:before="5" w:after="5" w:line="360" w:lineRule="auto"/>
        <w:jc w:val="both"/>
        <w:rPr>
          <w:rFonts w:cs="Arial"/>
        </w:rPr>
      </w:pPr>
      <w:r w:rsidRPr="0043704E">
        <w:rPr>
          <w:rFonts w:cs="Arial"/>
        </w:rPr>
        <w:t xml:space="preserve">Equality and Human Rights Commission, Fleetbank House, </w:t>
      </w:r>
      <w:r w:rsidR="00A52997" w:rsidRPr="0043704E">
        <w:rPr>
          <w:rFonts w:cs="Arial"/>
        </w:rPr>
        <w:t xml:space="preserve">2-6 Salisbury Square </w:t>
      </w:r>
    </w:p>
    <w:p w14:paraId="59C472B4" w14:textId="2BC2A29C" w:rsidR="00D45D4F" w:rsidRDefault="00F0011F" w:rsidP="00D45D4F">
      <w:pPr>
        <w:spacing w:before="5" w:after="5" w:line="360" w:lineRule="auto"/>
        <w:jc w:val="both"/>
        <w:rPr>
          <w:rFonts w:cs="Arial"/>
        </w:rPr>
        <w:sectPr w:rsidR="00D45D4F">
          <w:headerReference w:type="default" r:id="rId9"/>
          <w:footerReference w:type="default" r:id="rId10"/>
          <w:pgSz w:w="11906" w:h="16838"/>
          <w:pgMar w:top="1440" w:right="1440" w:bottom="1440" w:left="1440" w:header="708" w:footer="708" w:gutter="0"/>
          <w:cols w:space="708"/>
          <w:docGrid w:linePitch="360"/>
        </w:sectPr>
      </w:pPr>
      <w:r w:rsidRPr="0043704E">
        <w:rPr>
          <w:rFonts w:cs="Arial"/>
        </w:rPr>
        <w:t>London, EC4Y 8JX</w:t>
      </w:r>
      <w:r w:rsidR="0043704E">
        <w:rPr>
          <w:rFonts w:cs="Arial"/>
        </w:rPr>
        <w:t xml:space="preserve"> / </w:t>
      </w:r>
      <w:r w:rsidR="00AB699D" w:rsidRPr="0043704E">
        <w:rPr>
          <w:rFonts w:cs="Arial"/>
        </w:rPr>
        <w:t>151 George Street, Glasgow, G2 2JJ</w:t>
      </w:r>
    </w:p>
    <w:p w14:paraId="13997744" w14:textId="0AC91938" w:rsidR="00947EC4" w:rsidRPr="0043704E" w:rsidRDefault="00947EC4" w:rsidP="00A8048F">
      <w:pPr>
        <w:pStyle w:val="NoSpacing"/>
        <w:spacing w:before="5" w:after="5" w:line="360" w:lineRule="auto"/>
        <w:jc w:val="both"/>
        <w:rPr>
          <w:rFonts w:cs="Arial"/>
        </w:rPr>
      </w:pPr>
    </w:p>
    <w:sdt>
      <w:sdtPr>
        <w:rPr>
          <w:rFonts w:ascii="Arial" w:eastAsia="Calibri" w:hAnsi="Arial" w:cs="Times New Roman"/>
          <w:color w:val="auto"/>
          <w:sz w:val="24"/>
          <w:szCs w:val="22"/>
          <w:lang w:val="en-GB"/>
        </w:rPr>
        <w:id w:val="519667228"/>
        <w:docPartObj>
          <w:docPartGallery w:val="Table of Contents"/>
          <w:docPartUnique/>
        </w:docPartObj>
      </w:sdtPr>
      <w:sdtEndPr>
        <w:rPr>
          <w:b/>
          <w:bCs/>
          <w:noProof/>
        </w:rPr>
      </w:sdtEndPr>
      <w:sdtContent>
        <w:p w14:paraId="5F03DA02" w14:textId="5F926D6C" w:rsidR="00EE0677" w:rsidRPr="00EE0677" w:rsidRDefault="00EE0677" w:rsidP="00A8048F">
          <w:pPr>
            <w:pStyle w:val="TOCHeading"/>
            <w:spacing w:before="5" w:after="5" w:line="360" w:lineRule="auto"/>
            <w:rPr>
              <w:rFonts w:ascii="Arial" w:hAnsi="Arial" w:cs="Arial"/>
              <w:b/>
              <w:color w:val="auto"/>
            </w:rPr>
          </w:pPr>
          <w:r w:rsidRPr="00EE0677">
            <w:rPr>
              <w:rFonts w:ascii="Arial" w:hAnsi="Arial" w:cs="Arial"/>
              <w:b/>
              <w:color w:val="auto"/>
            </w:rPr>
            <w:t>Table of Contents</w:t>
          </w:r>
        </w:p>
        <w:p w14:paraId="0CA9800E" w14:textId="2A3824B0" w:rsidR="00EE0677" w:rsidRPr="00EE0677" w:rsidRDefault="00EE0677" w:rsidP="00A8048F">
          <w:pPr>
            <w:pStyle w:val="TOC1"/>
            <w:tabs>
              <w:tab w:val="right" w:leader="dot" w:pos="9016"/>
            </w:tabs>
            <w:spacing w:before="5" w:after="5" w:line="360" w:lineRule="auto"/>
            <w:rPr>
              <w:rFonts w:asciiTheme="minorHAnsi" w:eastAsiaTheme="minorEastAsia" w:hAnsiTheme="minorHAnsi" w:cstheme="minorBidi"/>
              <w:noProof/>
              <w:sz w:val="22"/>
              <w:lang w:eastAsia="en-GB"/>
            </w:rPr>
          </w:pPr>
          <w:r w:rsidRPr="00EE0677">
            <w:fldChar w:fldCharType="begin"/>
          </w:r>
          <w:r w:rsidRPr="00EE0677">
            <w:instrText xml:space="preserve"> TOC \o "1-3" \h \z \u </w:instrText>
          </w:r>
          <w:r w:rsidRPr="00EE0677">
            <w:fldChar w:fldCharType="separate"/>
          </w:r>
        </w:p>
        <w:p w14:paraId="5DA254E1" w14:textId="1701D4A0" w:rsidR="00EE0677" w:rsidRPr="00EE0677" w:rsidRDefault="008E13D6" w:rsidP="00A8048F">
          <w:pPr>
            <w:pStyle w:val="TOC1"/>
            <w:tabs>
              <w:tab w:val="left" w:pos="660"/>
              <w:tab w:val="right" w:leader="dot" w:pos="9016"/>
            </w:tabs>
            <w:spacing w:before="5" w:after="5" w:line="360" w:lineRule="auto"/>
            <w:rPr>
              <w:rFonts w:asciiTheme="minorHAnsi" w:eastAsiaTheme="minorEastAsia" w:hAnsiTheme="minorHAnsi" w:cstheme="minorBidi"/>
              <w:noProof/>
              <w:sz w:val="22"/>
              <w:lang w:eastAsia="en-GB"/>
            </w:rPr>
          </w:pPr>
          <w:hyperlink w:anchor="_Toc30662629" w:history="1">
            <w:r w:rsidR="00EE0677" w:rsidRPr="00EE0677">
              <w:rPr>
                <w:rStyle w:val="Hyperlink"/>
                <w:noProof/>
              </w:rPr>
              <w:t>A.</w:t>
            </w:r>
            <w:r w:rsidR="00EE0677" w:rsidRPr="00EE0677">
              <w:rPr>
                <w:rStyle w:val="Hyperlink"/>
                <w:noProof/>
              </w:rPr>
              <w:tab/>
              <w:t>Introduction</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_Toc30662629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3</w:t>
            </w:r>
            <w:r w:rsidR="00EE0677" w:rsidRPr="00EE0677">
              <w:rPr>
                <w:rStyle w:val="Hyperlink"/>
                <w:noProof/>
                <w:webHidden/>
              </w:rPr>
              <w:fldChar w:fldCharType="end"/>
            </w:r>
          </w:hyperlink>
        </w:p>
        <w:p w14:paraId="379F13A1" w14:textId="011D9B58" w:rsidR="00EE0677" w:rsidRPr="00EE0677" w:rsidRDefault="008E13D6" w:rsidP="00A8048F">
          <w:pPr>
            <w:pStyle w:val="TOC1"/>
            <w:tabs>
              <w:tab w:val="right" w:leader="dot" w:pos="9016"/>
            </w:tabs>
            <w:spacing w:before="5" w:after="5" w:line="360" w:lineRule="auto"/>
            <w:rPr>
              <w:rFonts w:asciiTheme="minorHAnsi" w:eastAsiaTheme="minorEastAsia" w:hAnsiTheme="minorHAnsi" w:cstheme="minorBidi"/>
              <w:noProof/>
              <w:sz w:val="22"/>
              <w:lang w:eastAsia="en-GB"/>
            </w:rPr>
          </w:pPr>
          <w:hyperlink w:anchor="_Toc30662630" w:history="1">
            <w:r w:rsidR="00EE0677" w:rsidRPr="00EE0677">
              <w:rPr>
                <w:rStyle w:val="Hyperlink"/>
                <w:noProof/>
              </w:rPr>
              <w:t>The relevant human rights and equality frameworks in relation to transport</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_Toc30662630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4</w:t>
            </w:r>
            <w:r w:rsidR="00EE0677" w:rsidRPr="00EE0677">
              <w:rPr>
                <w:rStyle w:val="Hyperlink"/>
                <w:noProof/>
                <w:webHidden/>
              </w:rPr>
              <w:fldChar w:fldCharType="end"/>
            </w:r>
          </w:hyperlink>
        </w:p>
        <w:p w14:paraId="6CC0E3CC" w14:textId="29E5681C" w:rsidR="00EE0677" w:rsidRPr="00EE0677" w:rsidRDefault="008E13D6" w:rsidP="00A8048F">
          <w:pPr>
            <w:pStyle w:val="TOC2"/>
            <w:tabs>
              <w:tab w:val="right" w:leader="dot" w:pos="9016"/>
            </w:tabs>
            <w:spacing w:before="5" w:after="5" w:line="360" w:lineRule="auto"/>
            <w:rPr>
              <w:rFonts w:asciiTheme="minorHAnsi" w:eastAsiaTheme="minorEastAsia" w:hAnsiTheme="minorHAnsi" w:cstheme="minorBidi"/>
              <w:noProof/>
              <w:sz w:val="22"/>
              <w:lang w:eastAsia="en-GB"/>
            </w:rPr>
          </w:pPr>
          <w:hyperlink w:anchor="_Toc30662631" w:history="1">
            <w:r w:rsidR="00EE0677" w:rsidRPr="00EE0677">
              <w:rPr>
                <w:rStyle w:val="Hyperlink"/>
                <w:noProof/>
              </w:rPr>
              <w:t>The Equality Act 2010 (the EA 2010)</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_Toc30662631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4</w:t>
            </w:r>
            <w:r w:rsidR="00EE0677" w:rsidRPr="00EE0677">
              <w:rPr>
                <w:rStyle w:val="Hyperlink"/>
                <w:noProof/>
                <w:webHidden/>
              </w:rPr>
              <w:fldChar w:fldCharType="end"/>
            </w:r>
          </w:hyperlink>
        </w:p>
        <w:p w14:paraId="3EF000EC" w14:textId="4F864FF2" w:rsidR="00EE0677" w:rsidRPr="00EE0677" w:rsidRDefault="008E13D6" w:rsidP="00A8048F">
          <w:pPr>
            <w:pStyle w:val="TOC2"/>
            <w:tabs>
              <w:tab w:val="right" w:leader="dot" w:pos="9016"/>
            </w:tabs>
            <w:spacing w:before="5" w:after="5" w:line="360" w:lineRule="auto"/>
            <w:rPr>
              <w:rFonts w:asciiTheme="minorHAnsi" w:eastAsiaTheme="minorEastAsia" w:hAnsiTheme="minorHAnsi" w:cstheme="minorBidi"/>
              <w:noProof/>
              <w:sz w:val="22"/>
              <w:lang w:eastAsia="en-GB"/>
            </w:rPr>
          </w:pPr>
          <w:hyperlink w:anchor="_Toc30662632" w:history="1">
            <w:r w:rsidR="00EE0677" w:rsidRPr="00EE0677">
              <w:rPr>
                <w:rStyle w:val="Hyperlink"/>
                <w:noProof/>
              </w:rPr>
              <w:t>The international human rights framework</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_Toc30662632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8</w:t>
            </w:r>
            <w:r w:rsidR="00EE0677" w:rsidRPr="00EE0677">
              <w:rPr>
                <w:rStyle w:val="Hyperlink"/>
                <w:noProof/>
                <w:webHidden/>
              </w:rPr>
              <w:fldChar w:fldCharType="end"/>
            </w:r>
          </w:hyperlink>
        </w:p>
        <w:p w14:paraId="1860224C" w14:textId="532CCA38" w:rsidR="00EE0677" w:rsidRPr="00EE0677" w:rsidRDefault="008E13D6" w:rsidP="00A8048F">
          <w:pPr>
            <w:pStyle w:val="TOC3"/>
            <w:tabs>
              <w:tab w:val="right" w:leader="dot" w:pos="9016"/>
            </w:tabs>
            <w:spacing w:before="5" w:after="5" w:line="360" w:lineRule="auto"/>
            <w:rPr>
              <w:noProof/>
            </w:rPr>
          </w:pPr>
          <w:hyperlink w:anchor="_Toc30662633" w:history="1">
            <w:r w:rsidR="00EE0677" w:rsidRPr="00EE0677">
              <w:rPr>
                <w:rStyle w:val="Hyperlink"/>
                <w:noProof/>
              </w:rPr>
              <w:t>Article 9 of the UNCRPD – accessibility</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_Toc30662633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9</w:t>
            </w:r>
            <w:r w:rsidR="00EE0677" w:rsidRPr="00EE0677">
              <w:rPr>
                <w:rStyle w:val="Hyperlink"/>
                <w:noProof/>
                <w:webHidden/>
              </w:rPr>
              <w:fldChar w:fldCharType="end"/>
            </w:r>
          </w:hyperlink>
        </w:p>
        <w:p w14:paraId="3B1078CE" w14:textId="30E11F01" w:rsidR="00EE0677" w:rsidRPr="00EE0677" w:rsidRDefault="008E13D6" w:rsidP="00A8048F">
          <w:pPr>
            <w:pStyle w:val="TOC3"/>
            <w:tabs>
              <w:tab w:val="right" w:leader="dot" w:pos="9016"/>
            </w:tabs>
            <w:spacing w:before="5" w:after="5" w:line="360" w:lineRule="auto"/>
            <w:rPr>
              <w:noProof/>
            </w:rPr>
          </w:pPr>
          <w:hyperlink w:anchor="_Toc30662634" w:history="1">
            <w:r w:rsidR="00EE0677" w:rsidRPr="00EE0677">
              <w:rPr>
                <w:rStyle w:val="Hyperlink"/>
                <w:noProof/>
              </w:rPr>
              <w:t>Article 19 of the UNCRPD - living independently and being included in the community</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_Toc30662634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9</w:t>
            </w:r>
            <w:r w:rsidR="00EE0677" w:rsidRPr="00EE0677">
              <w:rPr>
                <w:rStyle w:val="Hyperlink"/>
                <w:noProof/>
                <w:webHidden/>
              </w:rPr>
              <w:fldChar w:fldCharType="end"/>
            </w:r>
          </w:hyperlink>
        </w:p>
        <w:p w14:paraId="01F73D59" w14:textId="0E502328" w:rsidR="00EE0677" w:rsidRPr="00EE0677" w:rsidRDefault="008E13D6" w:rsidP="00A8048F">
          <w:pPr>
            <w:pStyle w:val="TOC1"/>
            <w:tabs>
              <w:tab w:val="left" w:pos="480"/>
              <w:tab w:val="right" w:leader="dot" w:pos="9016"/>
            </w:tabs>
            <w:spacing w:before="5" w:after="5" w:line="360" w:lineRule="auto"/>
            <w:rPr>
              <w:rFonts w:asciiTheme="minorHAnsi" w:eastAsiaTheme="minorEastAsia" w:hAnsiTheme="minorHAnsi" w:cstheme="minorBidi"/>
              <w:noProof/>
              <w:sz w:val="22"/>
              <w:lang w:eastAsia="en-GB"/>
            </w:rPr>
          </w:pPr>
          <w:hyperlink w:anchor="_Toc30662635" w:history="1">
            <w:r w:rsidR="00EE0677" w:rsidRPr="00EE0677">
              <w:rPr>
                <w:rStyle w:val="Hyperlink"/>
                <w:noProof/>
              </w:rPr>
              <w:t>B.</w:t>
            </w:r>
            <w:r w:rsidR="00EE0677" w:rsidRPr="00EE0677">
              <w:rPr>
                <w:rStyle w:val="Hyperlink"/>
                <w:noProof/>
              </w:rPr>
              <w:tab/>
              <w:t>Reponses to specific questions</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_Toc30662635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10</w:t>
            </w:r>
            <w:r w:rsidR="00EE0677" w:rsidRPr="00EE0677">
              <w:rPr>
                <w:rStyle w:val="Hyperlink"/>
                <w:noProof/>
                <w:webHidden/>
              </w:rPr>
              <w:fldChar w:fldCharType="end"/>
            </w:r>
          </w:hyperlink>
        </w:p>
        <w:p w14:paraId="04F92FE4" w14:textId="3E02E100" w:rsidR="00EE0677" w:rsidRPr="00EE0677" w:rsidRDefault="008E13D6" w:rsidP="00A8048F">
          <w:pPr>
            <w:pStyle w:val="TOC2"/>
            <w:tabs>
              <w:tab w:val="right" w:leader="dot" w:pos="9016"/>
            </w:tabs>
            <w:spacing w:before="5" w:after="5" w:line="360" w:lineRule="auto"/>
            <w:rPr>
              <w:rFonts w:asciiTheme="minorHAnsi" w:eastAsiaTheme="minorEastAsia" w:hAnsiTheme="minorHAnsi" w:cstheme="minorBidi"/>
              <w:noProof/>
              <w:sz w:val="22"/>
              <w:lang w:eastAsia="en-GB"/>
            </w:rPr>
          </w:pPr>
          <w:hyperlink w:anchor="_Toc30662636" w:history="1">
            <w:r w:rsidR="00EE0677" w:rsidRPr="00EE0677">
              <w:rPr>
                <w:rStyle w:val="Hyperlink"/>
                <w:noProof/>
              </w:rPr>
              <w:t>Consultation Question 1</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_Toc30662636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11</w:t>
            </w:r>
            <w:r w:rsidR="00EE0677" w:rsidRPr="00EE0677">
              <w:rPr>
                <w:rStyle w:val="Hyperlink"/>
                <w:noProof/>
                <w:webHidden/>
              </w:rPr>
              <w:fldChar w:fldCharType="end"/>
            </w:r>
          </w:hyperlink>
        </w:p>
        <w:p w14:paraId="66AEE5EA" w14:textId="030F2E94" w:rsidR="00EE0677" w:rsidRPr="00EE0677" w:rsidRDefault="008E13D6" w:rsidP="00A8048F">
          <w:pPr>
            <w:pStyle w:val="TOC2"/>
            <w:tabs>
              <w:tab w:val="right" w:leader="dot" w:pos="9016"/>
            </w:tabs>
            <w:spacing w:before="5" w:after="5" w:line="360" w:lineRule="auto"/>
            <w:rPr>
              <w:rFonts w:asciiTheme="minorHAnsi" w:eastAsiaTheme="minorEastAsia" w:hAnsiTheme="minorHAnsi" w:cstheme="minorBidi"/>
              <w:noProof/>
              <w:sz w:val="22"/>
              <w:lang w:eastAsia="en-GB"/>
            </w:rPr>
          </w:pPr>
          <w:hyperlink w:anchor="_Toc30662637" w:history="1">
            <w:r w:rsidR="00EE0677" w:rsidRPr="00EE0677">
              <w:rPr>
                <w:rStyle w:val="Hyperlink"/>
                <w:noProof/>
              </w:rPr>
              <w:t>Consultation Question 7</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_Toc30662637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12</w:t>
            </w:r>
            <w:r w:rsidR="00EE0677" w:rsidRPr="00EE0677">
              <w:rPr>
                <w:rStyle w:val="Hyperlink"/>
                <w:noProof/>
                <w:webHidden/>
              </w:rPr>
              <w:fldChar w:fldCharType="end"/>
            </w:r>
          </w:hyperlink>
        </w:p>
        <w:p w14:paraId="5EB739A8" w14:textId="134528FA" w:rsidR="00EE0677" w:rsidRPr="00EE0677" w:rsidRDefault="008E13D6" w:rsidP="00A8048F">
          <w:pPr>
            <w:pStyle w:val="TOC2"/>
            <w:tabs>
              <w:tab w:val="right" w:leader="dot" w:pos="9016"/>
            </w:tabs>
            <w:spacing w:before="5" w:after="5" w:line="360" w:lineRule="auto"/>
            <w:rPr>
              <w:rFonts w:asciiTheme="minorHAnsi" w:eastAsiaTheme="minorEastAsia" w:hAnsiTheme="minorHAnsi" w:cstheme="minorBidi"/>
              <w:noProof/>
              <w:sz w:val="22"/>
              <w:lang w:eastAsia="en-GB"/>
            </w:rPr>
          </w:pPr>
          <w:hyperlink w:anchor="_Toc30662638" w:history="1">
            <w:r w:rsidR="00EE0677" w:rsidRPr="00EE0677">
              <w:rPr>
                <w:rStyle w:val="Hyperlink"/>
                <w:noProof/>
              </w:rPr>
              <w:t>Consultation Question 11</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_Toc30662638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14</w:t>
            </w:r>
            <w:r w:rsidR="00EE0677" w:rsidRPr="00EE0677">
              <w:rPr>
                <w:rStyle w:val="Hyperlink"/>
                <w:noProof/>
                <w:webHidden/>
              </w:rPr>
              <w:fldChar w:fldCharType="end"/>
            </w:r>
          </w:hyperlink>
        </w:p>
        <w:p w14:paraId="362BD605" w14:textId="75146E48" w:rsidR="00EE0677" w:rsidRPr="00EE0677" w:rsidRDefault="008E13D6" w:rsidP="00A8048F">
          <w:pPr>
            <w:pStyle w:val="TOC2"/>
            <w:tabs>
              <w:tab w:val="right" w:leader="dot" w:pos="9016"/>
            </w:tabs>
            <w:spacing w:before="5" w:after="5" w:line="360" w:lineRule="auto"/>
            <w:rPr>
              <w:rFonts w:asciiTheme="minorHAnsi" w:eastAsiaTheme="minorEastAsia" w:hAnsiTheme="minorHAnsi" w:cstheme="minorBidi"/>
              <w:noProof/>
              <w:sz w:val="22"/>
              <w:lang w:eastAsia="en-GB"/>
            </w:rPr>
          </w:pPr>
          <w:hyperlink w:anchor="_Toc30662639" w:history="1">
            <w:r w:rsidR="00EE0677" w:rsidRPr="00EE0677">
              <w:rPr>
                <w:rStyle w:val="Hyperlink"/>
                <w:noProof/>
              </w:rPr>
              <w:t>Consultation Question 25</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_Toc30662639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20</w:t>
            </w:r>
            <w:r w:rsidR="00EE0677" w:rsidRPr="00EE0677">
              <w:rPr>
                <w:rStyle w:val="Hyperlink"/>
                <w:noProof/>
                <w:webHidden/>
              </w:rPr>
              <w:fldChar w:fldCharType="end"/>
            </w:r>
          </w:hyperlink>
        </w:p>
        <w:p w14:paraId="4ABE5E8C" w14:textId="0BD0BFA4" w:rsidR="00EE0677" w:rsidRPr="00EE0677" w:rsidRDefault="008E13D6" w:rsidP="00A8048F">
          <w:pPr>
            <w:pStyle w:val="TOC2"/>
            <w:tabs>
              <w:tab w:val="right" w:leader="dot" w:pos="9016"/>
            </w:tabs>
            <w:spacing w:before="5" w:after="5" w:line="360" w:lineRule="auto"/>
            <w:rPr>
              <w:rFonts w:asciiTheme="minorHAnsi" w:eastAsiaTheme="minorEastAsia" w:hAnsiTheme="minorHAnsi" w:cstheme="minorBidi"/>
              <w:noProof/>
              <w:sz w:val="22"/>
              <w:lang w:eastAsia="en-GB"/>
            </w:rPr>
          </w:pPr>
          <w:hyperlink w:anchor="_Toc30662640" w:history="1">
            <w:r w:rsidR="00EE0677" w:rsidRPr="00EE0677">
              <w:rPr>
                <w:rStyle w:val="Hyperlink"/>
                <w:noProof/>
              </w:rPr>
              <w:t>Consultation Question 27</w:t>
            </w:r>
            <w:r w:rsidR="00EE0677" w:rsidRPr="00EE0677">
              <w:rPr>
                <w:rStyle w:val="Hyperlink"/>
                <w:noProof/>
                <w:webHidden/>
              </w:rPr>
              <w:tab/>
            </w:r>
            <w:r w:rsidR="00EE0677" w:rsidRPr="00EE0677">
              <w:rPr>
                <w:rStyle w:val="Hyperlink"/>
                <w:noProof/>
                <w:webHidden/>
              </w:rPr>
              <w:fldChar w:fldCharType="begin"/>
            </w:r>
            <w:r w:rsidR="00EE0677" w:rsidRPr="00EE0677">
              <w:rPr>
                <w:rStyle w:val="Hyperlink"/>
                <w:noProof/>
                <w:webHidden/>
              </w:rPr>
              <w:instrText xml:space="preserve"> PAGEREF _Toc30662640 \h </w:instrText>
            </w:r>
            <w:r w:rsidR="00EE0677" w:rsidRPr="00EE0677">
              <w:rPr>
                <w:rStyle w:val="Hyperlink"/>
                <w:noProof/>
                <w:webHidden/>
              </w:rPr>
            </w:r>
            <w:r w:rsidR="00EE0677" w:rsidRPr="00EE0677">
              <w:rPr>
                <w:rStyle w:val="Hyperlink"/>
                <w:noProof/>
                <w:webHidden/>
              </w:rPr>
              <w:fldChar w:fldCharType="separate"/>
            </w:r>
            <w:r w:rsidR="00394E61">
              <w:rPr>
                <w:rStyle w:val="Hyperlink"/>
                <w:noProof/>
                <w:webHidden/>
              </w:rPr>
              <w:t>24</w:t>
            </w:r>
            <w:r w:rsidR="00EE0677" w:rsidRPr="00EE0677">
              <w:rPr>
                <w:rStyle w:val="Hyperlink"/>
                <w:noProof/>
                <w:webHidden/>
              </w:rPr>
              <w:fldChar w:fldCharType="end"/>
            </w:r>
          </w:hyperlink>
        </w:p>
        <w:p w14:paraId="31CF6E72" w14:textId="4CA1359C" w:rsidR="00EE0677" w:rsidRDefault="00EE0677" w:rsidP="00A8048F">
          <w:pPr>
            <w:spacing w:before="5" w:after="5" w:line="360" w:lineRule="auto"/>
          </w:pPr>
          <w:r w:rsidRPr="00EE0677">
            <w:rPr>
              <w:bCs/>
              <w:noProof/>
            </w:rPr>
            <w:fldChar w:fldCharType="end"/>
          </w:r>
        </w:p>
      </w:sdtContent>
    </w:sdt>
    <w:p w14:paraId="3FE22E40" w14:textId="57860C87" w:rsidR="00D07E63" w:rsidRPr="0043704E" w:rsidRDefault="0043704E" w:rsidP="00A8048F">
      <w:pPr>
        <w:pStyle w:val="TOCHeading"/>
        <w:spacing w:before="5" w:after="5" w:line="360" w:lineRule="auto"/>
        <w:rPr>
          <w:rFonts w:ascii="Arial" w:hAnsi="Arial" w:cs="Arial"/>
          <w:sz w:val="24"/>
          <w:szCs w:val="24"/>
        </w:rPr>
      </w:pPr>
      <w:r w:rsidRPr="0043704E">
        <w:rPr>
          <w:rFonts w:ascii="Arial" w:hAnsi="Arial" w:cs="Arial"/>
          <w:sz w:val="24"/>
          <w:szCs w:val="24"/>
        </w:rPr>
        <w:br w:type="page"/>
      </w:r>
    </w:p>
    <w:p w14:paraId="52BFDD75" w14:textId="63945E7B" w:rsidR="00AF0CD8" w:rsidRPr="0043704E" w:rsidRDefault="00AF0CD8" w:rsidP="00A8048F">
      <w:pPr>
        <w:pStyle w:val="level2section"/>
        <w:numPr>
          <w:ilvl w:val="0"/>
          <w:numId w:val="8"/>
        </w:numPr>
        <w:spacing w:before="5" w:after="5" w:line="360" w:lineRule="auto"/>
        <w:jc w:val="both"/>
        <w:rPr>
          <w:rFonts w:ascii="Arial" w:hAnsi="Arial" w:cs="Arial"/>
          <w:b/>
          <w:color w:val="auto"/>
        </w:rPr>
      </w:pPr>
      <w:bookmarkStart w:id="22" w:name="_Toc30601743"/>
      <w:bookmarkStart w:id="23" w:name="_Toc30601883"/>
      <w:bookmarkStart w:id="24" w:name="_Toc30662629"/>
      <w:r w:rsidRPr="0043704E">
        <w:rPr>
          <w:rFonts w:ascii="Arial" w:hAnsi="Arial" w:cs="Arial"/>
          <w:b/>
          <w:color w:val="auto"/>
        </w:rPr>
        <w:lastRenderedPageBreak/>
        <w:t>Introduction</w:t>
      </w:r>
      <w:bookmarkEnd w:id="22"/>
      <w:bookmarkEnd w:id="23"/>
      <w:bookmarkEnd w:id="24"/>
    </w:p>
    <w:p w14:paraId="259FA247" w14:textId="638E847A" w:rsidR="00AF0CD8" w:rsidRDefault="00AF0CD8" w:rsidP="00A8048F">
      <w:pPr>
        <w:pStyle w:val="NoSpacing"/>
        <w:spacing w:before="5" w:after="5" w:line="360" w:lineRule="auto"/>
        <w:jc w:val="both"/>
        <w:rPr>
          <w:rFonts w:cs="Arial"/>
          <w:b/>
          <w:sz w:val="26"/>
          <w:szCs w:val="26"/>
        </w:rPr>
      </w:pPr>
      <w:bookmarkStart w:id="25" w:name="_Toc10737189"/>
      <w:r w:rsidRPr="0043704E">
        <w:rPr>
          <w:rFonts w:cs="Arial"/>
          <w:b/>
          <w:sz w:val="26"/>
          <w:szCs w:val="26"/>
        </w:rPr>
        <w:t>About the Commission</w:t>
      </w:r>
      <w:bookmarkEnd w:id="25"/>
    </w:p>
    <w:p w14:paraId="6D7D37CD" w14:textId="77777777" w:rsidR="00A8048F" w:rsidRPr="0043704E" w:rsidRDefault="00A8048F" w:rsidP="00A8048F">
      <w:pPr>
        <w:pStyle w:val="NoSpacing"/>
        <w:spacing w:before="5" w:after="5" w:line="360" w:lineRule="auto"/>
        <w:jc w:val="both"/>
        <w:rPr>
          <w:rFonts w:cs="Arial"/>
          <w:b/>
          <w:sz w:val="26"/>
          <w:szCs w:val="26"/>
        </w:rPr>
      </w:pPr>
    </w:p>
    <w:p w14:paraId="67BDF12B" w14:textId="2CEFA1FE" w:rsidR="00A8048F" w:rsidRPr="00A8048F" w:rsidRDefault="00A103DD" w:rsidP="00A8048F">
      <w:pPr>
        <w:pStyle w:val="ListParagraph"/>
        <w:numPr>
          <w:ilvl w:val="0"/>
          <w:numId w:val="1"/>
        </w:numPr>
        <w:spacing w:before="5" w:after="5" w:line="360" w:lineRule="auto"/>
        <w:contextualSpacing w:val="0"/>
        <w:rPr>
          <w:rFonts w:asciiTheme="minorHAnsi" w:eastAsiaTheme="minorHAnsi" w:hAnsiTheme="minorHAnsi"/>
        </w:rPr>
      </w:pPr>
      <w:r w:rsidRPr="0043704E">
        <w:t xml:space="preserve">The Equality and Human Rights Commission (the </w:t>
      </w:r>
      <w:r w:rsidRPr="0043704E">
        <w:rPr>
          <w:b/>
        </w:rPr>
        <w:t>Commission</w:t>
      </w:r>
      <w:r w:rsidRPr="0043704E">
        <w:t>) is the National Equality Body for England, Scotland and Wales. We work to eliminate discrimination and promote equality across the nine protected grounds set out in the Equality Act 2010: age, disability, gender reassignment, marriage and civil partnership, pregnancy and maternity, race, religion or belief, sex and sexual orientation.</w:t>
      </w:r>
    </w:p>
    <w:p w14:paraId="0026500A" w14:textId="77777777" w:rsidR="00A8048F" w:rsidRPr="00A8048F" w:rsidRDefault="00A8048F" w:rsidP="00A8048F">
      <w:pPr>
        <w:pStyle w:val="ListParagraph"/>
        <w:spacing w:before="5" w:after="5" w:line="360" w:lineRule="auto"/>
        <w:ind w:left="360"/>
        <w:contextualSpacing w:val="0"/>
        <w:rPr>
          <w:rFonts w:asciiTheme="minorHAnsi" w:eastAsiaTheme="minorHAnsi" w:hAnsiTheme="minorHAnsi"/>
        </w:rPr>
      </w:pPr>
    </w:p>
    <w:p w14:paraId="15990736" w14:textId="7E2C888F" w:rsidR="00A103DD" w:rsidRPr="00A8048F" w:rsidRDefault="00A103DD" w:rsidP="00A8048F">
      <w:pPr>
        <w:pStyle w:val="ListParagraph"/>
        <w:numPr>
          <w:ilvl w:val="0"/>
          <w:numId w:val="1"/>
        </w:numPr>
        <w:spacing w:before="5" w:after="5" w:line="360" w:lineRule="auto"/>
        <w:contextualSpacing w:val="0"/>
        <w:rPr>
          <w:rFonts w:asciiTheme="minorHAnsi" w:eastAsiaTheme="minorHAnsi" w:hAnsiTheme="minorHAnsi"/>
        </w:rPr>
      </w:pPr>
      <w:r w:rsidRPr="0043704E">
        <w:t>We are an “A Status” National Human Rights Institution in recognition of our independence, powers and performance, and share our mandate to promote and protect human rights in Scotland with the Scottish Human Rights Commission.</w:t>
      </w:r>
    </w:p>
    <w:p w14:paraId="0D7FC898" w14:textId="77777777" w:rsidR="00A8048F" w:rsidRPr="00A8048F" w:rsidRDefault="00A8048F" w:rsidP="00A8048F">
      <w:pPr>
        <w:pStyle w:val="ListParagraph"/>
        <w:spacing w:before="5" w:after="5" w:line="360" w:lineRule="auto"/>
        <w:ind w:left="360"/>
        <w:contextualSpacing w:val="0"/>
        <w:rPr>
          <w:rFonts w:asciiTheme="minorHAnsi" w:eastAsiaTheme="minorHAnsi" w:hAnsiTheme="minorHAnsi"/>
        </w:rPr>
      </w:pPr>
    </w:p>
    <w:p w14:paraId="522B5A5F" w14:textId="50E64E1D" w:rsidR="00A8048F" w:rsidRDefault="00F079A7" w:rsidP="00A8048F">
      <w:pPr>
        <w:pStyle w:val="mainbodycopy"/>
        <w:spacing w:before="5" w:after="5"/>
        <w:jc w:val="both"/>
        <w:rPr>
          <w:b/>
          <w:sz w:val="26"/>
          <w:szCs w:val="26"/>
        </w:rPr>
      </w:pPr>
      <w:r w:rsidRPr="0043704E">
        <w:rPr>
          <w:b/>
          <w:sz w:val="26"/>
          <w:szCs w:val="26"/>
        </w:rPr>
        <w:t>Our work in this area</w:t>
      </w:r>
    </w:p>
    <w:p w14:paraId="2E4F9543" w14:textId="77777777" w:rsidR="00A8048F" w:rsidRPr="0043704E" w:rsidRDefault="00A8048F" w:rsidP="00A8048F">
      <w:pPr>
        <w:pStyle w:val="mainbodycopy"/>
        <w:spacing w:before="5" w:after="5"/>
        <w:jc w:val="both"/>
        <w:rPr>
          <w:b/>
          <w:sz w:val="26"/>
          <w:szCs w:val="26"/>
        </w:rPr>
      </w:pPr>
    </w:p>
    <w:p w14:paraId="6FA04A53" w14:textId="5091EB0E" w:rsidR="00F079A7" w:rsidRPr="00A8048F" w:rsidRDefault="00F079A7" w:rsidP="00A8048F">
      <w:pPr>
        <w:pStyle w:val="ListParagraph"/>
        <w:numPr>
          <w:ilvl w:val="0"/>
          <w:numId w:val="1"/>
        </w:numPr>
        <w:spacing w:before="5" w:after="5" w:line="360" w:lineRule="auto"/>
        <w:contextualSpacing w:val="0"/>
        <w:jc w:val="both"/>
        <w:rPr>
          <w:rFonts w:cs="Arial"/>
          <w:i/>
          <w:iCs/>
        </w:rPr>
      </w:pPr>
      <w:r w:rsidRPr="0043704E">
        <w:rPr>
          <w:rFonts w:cs="Arial"/>
        </w:rPr>
        <w:t xml:space="preserve">Earlier this year, the Commission launched its new </w:t>
      </w:r>
      <w:hyperlink r:id="rId11" w:history="1">
        <w:r w:rsidRPr="00EE0677">
          <w:rPr>
            <w:rStyle w:val="Hyperlink"/>
          </w:rPr>
          <w:t>Strategic Plan</w:t>
        </w:r>
      </w:hyperlink>
      <w:r w:rsidR="000E15DB" w:rsidRPr="0043704E">
        <w:rPr>
          <w:rFonts w:cs="Arial"/>
        </w:rPr>
        <w:t xml:space="preserve">, covering the period 2019 to </w:t>
      </w:r>
      <w:r w:rsidRPr="0043704E">
        <w:rPr>
          <w:rFonts w:cs="Arial"/>
        </w:rPr>
        <w:t xml:space="preserve">2022. </w:t>
      </w:r>
      <w:r w:rsidR="00E94C7F" w:rsidRPr="0043704E">
        <w:rPr>
          <w:rFonts w:cs="Arial"/>
        </w:rPr>
        <w:t>In this plan, w</w:t>
      </w:r>
      <w:r w:rsidRPr="0043704E">
        <w:rPr>
          <w:rFonts w:cs="Arial"/>
        </w:rPr>
        <w:t>e identified six priority aims, referring to our evidence base in our ‘</w:t>
      </w:r>
      <w:hyperlink r:id="rId12" w:history="1">
        <w:r w:rsidRPr="00EE0677">
          <w:rPr>
            <w:rStyle w:val="Hyperlink"/>
            <w:i/>
          </w:rPr>
          <w:t>Is Britain Faire</w:t>
        </w:r>
        <w:r w:rsidR="00EE0677">
          <w:rPr>
            <w:rStyle w:val="Hyperlink"/>
            <w:i/>
          </w:rPr>
          <w:t>r?</w:t>
        </w:r>
      </w:hyperlink>
      <w:r w:rsidRPr="0043704E">
        <w:rPr>
          <w:rFonts w:cs="Arial"/>
        </w:rPr>
        <w:t>’</w:t>
      </w:r>
      <w:r w:rsidR="00A103DD" w:rsidRPr="0043704E">
        <w:rPr>
          <w:rFonts w:cs="Arial"/>
        </w:rPr>
        <w:t xml:space="preserve"> suite of reports, which includes ‘</w:t>
      </w:r>
      <w:hyperlink r:id="rId13" w:history="1">
        <w:r w:rsidR="00A103DD" w:rsidRPr="00EE0677">
          <w:rPr>
            <w:rStyle w:val="Hyperlink"/>
            <w:i/>
          </w:rPr>
          <w:t>Is Scotland Fairer?</w:t>
        </w:r>
      </w:hyperlink>
      <w:r w:rsidR="00A103DD" w:rsidRPr="0043704E">
        <w:rPr>
          <w:rFonts w:cs="Arial"/>
        </w:rPr>
        <w:t>’</w:t>
      </w:r>
      <w:r w:rsidR="0042585C">
        <w:rPr>
          <w:rFonts w:cs="Arial"/>
        </w:rPr>
        <w:t>,</w:t>
      </w:r>
      <w:r w:rsidR="00A103DD" w:rsidRPr="0043704E">
        <w:rPr>
          <w:rFonts w:cs="Arial"/>
        </w:rPr>
        <w:t xml:space="preserve"> ‘</w:t>
      </w:r>
      <w:hyperlink r:id="rId14" w:history="1">
        <w:r w:rsidR="00A103DD" w:rsidRPr="00EE0677">
          <w:rPr>
            <w:rStyle w:val="Hyperlink"/>
            <w:i/>
          </w:rPr>
          <w:t>Is Wales Fairer?</w:t>
        </w:r>
      </w:hyperlink>
      <w:r w:rsidR="00A103DD" w:rsidRPr="0043704E">
        <w:rPr>
          <w:rFonts w:cs="Arial"/>
        </w:rPr>
        <w:t xml:space="preserve">’, </w:t>
      </w:r>
      <w:r w:rsidR="00687D85">
        <w:rPr>
          <w:rFonts w:cs="Arial"/>
        </w:rPr>
        <w:t>and ‘</w:t>
      </w:r>
      <w:hyperlink r:id="rId15" w:history="1">
        <w:r w:rsidR="00687D85" w:rsidRPr="00687D85">
          <w:rPr>
            <w:rStyle w:val="Hyperlink"/>
            <w:rFonts w:cs="Arial"/>
            <w:i/>
          </w:rPr>
          <w:t>Is England Fairer</w:t>
        </w:r>
        <w:r w:rsidR="00687D85" w:rsidRPr="00687D85">
          <w:rPr>
            <w:rStyle w:val="Hyperlink"/>
            <w:rFonts w:cs="Arial"/>
          </w:rPr>
          <w:t>?</w:t>
        </w:r>
      </w:hyperlink>
      <w:r w:rsidR="00687D85">
        <w:rPr>
          <w:rFonts w:cs="Arial"/>
        </w:rPr>
        <w:t xml:space="preserve">’ </w:t>
      </w:r>
      <w:r w:rsidR="00A103DD" w:rsidRPr="00687D85">
        <w:rPr>
          <w:rFonts w:cs="Arial"/>
        </w:rPr>
        <w:t>research</w:t>
      </w:r>
      <w:r w:rsidRPr="0043704E">
        <w:rPr>
          <w:rFonts w:cs="Arial"/>
        </w:rPr>
        <w:t xml:space="preserve"> report</w:t>
      </w:r>
      <w:r w:rsidR="0043704E" w:rsidRPr="0043704E">
        <w:rPr>
          <w:rFonts w:cs="Arial"/>
        </w:rPr>
        <w:t>s</w:t>
      </w:r>
      <w:r w:rsidRPr="0043704E">
        <w:rPr>
          <w:rFonts w:cs="Arial"/>
        </w:rPr>
        <w:t xml:space="preserve">, and through extensive consultation with stakeholders. </w:t>
      </w:r>
      <w:r w:rsidR="00EE0677">
        <w:rPr>
          <w:rFonts w:cs="Arial"/>
        </w:rPr>
        <w:t>Our p</w:t>
      </w:r>
      <w:r w:rsidRPr="0043704E">
        <w:rPr>
          <w:rFonts w:cs="Arial"/>
        </w:rPr>
        <w:t xml:space="preserve">riority aim two is that </w:t>
      </w:r>
      <w:r w:rsidR="00E94C7F" w:rsidRPr="0043704E">
        <w:rPr>
          <w:rFonts w:cs="Arial"/>
          <w:i/>
        </w:rPr>
        <w:t>“</w:t>
      </w:r>
      <w:r w:rsidR="00E94C7F" w:rsidRPr="0043704E">
        <w:rPr>
          <w:rFonts w:cs="Arial"/>
          <w:i/>
          <w:iCs/>
        </w:rPr>
        <w:t>pu</w:t>
      </w:r>
      <w:r w:rsidRPr="0043704E">
        <w:rPr>
          <w:rFonts w:cs="Arial"/>
          <w:i/>
          <w:iCs/>
        </w:rPr>
        <w:t>blic transport better supports the economic and social inclusion of disabled and older people.</w:t>
      </w:r>
      <w:r w:rsidR="00E94C7F" w:rsidRPr="0043704E">
        <w:rPr>
          <w:rFonts w:cs="Arial"/>
          <w:i/>
          <w:iCs/>
        </w:rPr>
        <w:t>”</w:t>
      </w:r>
      <w:r w:rsidRPr="0043704E">
        <w:rPr>
          <w:rFonts w:cs="Arial"/>
          <w:i/>
          <w:iCs/>
        </w:rPr>
        <w:t xml:space="preserve"> </w:t>
      </w:r>
      <w:r w:rsidR="00BF43CD" w:rsidRPr="0043704E">
        <w:rPr>
          <w:rFonts w:cs="Arial"/>
          <w:iCs/>
        </w:rPr>
        <w:t>As our Strategic Plan explained</w:t>
      </w:r>
      <w:r w:rsidR="009D26C5" w:rsidRPr="0043704E">
        <w:rPr>
          <w:rFonts w:cs="Arial"/>
          <w:iCs/>
        </w:rPr>
        <w:t>:</w:t>
      </w:r>
      <w:r w:rsidR="00BF43CD" w:rsidRPr="0043704E">
        <w:rPr>
          <w:rFonts w:cs="Arial"/>
          <w:iCs/>
        </w:rPr>
        <w:t xml:space="preserve"> </w:t>
      </w:r>
    </w:p>
    <w:p w14:paraId="08F36064" w14:textId="77777777" w:rsidR="00A8048F" w:rsidRPr="0043704E" w:rsidRDefault="00A8048F" w:rsidP="00A8048F">
      <w:pPr>
        <w:pStyle w:val="ListParagraph"/>
        <w:spacing w:before="5" w:after="5" w:line="360" w:lineRule="auto"/>
        <w:ind w:left="360"/>
        <w:contextualSpacing w:val="0"/>
        <w:jc w:val="both"/>
        <w:rPr>
          <w:rFonts w:cs="Arial"/>
          <w:i/>
          <w:iCs/>
        </w:rPr>
      </w:pPr>
    </w:p>
    <w:p w14:paraId="56720EA9" w14:textId="424EA198" w:rsidR="00BF43CD" w:rsidRDefault="00BF43CD" w:rsidP="00A8048F">
      <w:pPr>
        <w:spacing w:before="5" w:after="5" w:line="360" w:lineRule="auto"/>
        <w:ind w:left="720"/>
        <w:jc w:val="both"/>
      </w:pPr>
      <w:r w:rsidRPr="0043704E">
        <w:t>When public transport is accessible and appropriate, it allows people to participate fully in all aspects of life – going to work, accessing education or health services and visiting family and friends. However, efforts in this area, particularly to improve public transport for disabled people, are inconsistent.</w:t>
      </w:r>
      <w:r w:rsidRPr="0043704E">
        <w:rPr>
          <w:rStyle w:val="FootnoteReference"/>
        </w:rPr>
        <w:footnoteReference w:id="1"/>
      </w:r>
    </w:p>
    <w:p w14:paraId="5D9A2254" w14:textId="77777777" w:rsidR="00A8048F" w:rsidRPr="0043704E" w:rsidRDefault="00A8048F" w:rsidP="00A8048F">
      <w:pPr>
        <w:spacing w:before="5" w:after="5" w:line="360" w:lineRule="auto"/>
        <w:jc w:val="both"/>
        <w:rPr>
          <w:rFonts w:cs="Arial"/>
          <w:i/>
          <w:iCs/>
        </w:rPr>
      </w:pPr>
    </w:p>
    <w:p w14:paraId="3C7C6796" w14:textId="53BB5493" w:rsidR="00E66D4F" w:rsidRDefault="00412FDE" w:rsidP="00A8048F">
      <w:pPr>
        <w:pStyle w:val="NormalWeb"/>
        <w:numPr>
          <w:ilvl w:val="0"/>
          <w:numId w:val="1"/>
        </w:numPr>
        <w:spacing w:before="5" w:beforeAutospacing="0" w:after="5" w:afterAutospacing="0" w:line="360" w:lineRule="auto"/>
        <w:jc w:val="both"/>
        <w:rPr>
          <w:rFonts w:ascii="Arial" w:hAnsi="Arial" w:cs="Arial"/>
        </w:rPr>
      </w:pPr>
      <w:r w:rsidRPr="0043704E">
        <w:rPr>
          <w:rFonts w:ascii="Arial" w:hAnsi="Arial" w:cs="Arial"/>
        </w:rPr>
        <w:lastRenderedPageBreak/>
        <w:t xml:space="preserve">Specifically, our work over the course of our current Strategic Plan is </w:t>
      </w:r>
      <w:r w:rsidR="00EE0677">
        <w:rPr>
          <w:rFonts w:ascii="Arial" w:hAnsi="Arial" w:cs="Arial"/>
        </w:rPr>
        <w:t xml:space="preserve">to ensure </w:t>
      </w:r>
      <w:r w:rsidRPr="0043704E">
        <w:rPr>
          <w:rFonts w:ascii="Arial" w:hAnsi="Arial" w:cs="Arial"/>
        </w:rPr>
        <w:t xml:space="preserve">that equality considerations are central to public transport service design. </w:t>
      </w:r>
      <w:r w:rsidR="0053066C">
        <w:rPr>
          <w:rFonts w:ascii="Arial" w:hAnsi="Arial" w:cs="Arial"/>
        </w:rPr>
        <w:t>For example, we have engaged with the Williams Rail Review, and</w:t>
      </w:r>
      <w:r w:rsidR="0053066C" w:rsidRPr="00345FED">
        <w:rPr>
          <w:rFonts w:ascii="Arial" w:hAnsi="Arial" w:cs="Arial"/>
        </w:rPr>
        <w:t xml:space="preserve"> </w:t>
      </w:r>
      <w:r w:rsidR="0053066C">
        <w:rPr>
          <w:rFonts w:ascii="Arial" w:hAnsi="Arial" w:cs="Arial"/>
        </w:rPr>
        <w:t xml:space="preserve">recently </w:t>
      </w:r>
      <w:r w:rsidR="0053066C" w:rsidRPr="00345FED">
        <w:rPr>
          <w:rFonts w:ascii="Arial" w:hAnsi="Arial" w:cs="Arial"/>
        </w:rPr>
        <w:t xml:space="preserve">launched a </w:t>
      </w:r>
      <w:hyperlink r:id="rId16" w:history="1">
        <w:r w:rsidR="0053066C" w:rsidRPr="00687EC9">
          <w:rPr>
            <w:rStyle w:val="Hyperlink"/>
            <w:rFonts w:ascii="Arial" w:hAnsi="Arial" w:cs="Arial"/>
          </w:rPr>
          <w:t xml:space="preserve">legal </w:t>
        </w:r>
        <w:r w:rsidR="0053066C">
          <w:rPr>
            <w:rStyle w:val="Hyperlink"/>
            <w:rFonts w:ascii="Arial" w:hAnsi="Arial" w:cs="Arial"/>
          </w:rPr>
          <w:t>support</w:t>
        </w:r>
        <w:r w:rsidR="0053066C" w:rsidRPr="00687EC9">
          <w:rPr>
            <w:rStyle w:val="Hyperlink"/>
            <w:rFonts w:ascii="Arial" w:hAnsi="Arial" w:cs="Arial"/>
          </w:rPr>
          <w:t xml:space="preserve"> project</w:t>
        </w:r>
      </w:hyperlink>
      <w:r w:rsidR="0053066C" w:rsidRPr="00345FED">
        <w:rPr>
          <w:rFonts w:ascii="Arial" w:hAnsi="Arial" w:cs="Arial"/>
        </w:rPr>
        <w:t xml:space="preserve"> to provide legal assistance to individuals who have experienced discrimination in accessing transport services.</w:t>
      </w:r>
      <w:r w:rsidR="0053066C">
        <w:rPr>
          <w:rFonts w:ascii="Arial" w:hAnsi="Arial" w:cs="Arial"/>
        </w:rPr>
        <w:t xml:space="preserve"> </w:t>
      </w:r>
    </w:p>
    <w:p w14:paraId="54A87E44" w14:textId="77777777" w:rsidR="00A8048F" w:rsidRDefault="00A8048F" w:rsidP="00A8048F">
      <w:pPr>
        <w:pStyle w:val="NormalWeb"/>
        <w:spacing w:before="5" w:beforeAutospacing="0" w:after="5" w:afterAutospacing="0" w:line="360" w:lineRule="auto"/>
        <w:ind w:left="360"/>
        <w:jc w:val="both"/>
        <w:rPr>
          <w:rFonts w:ascii="Arial" w:hAnsi="Arial" w:cs="Arial"/>
        </w:rPr>
      </w:pPr>
    </w:p>
    <w:p w14:paraId="2A47394B" w14:textId="5884149F" w:rsidR="00947EC4" w:rsidRDefault="00E94C7F" w:rsidP="00A8048F">
      <w:pPr>
        <w:pStyle w:val="NormalWeb"/>
        <w:numPr>
          <w:ilvl w:val="0"/>
          <w:numId w:val="1"/>
        </w:numPr>
        <w:spacing w:before="5" w:beforeAutospacing="0" w:after="5" w:afterAutospacing="0" w:line="360" w:lineRule="auto"/>
        <w:jc w:val="both"/>
        <w:rPr>
          <w:rFonts w:ascii="Arial" w:hAnsi="Arial" w:cs="Arial"/>
        </w:rPr>
      </w:pPr>
      <w:r w:rsidRPr="00E66D4F">
        <w:rPr>
          <w:rFonts w:ascii="Arial" w:hAnsi="Arial" w:cs="Arial"/>
        </w:rPr>
        <w:t>In light of this, w</w:t>
      </w:r>
      <w:r w:rsidR="009B4138" w:rsidRPr="00E66D4F">
        <w:rPr>
          <w:rFonts w:ascii="Arial" w:hAnsi="Arial" w:cs="Arial"/>
        </w:rPr>
        <w:t>e welcome the opportunity to respond to this consultation</w:t>
      </w:r>
      <w:r w:rsidR="001548A6" w:rsidRPr="00E66D4F">
        <w:rPr>
          <w:rFonts w:ascii="Arial" w:hAnsi="Arial" w:cs="Arial"/>
        </w:rPr>
        <w:t>, which gives the Commission</w:t>
      </w:r>
      <w:r w:rsidR="00E02F41" w:rsidRPr="00E66D4F">
        <w:rPr>
          <w:rFonts w:ascii="Arial" w:hAnsi="Arial" w:cs="Arial"/>
        </w:rPr>
        <w:t xml:space="preserve"> an opportunity to engage with the design and regulation of a ne</w:t>
      </w:r>
      <w:r w:rsidR="001548A6" w:rsidRPr="00E66D4F">
        <w:rPr>
          <w:rFonts w:ascii="Arial" w:hAnsi="Arial" w:cs="Arial"/>
        </w:rPr>
        <w:t>w form of transport from the outset</w:t>
      </w:r>
      <w:r w:rsidR="00E02F41" w:rsidRPr="00E66D4F">
        <w:rPr>
          <w:rFonts w:ascii="Arial" w:hAnsi="Arial" w:cs="Arial"/>
        </w:rPr>
        <w:t xml:space="preserve">. </w:t>
      </w:r>
    </w:p>
    <w:p w14:paraId="5E17F100" w14:textId="77777777" w:rsidR="00A8048F" w:rsidRPr="00E66D4F" w:rsidRDefault="00A8048F" w:rsidP="00A8048F">
      <w:pPr>
        <w:pStyle w:val="NormalWeb"/>
        <w:spacing w:before="5" w:beforeAutospacing="0" w:after="5" w:afterAutospacing="0" w:line="360" w:lineRule="auto"/>
        <w:jc w:val="both"/>
        <w:rPr>
          <w:rFonts w:ascii="Arial" w:hAnsi="Arial" w:cs="Arial"/>
        </w:rPr>
      </w:pPr>
    </w:p>
    <w:p w14:paraId="096DAF8B" w14:textId="6644C999" w:rsidR="00947EC4" w:rsidRPr="0043704E" w:rsidRDefault="00947EC4" w:rsidP="00A8048F">
      <w:pPr>
        <w:pStyle w:val="level2section"/>
        <w:spacing w:before="5" w:after="5" w:line="360" w:lineRule="auto"/>
        <w:jc w:val="both"/>
        <w:rPr>
          <w:rFonts w:ascii="Arial" w:hAnsi="Arial" w:cs="Arial"/>
          <w:b/>
          <w:color w:val="auto"/>
        </w:rPr>
      </w:pPr>
      <w:bookmarkStart w:id="26" w:name="_Toc30601744"/>
      <w:bookmarkStart w:id="27" w:name="_Toc30601884"/>
      <w:bookmarkStart w:id="28" w:name="_Toc30662630"/>
      <w:r w:rsidRPr="0043704E">
        <w:rPr>
          <w:rFonts w:ascii="Arial" w:hAnsi="Arial" w:cs="Arial"/>
          <w:b/>
          <w:color w:val="auto"/>
        </w:rPr>
        <w:t xml:space="preserve">The relevant human rights and equality frameworks </w:t>
      </w:r>
      <w:r w:rsidR="00D07E63" w:rsidRPr="0043704E">
        <w:rPr>
          <w:rFonts w:ascii="Arial" w:hAnsi="Arial" w:cs="Arial"/>
          <w:b/>
          <w:color w:val="auto"/>
        </w:rPr>
        <w:t>in relation to transport</w:t>
      </w:r>
      <w:bookmarkEnd w:id="26"/>
      <w:bookmarkEnd w:id="27"/>
      <w:bookmarkEnd w:id="28"/>
    </w:p>
    <w:p w14:paraId="358A6549" w14:textId="77777777" w:rsidR="00A8048F" w:rsidRDefault="00A8048F" w:rsidP="00A8048F">
      <w:pPr>
        <w:pStyle w:val="Heading2"/>
        <w:spacing w:before="5" w:after="5" w:line="360" w:lineRule="auto"/>
        <w:jc w:val="both"/>
        <w:rPr>
          <w:rFonts w:ascii="Arial" w:hAnsi="Arial" w:cs="Arial"/>
          <w:b/>
          <w:color w:val="auto"/>
        </w:rPr>
      </w:pPr>
      <w:bookmarkStart w:id="29" w:name="_Toc1133153"/>
      <w:bookmarkStart w:id="30" w:name="_Toc1133332"/>
      <w:bookmarkStart w:id="31" w:name="_Toc26528667"/>
      <w:bookmarkStart w:id="32" w:name="_Toc30601745"/>
      <w:bookmarkStart w:id="33" w:name="_Toc30601885"/>
      <w:bookmarkStart w:id="34" w:name="_Toc30662631"/>
    </w:p>
    <w:p w14:paraId="582BBF52" w14:textId="02E56618" w:rsidR="009E473D" w:rsidRPr="0043704E" w:rsidRDefault="00D07E63" w:rsidP="00A8048F">
      <w:pPr>
        <w:pStyle w:val="Heading2"/>
        <w:spacing w:before="5" w:after="5" w:line="360" w:lineRule="auto"/>
        <w:jc w:val="both"/>
        <w:rPr>
          <w:rFonts w:ascii="Arial" w:hAnsi="Arial" w:cs="Arial"/>
          <w:b/>
          <w:color w:val="auto"/>
        </w:rPr>
      </w:pPr>
      <w:r w:rsidRPr="0043704E">
        <w:rPr>
          <w:rFonts w:ascii="Arial" w:hAnsi="Arial" w:cs="Arial"/>
          <w:b/>
          <w:color w:val="auto"/>
        </w:rPr>
        <w:t>The</w:t>
      </w:r>
      <w:r w:rsidR="00103B9A" w:rsidRPr="0043704E">
        <w:rPr>
          <w:rFonts w:ascii="Arial" w:hAnsi="Arial" w:cs="Arial"/>
          <w:b/>
          <w:color w:val="auto"/>
        </w:rPr>
        <w:t xml:space="preserve"> Equality Act 2010</w:t>
      </w:r>
      <w:bookmarkEnd w:id="29"/>
      <w:bookmarkEnd w:id="30"/>
      <w:r w:rsidR="00103B9A" w:rsidRPr="0043704E">
        <w:rPr>
          <w:rFonts w:ascii="Arial" w:hAnsi="Arial" w:cs="Arial"/>
          <w:b/>
          <w:color w:val="auto"/>
        </w:rPr>
        <w:t xml:space="preserve"> </w:t>
      </w:r>
      <w:bookmarkEnd w:id="31"/>
      <w:r w:rsidR="000E15DB" w:rsidRPr="0043704E">
        <w:rPr>
          <w:rFonts w:ascii="Arial" w:hAnsi="Arial" w:cs="Arial"/>
          <w:b/>
          <w:color w:val="auto"/>
        </w:rPr>
        <w:t>(the EA 2010)</w:t>
      </w:r>
      <w:bookmarkEnd w:id="32"/>
      <w:bookmarkEnd w:id="33"/>
      <w:bookmarkEnd w:id="34"/>
    </w:p>
    <w:p w14:paraId="7DA033D5" w14:textId="77777777" w:rsidR="00A8048F" w:rsidRDefault="00A8048F" w:rsidP="00A8048F">
      <w:pPr>
        <w:pStyle w:val="mainbodycopy"/>
        <w:spacing w:before="5" w:after="5"/>
        <w:ind w:left="360"/>
        <w:jc w:val="both"/>
      </w:pPr>
    </w:p>
    <w:p w14:paraId="7EF42E82" w14:textId="26148E34" w:rsidR="000C72BC" w:rsidRPr="0043704E" w:rsidRDefault="000E15DB" w:rsidP="00A8048F">
      <w:pPr>
        <w:pStyle w:val="mainbodycopy"/>
        <w:numPr>
          <w:ilvl w:val="0"/>
          <w:numId w:val="12"/>
        </w:numPr>
        <w:spacing w:before="5" w:after="5"/>
        <w:jc w:val="both"/>
      </w:pPr>
      <w:r w:rsidRPr="0043704E">
        <w:t>Firstly,</w:t>
      </w:r>
      <w:r w:rsidR="00E94C7F" w:rsidRPr="0043704E">
        <w:t xml:space="preserve"> it is important to point out that t</w:t>
      </w:r>
      <w:r w:rsidR="000C72BC" w:rsidRPr="0043704E">
        <w:t>he EA 2010:</w:t>
      </w:r>
    </w:p>
    <w:p w14:paraId="6E4EF9D0" w14:textId="2FF86D19" w:rsidR="000C72BC" w:rsidRDefault="00BF43CD" w:rsidP="00A8048F">
      <w:pPr>
        <w:pStyle w:val="mainbodycopy"/>
        <w:spacing w:before="5" w:after="5"/>
        <w:ind w:left="720"/>
        <w:jc w:val="both"/>
      </w:pPr>
      <w:r w:rsidRPr="0043704E">
        <w:t xml:space="preserve">… </w:t>
      </w:r>
      <w:r w:rsidR="005531D2" w:rsidRPr="0043704E">
        <w:t>does not expect disabled people to be treated in exactly the same way as those who are not disabled. The reason for that is formal equality, comparing a disabled person with others, would not result in genuinely equal treatment or equality of outcomes.</w:t>
      </w:r>
      <w:r w:rsidR="005531D2" w:rsidRPr="0043704E">
        <w:rPr>
          <w:rStyle w:val="FootnoteReference"/>
        </w:rPr>
        <w:footnoteReference w:id="2"/>
      </w:r>
      <w:r w:rsidR="000E15DB" w:rsidRPr="0043704E">
        <w:t xml:space="preserve"> </w:t>
      </w:r>
    </w:p>
    <w:p w14:paraId="687E23D5" w14:textId="77777777" w:rsidR="00A8048F" w:rsidRPr="0043704E" w:rsidRDefault="00A8048F" w:rsidP="00A8048F">
      <w:pPr>
        <w:pStyle w:val="mainbodycopy"/>
        <w:spacing w:before="5" w:after="5"/>
        <w:ind w:left="720"/>
        <w:jc w:val="both"/>
      </w:pPr>
    </w:p>
    <w:p w14:paraId="4D9C842B" w14:textId="1CD1EFEB" w:rsidR="005531D2" w:rsidRDefault="000E15DB" w:rsidP="00A8048F">
      <w:pPr>
        <w:pStyle w:val="mainbodycopy"/>
        <w:numPr>
          <w:ilvl w:val="0"/>
          <w:numId w:val="12"/>
        </w:numPr>
        <w:spacing w:before="5" w:after="5"/>
        <w:jc w:val="both"/>
      </w:pPr>
      <w:r w:rsidRPr="0043704E">
        <w:t xml:space="preserve">Rather, the EA 2010 recognises that disabled people have </w:t>
      </w:r>
      <w:r w:rsidR="00A103DD" w:rsidRPr="0043704E">
        <w:t xml:space="preserve">particular </w:t>
      </w:r>
      <w:r w:rsidRPr="0043704E">
        <w:t xml:space="preserve">needs that often require them to be treated differently </w:t>
      </w:r>
      <w:r w:rsidR="0042585C">
        <w:t>from</w:t>
      </w:r>
      <w:r w:rsidR="0042585C" w:rsidRPr="0043704E">
        <w:t xml:space="preserve"> </w:t>
      </w:r>
      <w:r w:rsidR="00E24B9F" w:rsidRPr="0043704E">
        <w:t>non-disabled</w:t>
      </w:r>
      <w:r w:rsidRPr="0043704E">
        <w:t xml:space="preserve"> people</w:t>
      </w:r>
      <w:r w:rsidR="0042585C">
        <w:t xml:space="preserve"> in order to provide equality of opportunity</w:t>
      </w:r>
      <w:r w:rsidRPr="0043704E">
        <w:t>.</w:t>
      </w:r>
    </w:p>
    <w:p w14:paraId="2DE02ECE" w14:textId="77777777" w:rsidR="00A8048F" w:rsidRPr="0043704E" w:rsidRDefault="00A8048F" w:rsidP="00A8048F">
      <w:pPr>
        <w:pStyle w:val="mainbodycopy"/>
        <w:spacing w:before="5" w:after="5"/>
        <w:ind w:left="360"/>
        <w:jc w:val="both"/>
      </w:pPr>
    </w:p>
    <w:p w14:paraId="134861B1" w14:textId="777AECEB" w:rsidR="00600708" w:rsidRPr="0043704E" w:rsidRDefault="000E15DB" w:rsidP="00A8048F">
      <w:pPr>
        <w:pStyle w:val="mainbodycopy"/>
        <w:numPr>
          <w:ilvl w:val="0"/>
          <w:numId w:val="12"/>
        </w:numPr>
        <w:spacing w:before="5" w:after="5"/>
        <w:jc w:val="both"/>
      </w:pPr>
      <w:r w:rsidRPr="0043704E">
        <w:t xml:space="preserve">The Law Commissions </w:t>
      </w:r>
      <w:r w:rsidR="00600708" w:rsidRPr="0043704E">
        <w:t>have already set out the applicable sections</w:t>
      </w:r>
      <w:r w:rsidRPr="0043704E">
        <w:t xml:space="preserve"> of the EA 2010</w:t>
      </w:r>
      <w:r w:rsidR="000C72BC" w:rsidRPr="0043704E">
        <w:t xml:space="preserve"> and their effect in the</w:t>
      </w:r>
      <w:r w:rsidR="00600708" w:rsidRPr="0043704E">
        <w:t xml:space="preserve"> Consultation Paper, and we do no</w:t>
      </w:r>
      <w:r w:rsidR="00C95D22" w:rsidRPr="0043704E">
        <w:t>t propose to repeat that analysis</w:t>
      </w:r>
      <w:r w:rsidR="00600708" w:rsidRPr="0043704E">
        <w:t xml:space="preserve"> here.</w:t>
      </w:r>
      <w:r w:rsidR="00E27C5B" w:rsidRPr="0043704E">
        <w:rPr>
          <w:rStyle w:val="FootnoteReference"/>
        </w:rPr>
        <w:footnoteReference w:id="3"/>
      </w:r>
      <w:r w:rsidR="00600708" w:rsidRPr="0043704E">
        <w:t xml:space="preserve"> </w:t>
      </w:r>
      <w:r w:rsidR="00A53BAB" w:rsidRPr="0043704E">
        <w:t xml:space="preserve">In summary, </w:t>
      </w:r>
      <w:r w:rsidR="00354E49" w:rsidRPr="0043704E">
        <w:t xml:space="preserve">it is important to understand that the general </w:t>
      </w:r>
      <w:r w:rsidR="00354E49" w:rsidRPr="0043704E">
        <w:lastRenderedPageBreak/>
        <w:t>term</w:t>
      </w:r>
      <w:r w:rsidR="00A53BAB" w:rsidRPr="0043704E">
        <w:t xml:space="preserve"> </w:t>
      </w:r>
      <w:r w:rsidR="002867B9" w:rsidRPr="0043704E">
        <w:t>‘</w:t>
      </w:r>
      <w:r w:rsidR="00A53BAB" w:rsidRPr="0043704E">
        <w:t>disability discrimination</w:t>
      </w:r>
      <w:r w:rsidR="002867B9" w:rsidRPr="0043704E">
        <w:t>’</w:t>
      </w:r>
      <w:r w:rsidR="00A53BAB" w:rsidRPr="0043704E">
        <w:t xml:space="preserve"> </w:t>
      </w:r>
      <w:r w:rsidR="00E211CC" w:rsidRPr="0043704E">
        <w:t xml:space="preserve">(a form of </w:t>
      </w:r>
      <w:r w:rsidR="00EE0677">
        <w:t>“</w:t>
      </w:r>
      <w:r w:rsidR="00E211CC" w:rsidRPr="0043704E">
        <w:t>prohibited conduct</w:t>
      </w:r>
      <w:r w:rsidR="00EE0677">
        <w:t>”</w:t>
      </w:r>
      <w:r w:rsidR="00E211CC" w:rsidRPr="0043704E">
        <w:t xml:space="preserve"> under the EA 2010) </w:t>
      </w:r>
      <w:r w:rsidR="00A53BAB" w:rsidRPr="0043704E">
        <w:t>can refer to</w:t>
      </w:r>
      <w:r w:rsidR="00935E3B" w:rsidRPr="0043704E">
        <w:t xml:space="preserve"> one or more of</w:t>
      </w:r>
      <w:r w:rsidR="00A53BAB" w:rsidRPr="0043704E">
        <w:t>:</w:t>
      </w:r>
    </w:p>
    <w:p w14:paraId="5FFA6E05" w14:textId="48A17928" w:rsidR="00A53BAB" w:rsidRPr="0043704E" w:rsidRDefault="00A53BAB" w:rsidP="00A8048F">
      <w:pPr>
        <w:pStyle w:val="mainbodycopy"/>
        <w:numPr>
          <w:ilvl w:val="1"/>
          <w:numId w:val="12"/>
        </w:numPr>
        <w:spacing w:before="5" w:after="5"/>
        <w:jc w:val="both"/>
      </w:pPr>
      <w:r w:rsidRPr="0043704E">
        <w:rPr>
          <w:u w:val="single"/>
        </w:rPr>
        <w:t>Direct discrimination</w:t>
      </w:r>
      <w:r w:rsidR="00354E49" w:rsidRPr="0043704E">
        <w:t xml:space="preserve"> (where a person treats another less favourably than they treat or</w:t>
      </w:r>
      <w:r w:rsidR="0043704E">
        <w:t xml:space="preserve"> would treat others because of</w:t>
      </w:r>
      <w:r w:rsidR="00354E49" w:rsidRPr="0043704E">
        <w:t xml:space="preserve"> disability)</w:t>
      </w:r>
      <w:r w:rsidRPr="0043704E">
        <w:t>;</w:t>
      </w:r>
      <w:r w:rsidRPr="0043704E">
        <w:rPr>
          <w:rStyle w:val="FootnoteReference"/>
        </w:rPr>
        <w:footnoteReference w:id="4"/>
      </w:r>
      <w:r w:rsidRPr="0043704E">
        <w:t xml:space="preserve"> </w:t>
      </w:r>
    </w:p>
    <w:p w14:paraId="304DE1AE" w14:textId="3C59B43A" w:rsidR="00A53BAB" w:rsidRPr="0043704E" w:rsidRDefault="00A53BAB" w:rsidP="00A8048F">
      <w:pPr>
        <w:pStyle w:val="mainbodycopy"/>
        <w:numPr>
          <w:ilvl w:val="1"/>
          <w:numId w:val="12"/>
        </w:numPr>
        <w:spacing w:before="5" w:after="5"/>
        <w:jc w:val="both"/>
      </w:pPr>
      <w:r w:rsidRPr="0043704E">
        <w:rPr>
          <w:u w:val="single"/>
        </w:rPr>
        <w:t>Indirect discrimination</w:t>
      </w:r>
      <w:r w:rsidR="00354E49" w:rsidRPr="0043704E">
        <w:t xml:space="preserve"> (when a person applies an apparently neutral provision</w:t>
      </w:r>
      <w:r w:rsidR="00D95AE1" w:rsidRPr="0043704E">
        <w:t>,</w:t>
      </w:r>
      <w:r w:rsidR="00354E49" w:rsidRPr="0043704E">
        <w:t xml:space="preserve"> criterion or practice which puts disabled persons at a p</w:t>
      </w:r>
      <w:r w:rsidR="000C72BC" w:rsidRPr="0043704E">
        <w:t>articular disadvantage without being able to justify</w:t>
      </w:r>
      <w:r w:rsidR="00354E49" w:rsidRPr="0043704E">
        <w:t xml:space="preserve"> it as a proportionate means of achieving a legitimate aim)</w:t>
      </w:r>
      <w:r w:rsidRPr="0043704E">
        <w:t>;</w:t>
      </w:r>
      <w:r w:rsidRPr="0043704E">
        <w:rPr>
          <w:rStyle w:val="FootnoteReference"/>
        </w:rPr>
        <w:footnoteReference w:id="5"/>
      </w:r>
      <w:r w:rsidRPr="0043704E">
        <w:t xml:space="preserve"> </w:t>
      </w:r>
    </w:p>
    <w:p w14:paraId="0EDC81C4" w14:textId="4A125CD2" w:rsidR="00A53BAB" w:rsidRPr="0043704E" w:rsidRDefault="00A53BAB" w:rsidP="00A8048F">
      <w:pPr>
        <w:pStyle w:val="mainbodycopy"/>
        <w:numPr>
          <w:ilvl w:val="1"/>
          <w:numId w:val="12"/>
        </w:numPr>
        <w:spacing w:before="5" w:after="5"/>
        <w:jc w:val="both"/>
      </w:pPr>
      <w:r w:rsidRPr="0043704E">
        <w:rPr>
          <w:u w:val="single"/>
        </w:rPr>
        <w:t>Discrimination arising from disability</w:t>
      </w:r>
      <w:r w:rsidR="00354E49" w:rsidRPr="0043704E">
        <w:t xml:space="preserve"> (where a disabled person has been treated unfavourably because of something arising in consequence of their disability unless the person did not know, and could not reasonably be expected to know, that the person has the disability)</w:t>
      </w:r>
      <w:r w:rsidRPr="0043704E">
        <w:t>;</w:t>
      </w:r>
      <w:r w:rsidRPr="0043704E">
        <w:rPr>
          <w:rStyle w:val="FootnoteReference"/>
        </w:rPr>
        <w:footnoteReference w:id="6"/>
      </w:r>
      <w:r w:rsidRPr="0043704E">
        <w:t xml:space="preserve"> and</w:t>
      </w:r>
    </w:p>
    <w:p w14:paraId="11032699" w14:textId="5F0DE67C" w:rsidR="00E420F1" w:rsidRDefault="00A53BAB" w:rsidP="00A8048F">
      <w:pPr>
        <w:pStyle w:val="mainbodycopy"/>
        <w:numPr>
          <w:ilvl w:val="1"/>
          <w:numId w:val="12"/>
        </w:numPr>
        <w:spacing w:before="5" w:after="5"/>
        <w:jc w:val="both"/>
      </w:pPr>
      <w:r w:rsidRPr="0043704E">
        <w:rPr>
          <w:u w:val="single"/>
        </w:rPr>
        <w:t>A failure to make reasonable adjustments</w:t>
      </w:r>
      <w:r w:rsidR="00354E49" w:rsidRPr="0043704E">
        <w:t xml:space="preserve"> (a positive duty </w:t>
      </w:r>
      <w:r w:rsidR="00C95D22" w:rsidRPr="0043704E">
        <w:t>that requires certain persons</w:t>
      </w:r>
      <w:r w:rsidR="00BF43CD" w:rsidRPr="0043704E">
        <w:t xml:space="preserve"> to whom it applies </w:t>
      </w:r>
      <w:r w:rsidR="00C95D22" w:rsidRPr="0043704E">
        <w:t>to take steps to ensure that disabled people can access services)</w:t>
      </w:r>
      <w:r w:rsidRPr="0043704E">
        <w:t>.</w:t>
      </w:r>
      <w:r w:rsidRPr="0043704E">
        <w:rPr>
          <w:rStyle w:val="FootnoteReference"/>
        </w:rPr>
        <w:footnoteReference w:id="7"/>
      </w:r>
    </w:p>
    <w:p w14:paraId="33500F8B" w14:textId="77777777" w:rsidR="00A8048F" w:rsidRPr="0043704E" w:rsidRDefault="00A8048F" w:rsidP="00A8048F">
      <w:pPr>
        <w:pStyle w:val="mainbodycopy"/>
        <w:spacing w:before="5" w:after="5"/>
        <w:ind w:left="720"/>
        <w:jc w:val="both"/>
      </w:pPr>
    </w:p>
    <w:p w14:paraId="4588387C" w14:textId="0CBB4C5B" w:rsidR="00E420F1" w:rsidRDefault="00A53BAB" w:rsidP="00A8048F">
      <w:pPr>
        <w:pStyle w:val="mainbodycopy"/>
        <w:numPr>
          <w:ilvl w:val="0"/>
          <w:numId w:val="12"/>
        </w:numPr>
        <w:spacing w:before="5" w:after="5"/>
        <w:jc w:val="both"/>
      </w:pPr>
      <w:r w:rsidRPr="0043704E">
        <w:t xml:space="preserve">The </w:t>
      </w:r>
      <w:r w:rsidR="0042585C">
        <w:t>latter</w:t>
      </w:r>
      <w:r w:rsidR="0042585C" w:rsidRPr="0043704E">
        <w:t xml:space="preserve"> </w:t>
      </w:r>
      <w:r w:rsidRPr="0043704E">
        <w:t>two</w:t>
      </w:r>
      <w:r w:rsidR="00935E3B" w:rsidRPr="0043704E">
        <w:t xml:space="preserve"> forms of </w:t>
      </w:r>
      <w:r w:rsidR="00EE0677">
        <w:t>prohibited conduct</w:t>
      </w:r>
      <w:r w:rsidRPr="0043704E">
        <w:t xml:space="preserve"> are unique to the protected characteristic of disability</w:t>
      </w:r>
      <w:r w:rsidR="00A8048F">
        <w:t>.</w:t>
      </w:r>
    </w:p>
    <w:p w14:paraId="45AA4F17" w14:textId="77777777" w:rsidR="00A8048F" w:rsidRPr="0043704E" w:rsidRDefault="00A8048F" w:rsidP="00A8048F">
      <w:pPr>
        <w:pStyle w:val="mainbodycopy"/>
        <w:spacing w:before="5" w:after="5"/>
        <w:ind w:left="360"/>
        <w:jc w:val="both"/>
      </w:pPr>
    </w:p>
    <w:p w14:paraId="2075CF78" w14:textId="52FC4A0D" w:rsidR="009D26C5" w:rsidRPr="0043704E" w:rsidRDefault="009D26C5" w:rsidP="00A8048F">
      <w:pPr>
        <w:pStyle w:val="mainbodycopy"/>
        <w:numPr>
          <w:ilvl w:val="0"/>
          <w:numId w:val="12"/>
        </w:numPr>
        <w:spacing w:before="5" w:after="5"/>
        <w:jc w:val="both"/>
      </w:pPr>
      <w:r w:rsidRPr="0043704E">
        <w:t xml:space="preserve">In addition, the EA 2010 sets out two </w:t>
      </w:r>
      <w:r w:rsidR="00DE43CE" w:rsidRPr="0043704E">
        <w:t xml:space="preserve">other </w:t>
      </w:r>
      <w:r w:rsidRPr="0043704E">
        <w:t xml:space="preserve">forms of </w:t>
      </w:r>
      <w:r w:rsidR="00C145DE">
        <w:t>“</w:t>
      </w:r>
      <w:r w:rsidRPr="0043704E">
        <w:t>prohibited conduct</w:t>
      </w:r>
      <w:r w:rsidR="00C145DE">
        <w:t>”</w:t>
      </w:r>
      <w:r w:rsidRPr="0043704E">
        <w:t>:</w:t>
      </w:r>
    </w:p>
    <w:p w14:paraId="45ECBC2B" w14:textId="6521FFC5" w:rsidR="009D26C5" w:rsidRPr="0043704E" w:rsidRDefault="009D26C5" w:rsidP="00A8048F">
      <w:pPr>
        <w:pStyle w:val="mainbodycopy"/>
        <w:numPr>
          <w:ilvl w:val="1"/>
          <w:numId w:val="12"/>
        </w:numPr>
        <w:spacing w:before="5" w:after="5"/>
        <w:jc w:val="both"/>
      </w:pPr>
      <w:r w:rsidRPr="0043704E">
        <w:t>Harassment (when a person engages in unwanted conduct which is related to a relevant protected characteristic (</w:t>
      </w:r>
      <w:r w:rsidR="00C06826" w:rsidRPr="0043704E">
        <w:t>such as</w:t>
      </w:r>
      <w:r w:rsidRPr="0043704E">
        <w:t xml:space="preserve"> disability) and which has the purpose or the effect of violating the person’s dignity or creating an intimidating, degrading, humiliating or offensive environment for that person); and</w:t>
      </w:r>
    </w:p>
    <w:p w14:paraId="2811A066" w14:textId="27D922BE" w:rsidR="009D26C5" w:rsidRDefault="009D26C5" w:rsidP="00A8048F">
      <w:pPr>
        <w:pStyle w:val="mainbodycopy"/>
        <w:numPr>
          <w:ilvl w:val="1"/>
          <w:numId w:val="12"/>
        </w:numPr>
        <w:spacing w:before="5" w:after="5"/>
        <w:jc w:val="both"/>
      </w:pPr>
      <w:r w:rsidRPr="0043704E">
        <w:t xml:space="preserve">Victimisation (where a person suffers a detriment because they complain about discrimination they have suffered or help someone who has been </w:t>
      </w:r>
      <w:r w:rsidRPr="0043704E">
        <w:lastRenderedPageBreak/>
        <w:t xml:space="preserve">the victim of discrimination by, for example, giving information or evidence). </w:t>
      </w:r>
    </w:p>
    <w:p w14:paraId="5016ACB6" w14:textId="77777777" w:rsidR="00A8048F" w:rsidRPr="0043704E" w:rsidRDefault="00A8048F" w:rsidP="00A8048F">
      <w:pPr>
        <w:pStyle w:val="mainbodycopy"/>
        <w:spacing w:before="5" w:after="5"/>
        <w:ind w:left="1080"/>
        <w:jc w:val="both"/>
      </w:pPr>
    </w:p>
    <w:p w14:paraId="3ACEF73D" w14:textId="0E6BD16E" w:rsidR="004107DD" w:rsidRDefault="00C95D22" w:rsidP="00A8048F">
      <w:pPr>
        <w:pStyle w:val="mainbodycopy"/>
        <w:numPr>
          <w:ilvl w:val="0"/>
          <w:numId w:val="12"/>
        </w:numPr>
        <w:spacing w:before="5" w:after="5"/>
        <w:jc w:val="both"/>
      </w:pPr>
      <w:r w:rsidRPr="0043704E">
        <w:t>To</w:t>
      </w:r>
      <w:r w:rsidR="000C72BC" w:rsidRPr="0043704E">
        <w:t xml:space="preserve"> add to</w:t>
      </w:r>
      <w:r w:rsidRPr="0043704E">
        <w:t xml:space="preserve"> the Law Commissions’ analysis, we</w:t>
      </w:r>
      <w:r w:rsidR="00E27C5B" w:rsidRPr="0043704E">
        <w:t xml:space="preserve"> </w:t>
      </w:r>
      <w:r w:rsidRPr="0043704E">
        <w:t xml:space="preserve">emphasise </w:t>
      </w:r>
      <w:r w:rsidR="000C72BC" w:rsidRPr="0043704E">
        <w:t>regarding</w:t>
      </w:r>
      <w:r w:rsidRPr="0043704E">
        <w:t xml:space="preserve"> the</w:t>
      </w:r>
      <w:r w:rsidR="00E27C5B" w:rsidRPr="0043704E">
        <w:t xml:space="preserve"> duty </w:t>
      </w:r>
      <w:r w:rsidR="0042585C">
        <w:t>to make</w:t>
      </w:r>
      <w:r w:rsidR="0042585C" w:rsidRPr="0043704E">
        <w:t xml:space="preserve"> </w:t>
      </w:r>
      <w:r w:rsidR="00E27C5B" w:rsidRPr="0043704E">
        <w:t>reasonable adjustments</w:t>
      </w:r>
      <w:r w:rsidR="00EE0677">
        <w:t xml:space="preserve"> that</w:t>
      </w:r>
      <w:r w:rsidR="007E3D6D" w:rsidRPr="0043704E">
        <w:t>:</w:t>
      </w:r>
    </w:p>
    <w:p w14:paraId="594E1923" w14:textId="77777777" w:rsidR="00A8048F" w:rsidRPr="0043704E" w:rsidRDefault="00A8048F" w:rsidP="00A8048F">
      <w:pPr>
        <w:pStyle w:val="mainbodycopy"/>
        <w:spacing w:before="5" w:after="5"/>
        <w:ind w:left="360"/>
        <w:jc w:val="both"/>
      </w:pPr>
    </w:p>
    <w:p w14:paraId="45711D20" w14:textId="62578EBC" w:rsidR="004107DD" w:rsidRDefault="004107DD" w:rsidP="00A8048F">
      <w:pPr>
        <w:pStyle w:val="mainbodycopy"/>
        <w:spacing w:before="5" w:after="5"/>
        <w:ind w:left="720"/>
        <w:jc w:val="both"/>
      </w:pPr>
      <w:r w:rsidRPr="0043704E">
        <w:t>The policy of the Act is not a minimalist policy of simply ensuring that some access is available to disabled people; it is, so far as is reasonably practicable, to approximate the access enjoyed by disabled people to that enjoyed by the rest of the public. The purpose of the duty to make reasonable adjustments is to provide access to a service as close as it is reasonably possible to get to the standard normally offered to the public at large.</w:t>
      </w:r>
      <w:r w:rsidRPr="0043704E">
        <w:rPr>
          <w:rStyle w:val="FootnoteReference"/>
        </w:rPr>
        <w:footnoteReference w:id="8"/>
      </w:r>
    </w:p>
    <w:p w14:paraId="540BB6CF" w14:textId="77777777" w:rsidR="00A8048F" w:rsidRPr="0043704E" w:rsidRDefault="00A8048F" w:rsidP="00A8048F">
      <w:pPr>
        <w:pStyle w:val="mainbodycopy"/>
        <w:spacing w:before="5" w:after="5"/>
        <w:jc w:val="both"/>
      </w:pPr>
    </w:p>
    <w:p w14:paraId="54D02BA6" w14:textId="49A2F1D1" w:rsidR="004107DD" w:rsidRDefault="004107DD" w:rsidP="00A8048F">
      <w:pPr>
        <w:pStyle w:val="mainbodycopy"/>
        <w:numPr>
          <w:ilvl w:val="0"/>
          <w:numId w:val="12"/>
        </w:numPr>
        <w:spacing w:before="5" w:after="5"/>
        <w:jc w:val="both"/>
      </w:pPr>
      <w:r w:rsidRPr="0043704E">
        <w:t>The duty is</w:t>
      </w:r>
      <w:r w:rsidR="00BF43CD" w:rsidRPr="0043704E">
        <w:t>, however,</w:t>
      </w:r>
      <w:r w:rsidRPr="0043704E">
        <w:t xml:space="preserve"> only to make such adjustments as are “reasonable</w:t>
      </w:r>
      <w:r w:rsidR="009E473D" w:rsidRPr="0043704E">
        <w:t>”, and the Commission has provided guidance on the interpretation of this concept.</w:t>
      </w:r>
      <w:r w:rsidR="009E473D" w:rsidRPr="0043704E">
        <w:rPr>
          <w:rStyle w:val="FootnoteReference"/>
        </w:rPr>
        <w:footnoteReference w:id="9"/>
      </w:r>
    </w:p>
    <w:p w14:paraId="0B23AA88" w14:textId="77777777" w:rsidR="00A8048F" w:rsidRPr="0043704E" w:rsidRDefault="00A8048F" w:rsidP="00A8048F">
      <w:pPr>
        <w:pStyle w:val="mainbodycopy"/>
        <w:spacing w:before="5" w:after="5"/>
        <w:ind w:left="360"/>
        <w:jc w:val="both"/>
      </w:pPr>
    </w:p>
    <w:p w14:paraId="68EBF810" w14:textId="727AEF69" w:rsidR="000C72BC" w:rsidRPr="00A8048F" w:rsidRDefault="00103B9A" w:rsidP="00A8048F">
      <w:pPr>
        <w:pStyle w:val="mainbodycopy"/>
        <w:numPr>
          <w:ilvl w:val="0"/>
          <w:numId w:val="12"/>
        </w:numPr>
        <w:spacing w:before="5" w:after="5"/>
        <w:jc w:val="both"/>
      </w:pPr>
      <w:r w:rsidRPr="0043704E">
        <w:t>In addition, section 149 of the Equality Act 2010 requires public authorities and those exercising a public function to comply with a general duty</w:t>
      </w:r>
      <w:r w:rsidR="00EE0677">
        <w:t>,</w:t>
      </w:r>
      <w:r w:rsidRPr="0043704E">
        <w:t xml:space="preserve"> </w:t>
      </w:r>
      <w:r w:rsidRPr="0043704E">
        <w:rPr>
          <w:spacing w:val="-1"/>
        </w:rPr>
        <w:t>which is</w:t>
      </w:r>
      <w:r w:rsidR="00EE0677">
        <w:rPr>
          <w:spacing w:val="-1"/>
        </w:rPr>
        <w:t xml:space="preserve"> then</w:t>
      </w:r>
      <w:r w:rsidRPr="0043704E">
        <w:rPr>
          <w:spacing w:val="-1"/>
        </w:rPr>
        <w:t xml:space="preserve"> supported by specific duties</w:t>
      </w:r>
      <w:r w:rsidR="00A103DD" w:rsidRPr="0043704E">
        <w:rPr>
          <w:spacing w:val="-1"/>
        </w:rPr>
        <w:t xml:space="preserve"> which are different in each of the three GB nations</w:t>
      </w:r>
      <w:r w:rsidRPr="0043704E">
        <w:rPr>
          <w:spacing w:val="-1"/>
        </w:rPr>
        <w:t>.</w:t>
      </w:r>
      <w:r w:rsidR="0061775B" w:rsidRPr="0043704E">
        <w:rPr>
          <w:rStyle w:val="FootnoteReference"/>
        </w:rPr>
        <w:footnoteReference w:id="10"/>
      </w:r>
      <w:r w:rsidRPr="0043704E">
        <w:rPr>
          <w:spacing w:val="-1"/>
        </w:rPr>
        <w:t xml:space="preserve"> </w:t>
      </w:r>
      <w:r w:rsidR="00BF43CD" w:rsidRPr="0043704E">
        <w:rPr>
          <w:spacing w:val="-1"/>
        </w:rPr>
        <w:t>The “general equality duty”</w:t>
      </w:r>
      <w:r w:rsidRPr="0043704E">
        <w:rPr>
          <w:spacing w:val="-1"/>
        </w:rPr>
        <w:t xml:space="preserve"> is the overarching requirement</w:t>
      </w:r>
      <w:r w:rsidR="006258B0">
        <w:rPr>
          <w:spacing w:val="-1"/>
        </w:rPr>
        <w:t>,</w:t>
      </w:r>
      <w:r w:rsidRPr="0043704E">
        <w:rPr>
          <w:spacing w:val="-1"/>
        </w:rPr>
        <w:t xml:space="preserve"> or substance of the duty, and the </w:t>
      </w:r>
      <w:r w:rsidR="00BF43CD" w:rsidRPr="0043704E">
        <w:rPr>
          <w:spacing w:val="-1"/>
        </w:rPr>
        <w:t>“</w:t>
      </w:r>
      <w:r w:rsidRPr="0043704E">
        <w:rPr>
          <w:spacing w:val="-1"/>
        </w:rPr>
        <w:t>specific duties</w:t>
      </w:r>
      <w:r w:rsidR="00BF43CD" w:rsidRPr="0043704E">
        <w:rPr>
          <w:spacing w:val="-1"/>
        </w:rPr>
        <w:t>”</w:t>
      </w:r>
      <w:r w:rsidRPr="0043704E">
        <w:rPr>
          <w:spacing w:val="-1"/>
        </w:rPr>
        <w:t xml:space="preserve"> are intended to help performance </w:t>
      </w:r>
      <w:r w:rsidR="0042585C">
        <w:rPr>
          <w:spacing w:val="-1"/>
        </w:rPr>
        <w:t>of</w:t>
      </w:r>
      <w:r w:rsidR="0042585C" w:rsidRPr="0043704E">
        <w:rPr>
          <w:spacing w:val="-1"/>
        </w:rPr>
        <w:t xml:space="preserve"> </w:t>
      </w:r>
      <w:r w:rsidRPr="0043704E">
        <w:rPr>
          <w:spacing w:val="-1"/>
        </w:rPr>
        <w:t xml:space="preserve">the general equality duty. Taken together these duties are often referred to as the </w:t>
      </w:r>
      <w:r w:rsidR="00BF43CD" w:rsidRPr="0043704E">
        <w:rPr>
          <w:spacing w:val="-1"/>
        </w:rPr>
        <w:t>“</w:t>
      </w:r>
      <w:r w:rsidR="00A97B60">
        <w:rPr>
          <w:spacing w:val="-1"/>
        </w:rPr>
        <w:t>P</w:t>
      </w:r>
      <w:r w:rsidRPr="0043704E">
        <w:rPr>
          <w:spacing w:val="-1"/>
        </w:rPr>
        <w:t xml:space="preserve">ublic </w:t>
      </w:r>
      <w:r w:rsidR="00A97B60">
        <w:rPr>
          <w:spacing w:val="-1"/>
        </w:rPr>
        <w:t>S</w:t>
      </w:r>
      <w:r w:rsidRPr="0043704E">
        <w:rPr>
          <w:spacing w:val="-1"/>
        </w:rPr>
        <w:t xml:space="preserve">ector </w:t>
      </w:r>
      <w:r w:rsidR="00A97B60">
        <w:rPr>
          <w:spacing w:val="-1"/>
        </w:rPr>
        <w:t>Equality D</w:t>
      </w:r>
      <w:r w:rsidRPr="0043704E">
        <w:rPr>
          <w:spacing w:val="-1"/>
        </w:rPr>
        <w:t>uty</w:t>
      </w:r>
      <w:r w:rsidR="00BF43CD" w:rsidRPr="0043704E">
        <w:rPr>
          <w:spacing w:val="-1"/>
        </w:rPr>
        <w:t>”</w:t>
      </w:r>
      <w:r w:rsidRPr="0043704E">
        <w:rPr>
          <w:spacing w:val="-1"/>
        </w:rPr>
        <w:t xml:space="preserve"> (PSED).</w:t>
      </w:r>
      <w:r w:rsidR="007E3D6D" w:rsidRPr="0043704E">
        <w:rPr>
          <w:rStyle w:val="FootnoteReference"/>
        </w:rPr>
        <w:footnoteReference w:id="11"/>
      </w:r>
    </w:p>
    <w:p w14:paraId="504C2FF8" w14:textId="49C32F29" w:rsidR="00A8048F" w:rsidRPr="0043704E" w:rsidRDefault="00A8048F" w:rsidP="00A8048F">
      <w:pPr>
        <w:pStyle w:val="mainbodycopy"/>
        <w:spacing w:before="5" w:after="5"/>
        <w:jc w:val="both"/>
      </w:pPr>
    </w:p>
    <w:p w14:paraId="307A2500" w14:textId="2172FC4E" w:rsidR="000E0DCD" w:rsidRPr="0043704E" w:rsidRDefault="00103B9A" w:rsidP="00A8048F">
      <w:pPr>
        <w:pStyle w:val="mainbodycopy"/>
        <w:numPr>
          <w:ilvl w:val="0"/>
          <w:numId w:val="12"/>
        </w:numPr>
        <w:spacing w:before="5" w:after="5"/>
        <w:jc w:val="both"/>
      </w:pPr>
      <w:r w:rsidRPr="0043704E">
        <w:t>The general equality duty requires public authorities, in the exercise of their functions, to have due regard to the need to:</w:t>
      </w:r>
    </w:p>
    <w:p w14:paraId="4E0406D9" w14:textId="103168D7" w:rsidR="000E0DCD" w:rsidRPr="0043704E" w:rsidRDefault="00103B9A" w:rsidP="00A8048F">
      <w:pPr>
        <w:pStyle w:val="mainbodycopy"/>
        <w:numPr>
          <w:ilvl w:val="1"/>
          <w:numId w:val="13"/>
        </w:numPr>
        <w:spacing w:before="5" w:after="5"/>
        <w:jc w:val="both"/>
      </w:pPr>
      <w:r w:rsidRPr="0043704E">
        <w:lastRenderedPageBreak/>
        <w:t xml:space="preserve">Eliminate discrimination, harassment and victimisation and any other conduct that is </w:t>
      </w:r>
      <w:r w:rsidR="000C72BC" w:rsidRPr="0043704E">
        <w:t>prohibited by or under the Act;</w:t>
      </w:r>
    </w:p>
    <w:p w14:paraId="318044D0" w14:textId="563FC17A" w:rsidR="000E0DCD" w:rsidRPr="0043704E" w:rsidRDefault="00103B9A" w:rsidP="00A8048F">
      <w:pPr>
        <w:pStyle w:val="mainbodycopy"/>
        <w:numPr>
          <w:ilvl w:val="1"/>
          <w:numId w:val="13"/>
        </w:numPr>
        <w:spacing w:before="5" w:after="5"/>
        <w:jc w:val="both"/>
      </w:pPr>
      <w:r w:rsidRPr="0043704E">
        <w:t>Advance equality of opportunity between people who share a relevant protected characteristic and people w</w:t>
      </w:r>
      <w:r w:rsidR="000C72BC" w:rsidRPr="0043704E">
        <w:t>ho do not share it; and</w:t>
      </w:r>
    </w:p>
    <w:p w14:paraId="519D25D6" w14:textId="3A2C5A75" w:rsidR="002C5749" w:rsidRDefault="00103B9A" w:rsidP="00A8048F">
      <w:pPr>
        <w:pStyle w:val="mainbodycopy"/>
        <w:numPr>
          <w:ilvl w:val="1"/>
          <w:numId w:val="13"/>
        </w:numPr>
        <w:spacing w:before="5" w:after="5"/>
        <w:jc w:val="both"/>
      </w:pPr>
      <w:r w:rsidRPr="0043704E">
        <w:t>Foster good relations between people who share a relevant protected characteristic and those who do not share it.</w:t>
      </w:r>
    </w:p>
    <w:p w14:paraId="52971A09" w14:textId="77777777" w:rsidR="00A8048F" w:rsidRPr="0043704E" w:rsidRDefault="00A8048F" w:rsidP="00A8048F">
      <w:pPr>
        <w:pStyle w:val="mainbodycopy"/>
        <w:spacing w:before="5" w:after="5"/>
        <w:ind w:left="1080"/>
        <w:jc w:val="both"/>
      </w:pPr>
    </w:p>
    <w:p w14:paraId="2497E673" w14:textId="42F36C6C" w:rsidR="007E3D6D" w:rsidRPr="00A8048F" w:rsidRDefault="00E75618" w:rsidP="00A8048F">
      <w:pPr>
        <w:pStyle w:val="mainbodycopy"/>
        <w:numPr>
          <w:ilvl w:val="0"/>
          <w:numId w:val="12"/>
        </w:numPr>
        <w:spacing w:before="5" w:after="5"/>
        <w:jc w:val="both"/>
      </w:pPr>
      <w:r w:rsidRPr="0043704E">
        <w:rPr>
          <w:spacing w:val="-1"/>
        </w:rPr>
        <w:t xml:space="preserve">As the Law Commissions note, the </w:t>
      </w:r>
      <w:r w:rsidR="00A97B60">
        <w:rPr>
          <w:spacing w:val="-1"/>
        </w:rPr>
        <w:t xml:space="preserve">PSED </w:t>
      </w:r>
      <w:r w:rsidRPr="0043704E">
        <w:rPr>
          <w:spacing w:val="-1"/>
        </w:rPr>
        <w:t>currently applies to Local Transport Authorities</w:t>
      </w:r>
      <w:r w:rsidR="00A103DD" w:rsidRPr="0043704E">
        <w:rPr>
          <w:spacing w:val="-1"/>
        </w:rPr>
        <w:t xml:space="preserve"> and Transport Partnerships</w:t>
      </w:r>
      <w:r w:rsidRPr="0043704E">
        <w:rPr>
          <w:spacing w:val="-1"/>
        </w:rPr>
        <w:t xml:space="preserve">. We would emphasise that it also applies to other public bodies </w:t>
      </w:r>
      <w:r w:rsidR="0042585C">
        <w:rPr>
          <w:spacing w:val="-1"/>
        </w:rPr>
        <w:t>including</w:t>
      </w:r>
      <w:r w:rsidR="0042585C" w:rsidRPr="0043704E">
        <w:rPr>
          <w:spacing w:val="-1"/>
        </w:rPr>
        <w:t xml:space="preserve"> </w:t>
      </w:r>
      <w:r w:rsidRPr="006258B0">
        <w:rPr>
          <w:i/>
          <w:spacing w:val="-1"/>
        </w:rPr>
        <w:t>regulators</w:t>
      </w:r>
      <w:r w:rsidRPr="0043704E">
        <w:rPr>
          <w:spacing w:val="-1"/>
        </w:rPr>
        <w:t xml:space="preserve"> of public transport</w:t>
      </w:r>
      <w:r w:rsidR="0042585C">
        <w:rPr>
          <w:spacing w:val="-1"/>
        </w:rPr>
        <w:t>,</w:t>
      </w:r>
      <w:r w:rsidRPr="0043704E">
        <w:rPr>
          <w:spacing w:val="-1"/>
        </w:rPr>
        <w:t xml:space="preserve"> such as the Office of </w:t>
      </w:r>
      <w:r w:rsidR="009569A3" w:rsidRPr="0043704E">
        <w:rPr>
          <w:spacing w:val="-1"/>
        </w:rPr>
        <w:t>Rail and Road</w:t>
      </w:r>
      <w:r w:rsidRPr="0043704E">
        <w:rPr>
          <w:spacing w:val="-1"/>
        </w:rPr>
        <w:t xml:space="preserve">. </w:t>
      </w:r>
    </w:p>
    <w:p w14:paraId="0F934779" w14:textId="77777777" w:rsidR="00A8048F" w:rsidRPr="0043704E" w:rsidRDefault="00A8048F" w:rsidP="00A8048F">
      <w:pPr>
        <w:pStyle w:val="mainbodycopy"/>
        <w:spacing w:before="5" w:after="5"/>
        <w:ind w:left="360"/>
        <w:jc w:val="both"/>
      </w:pPr>
    </w:p>
    <w:p w14:paraId="3BDB1329" w14:textId="1EC3D3D2" w:rsidR="00507DBB" w:rsidRDefault="00686AB3" w:rsidP="00A8048F">
      <w:pPr>
        <w:pStyle w:val="Bulletsgroup"/>
        <w:numPr>
          <w:ilvl w:val="0"/>
          <w:numId w:val="12"/>
        </w:numPr>
        <w:spacing w:before="5" w:after="5" w:line="360" w:lineRule="auto"/>
        <w:jc w:val="both"/>
        <w:rPr>
          <w:rFonts w:cs="Arial"/>
        </w:rPr>
      </w:pPr>
      <w:r w:rsidRPr="0043704E">
        <w:rPr>
          <w:rFonts w:cs="Arial"/>
        </w:rPr>
        <w:t>T</w:t>
      </w:r>
      <w:r w:rsidR="00B41098" w:rsidRPr="0043704E">
        <w:rPr>
          <w:rFonts w:cs="Arial"/>
        </w:rPr>
        <w:t xml:space="preserve">he PSED will apply to any </w:t>
      </w:r>
      <w:r w:rsidRPr="0043704E">
        <w:rPr>
          <w:rFonts w:cs="Arial"/>
        </w:rPr>
        <w:t>organisation</w:t>
      </w:r>
      <w:r w:rsidR="00203085" w:rsidRPr="0043704E">
        <w:rPr>
          <w:rFonts w:cs="Arial"/>
        </w:rPr>
        <w:t xml:space="preserve"> when exercising</w:t>
      </w:r>
      <w:r w:rsidR="00507DBB" w:rsidRPr="0043704E">
        <w:rPr>
          <w:rFonts w:cs="Arial"/>
        </w:rPr>
        <w:t xml:space="preserve"> </w:t>
      </w:r>
      <w:r w:rsidR="0042585C">
        <w:rPr>
          <w:rFonts w:cs="Arial"/>
        </w:rPr>
        <w:t xml:space="preserve">a </w:t>
      </w:r>
      <w:r w:rsidR="00507DBB" w:rsidRPr="0043704E">
        <w:rPr>
          <w:rFonts w:cs="Arial"/>
        </w:rPr>
        <w:t>public function (such as</w:t>
      </w:r>
      <w:r w:rsidR="00A723FA" w:rsidRPr="0043704E">
        <w:rPr>
          <w:rFonts w:cs="Arial"/>
        </w:rPr>
        <w:t xml:space="preserve"> the l</w:t>
      </w:r>
      <w:r w:rsidR="000C72BC" w:rsidRPr="0043704E">
        <w:rPr>
          <w:rFonts w:cs="Arial"/>
        </w:rPr>
        <w:t xml:space="preserve">icensing or regulation of </w:t>
      </w:r>
      <w:r w:rsidR="00421CB4" w:rsidRPr="0043704E">
        <w:rPr>
          <w:rFonts w:cs="Arial"/>
        </w:rPr>
        <w:t>Highly Automated Road Passenger Services (</w:t>
      </w:r>
      <w:r w:rsidR="000C72BC" w:rsidRPr="0043704E">
        <w:rPr>
          <w:rFonts w:cs="Arial"/>
          <w:b/>
        </w:rPr>
        <w:t>HARPS</w:t>
      </w:r>
      <w:r w:rsidR="00421CB4" w:rsidRPr="0043704E">
        <w:rPr>
          <w:rFonts w:cs="Arial"/>
        </w:rPr>
        <w:t>)</w:t>
      </w:r>
      <w:r w:rsidR="006258B0">
        <w:rPr>
          <w:rFonts w:cs="Arial"/>
        </w:rPr>
        <w:t>)</w:t>
      </w:r>
      <w:r w:rsidR="00421CB4" w:rsidRPr="0043704E">
        <w:rPr>
          <w:rFonts w:cs="Arial"/>
        </w:rPr>
        <w:t>,</w:t>
      </w:r>
      <w:r w:rsidR="00421CB4" w:rsidRPr="0043704E">
        <w:rPr>
          <w:rStyle w:val="FootnoteReference"/>
          <w:rFonts w:cs="Arial"/>
        </w:rPr>
        <w:footnoteReference w:id="12"/>
      </w:r>
      <w:r w:rsidR="000C72BC" w:rsidRPr="0043704E">
        <w:rPr>
          <w:rFonts w:cs="Arial"/>
        </w:rPr>
        <w:t xml:space="preserve"> even if it </w:t>
      </w:r>
      <w:r w:rsidR="009D3EE5" w:rsidRPr="0043704E">
        <w:rPr>
          <w:rFonts w:cs="Arial"/>
        </w:rPr>
        <w:t xml:space="preserve">may not </w:t>
      </w:r>
      <w:r w:rsidR="002B705E" w:rsidRPr="0043704E">
        <w:rPr>
          <w:rFonts w:cs="Arial"/>
        </w:rPr>
        <w:t>generally apply</w:t>
      </w:r>
      <w:r w:rsidR="000C72BC" w:rsidRPr="0043704E">
        <w:rPr>
          <w:rFonts w:cs="Arial"/>
        </w:rPr>
        <w:t xml:space="preserve"> to the private sector operator itself.</w:t>
      </w:r>
      <w:r w:rsidR="00A723FA" w:rsidRPr="0043704E">
        <w:rPr>
          <w:rFonts w:cs="Arial"/>
        </w:rPr>
        <w:t xml:space="preserve"> </w:t>
      </w:r>
    </w:p>
    <w:p w14:paraId="59A1EAAA" w14:textId="77777777" w:rsidR="00A8048F" w:rsidRPr="0043704E" w:rsidRDefault="00A8048F" w:rsidP="00A8048F">
      <w:pPr>
        <w:pStyle w:val="Bulletsgroup"/>
        <w:numPr>
          <w:ilvl w:val="0"/>
          <w:numId w:val="0"/>
        </w:numPr>
        <w:spacing w:before="5" w:after="5" w:line="360" w:lineRule="auto"/>
        <w:ind w:left="360"/>
        <w:jc w:val="both"/>
        <w:rPr>
          <w:rFonts w:cs="Arial"/>
        </w:rPr>
      </w:pPr>
    </w:p>
    <w:p w14:paraId="2BA3D172" w14:textId="1DCFEF71" w:rsidR="00D07E63" w:rsidRDefault="00A723FA" w:rsidP="00A8048F">
      <w:pPr>
        <w:pStyle w:val="ListParagraph"/>
        <w:numPr>
          <w:ilvl w:val="0"/>
          <w:numId w:val="12"/>
        </w:numPr>
        <w:spacing w:before="5" w:after="5" w:line="360" w:lineRule="auto"/>
        <w:contextualSpacing w:val="0"/>
        <w:rPr>
          <w:rFonts w:cs="Arial"/>
          <w:szCs w:val="24"/>
        </w:rPr>
      </w:pPr>
      <w:r w:rsidRPr="0043704E">
        <w:rPr>
          <w:rFonts w:cs="Arial"/>
        </w:rPr>
        <w:t xml:space="preserve">The Commission believes that the PSED </w:t>
      </w:r>
      <w:r w:rsidR="00A97B60">
        <w:rPr>
          <w:rFonts w:cs="Arial"/>
        </w:rPr>
        <w:t xml:space="preserve">is an </w:t>
      </w:r>
      <w:r w:rsidR="00A8048F">
        <w:rPr>
          <w:rFonts w:cs="Arial"/>
        </w:rPr>
        <w:t xml:space="preserve">essential </w:t>
      </w:r>
      <w:r w:rsidR="00A8048F" w:rsidRPr="0043704E">
        <w:rPr>
          <w:rFonts w:cs="Arial"/>
        </w:rPr>
        <w:t>tool</w:t>
      </w:r>
      <w:r w:rsidRPr="0043704E">
        <w:rPr>
          <w:rFonts w:cs="Arial"/>
        </w:rPr>
        <w:t xml:space="preserve"> in embedding equality </w:t>
      </w:r>
      <w:r w:rsidR="009D3EE5" w:rsidRPr="0043704E">
        <w:rPr>
          <w:rFonts w:cs="Arial"/>
        </w:rPr>
        <w:t xml:space="preserve">considerations </w:t>
      </w:r>
      <w:r w:rsidRPr="0043704E">
        <w:rPr>
          <w:rFonts w:cs="Arial"/>
        </w:rPr>
        <w:t xml:space="preserve">in the </w:t>
      </w:r>
      <w:r w:rsidR="00507DBB" w:rsidRPr="0043704E">
        <w:rPr>
          <w:rFonts w:cs="Arial"/>
        </w:rPr>
        <w:t xml:space="preserve">exercise of </w:t>
      </w:r>
      <w:r w:rsidR="0042585C">
        <w:rPr>
          <w:rFonts w:cs="Arial"/>
        </w:rPr>
        <w:t>public</w:t>
      </w:r>
      <w:r w:rsidR="0042585C" w:rsidRPr="0043704E">
        <w:rPr>
          <w:rFonts w:cs="Arial"/>
        </w:rPr>
        <w:t xml:space="preserve"> </w:t>
      </w:r>
      <w:r w:rsidR="00507DBB" w:rsidRPr="0043704E">
        <w:rPr>
          <w:rFonts w:cs="Arial"/>
        </w:rPr>
        <w:t>functions</w:t>
      </w:r>
      <w:r w:rsidRPr="0043704E">
        <w:rPr>
          <w:rFonts w:cs="Arial"/>
        </w:rPr>
        <w:t xml:space="preserve">. </w:t>
      </w:r>
      <w:r w:rsidR="00E75618" w:rsidRPr="0043704E">
        <w:rPr>
          <w:rFonts w:cs="Arial"/>
          <w:szCs w:val="24"/>
        </w:rPr>
        <w:t xml:space="preserve">It does so by requiring organisations to consider how they could positively contribute to the advancement of equality in the design and implementation of their policies. For example, a regulator with responsibility for HARPS would need to consider the potential impact on equality before it designs any new regulatory </w:t>
      </w:r>
      <w:r w:rsidR="0042585C">
        <w:rPr>
          <w:rFonts w:cs="Arial"/>
          <w:szCs w:val="24"/>
        </w:rPr>
        <w:t xml:space="preserve">framework or </w:t>
      </w:r>
      <w:r w:rsidR="00E75618" w:rsidRPr="0043704E">
        <w:rPr>
          <w:rFonts w:cs="Arial"/>
          <w:szCs w:val="24"/>
        </w:rPr>
        <w:t xml:space="preserve">guidance. It should then collect data on the actual impact </w:t>
      </w:r>
      <w:r w:rsidR="0042585C">
        <w:rPr>
          <w:rFonts w:cs="Arial"/>
          <w:szCs w:val="24"/>
        </w:rPr>
        <w:t xml:space="preserve">on equality </w:t>
      </w:r>
      <w:r w:rsidR="00E75618" w:rsidRPr="0043704E">
        <w:rPr>
          <w:rFonts w:cs="Arial"/>
          <w:szCs w:val="24"/>
        </w:rPr>
        <w:t xml:space="preserve">of </w:t>
      </w:r>
      <w:r w:rsidR="0042585C">
        <w:rPr>
          <w:rFonts w:cs="Arial"/>
          <w:szCs w:val="24"/>
        </w:rPr>
        <w:t>its regulatory activity</w:t>
      </w:r>
      <w:r w:rsidR="00E75618" w:rsidRPr="0043704E">
        <w:rPr>
          <w:rFonts w:cs="Arial"/>
          <w:szCs w:val="24"/>
        </w:rPr>
        <w:t>, and consider redesigning aspects of it in light of the evidence.</w:t>
      </w:r>
    </w:p>
    <w:p w14:paraId="4D217DB1" w14:textId="3CB7F91D" w:rsidR="00A8048F" w:rsidRPr="00A8048F" w:rsidRDefault="00A8048F" w:rsidP="00A8048F">
      <w:pPr>
        <w:spacing w:before="5" w:after="5" w:line="360" w:lineRule="auto"/>
        <w:rPr>
          <w:rFonts w:cs="Arial"/>
          <w:szCs w:val="24"/>
        </w:rPr>
      </w:pPr>
    </w:p>
    <w:p w14:paraId="040FB4F9" w14:textId="6CD51516" w:rsidR="00A8048F" w:rsidRPr="00394E61" w:rsidRDefault="00A103DD" w:rsidP="00A8048F">
      <w:pPr>
        <w:pStyle w:val="ListParagraph"/>
        <w:numPr>
          <w:ilvl w:val="0"/>
          <w:numId w:val="12"/>
        </w:numPr>
        <w:spacing w:before="5" w:after="5" w:line="360" w:lineRule="auto"/>
        <w:contextualSpacing w:val="0"/>
        <w:rPr>
          <w:rFonts w:cs="Arial"/>
          <w:szCs w:val="24"/>
        </w:rPr>
      </w:pPr>
      <w:r w:rsidRPr="0043704E">
        <w:t>It is also important to note that the socio-economic duty under Part 1 of the EA 2</w:t>
      </w:r>
      <w:r w:rsidR="006258B0">
        <w:t>010 – known in Scotland as the “Fairer Scotland”</w:t>
      </w:r>
      <w:r w:rsidRPr="0043704E">
        <w:t xml:space="preserve"> duty – came into force in </w:t>
      </w:r>
      <w:r w:rsidRPr="0043704E">
        <w:lastRenderedPageBreak/>
        <w:t>Scotland in April 2018.</w:t>
      </w:r>
      <w:r w:rsidRPr="0043704E">
        <w:rPr>
          <w:rStyle w:val="FootnoteReference"/>
        </w:rPr>
        <w:footnoteReference w:id="13"/>
      </w:r>
      <w:r w:rsidRPr="0043704E">
        <w:t xml:space="preserve"> It places a legal responsibility on particular public bodies – including the Scottish Government, Scottish local authorities, and Transport Scotland – to actively consider how they can reduce inequalities of outcome caused by socio-economic disadvantage when making strategic decisions.</w:t>
      </w:r>
      <w:r w:rsidR="0042585C">
        <w:t xml:space="preserve">  The Welsh Government has committed to bringing the socio-economic duty into force in Wales in April 2020. </w:t>
      </w:r>
    </w:p>
    <w:p w14:paraId="4596D704" w14:textId="0996E695" w:rsidR="00394E61" w:rsidRPr="00394E61" w:rsidRDefault="00394E61" w:rsidP="00394E61">
      <w:pPr>
        <w:spacing w:before="5" w:after="5" w:line="360" w:lineRule="auto"/>
        <w:rPr>
          <w:rFonts w:cs="Arial"/>
          <w:szCs w:val="24"/>
        </w:rPr>
      </w:pPr>
    </w:p>
    <w:p w14:paraId="6461A372" w14:textId="58D73A5D" w:rsidR="00D07E63" w:rsidRPr="0043704E" w:rsidRDefault="00D07E63" w:rsidP="00A8048F">
      <w:pPr>
        <w:pStyle w:val="Heading2"/>
        <w:spacing w:before="5" w:after="5" w:line="360" w:lineRule="auto"/>
        <w:jc w:val="both"/>
        <w:rPr>
          <w:rFonts w:ascii="Arial" w:hAnsi="Arial" w:cs="Arial"/>
          <w:b/>
          <w:color w:val="auto"/>
        </w:rPr>
      </w:pPr>
      <w:bookmarkStart w:id="35" w:name="_Toc30601746"/>
      <w:bookmarkStart w:id="36" w:name="_Toc30601886"/>
      <w:bookmarkStart w:id="37" w:name="_Toc30662632"/>
      <w:bookmarkStart w:id="38" w:name="_Toc26528668"/>
      <w:r w:rsidRPr="0043704E">
        <w:rPr>
          <w:rFonts w:ascii="Arial" w:hAnsi="Arial" w:cs="Arial"/>
          <w:b/>
          <w:color w:val="auto"/>
        </w:rPr>
        <w:t>The</w:t>
      </w:r>
      <w:r w:rsidR="00103B9A" w:rsidRPr="0043704E">
        <w:rPr>
          <w:rFonts w:ascii="Arial" w:hAnsi="Arial" w:cs="Arial"/>
          <w:b/>
          <w:color w:val="auto"/>
        </w:rPr>
        <w:t xml:space="preserve"> international human rights framework</w:t>
      </w:r>
      <w:bookmarkEnd w:id="35"/>
      <w:bookmarkEnd w:id="36"/>
      <w:bookmarkEnd w:id="37"/>
      <w:r w:rsidR="00103B9A" w:rsidRPr="0043704E">
        <w:rPr>
          <w:rFonts w:ascii="Arial" w:hAnsi="Arial" w:cs="Arial"/>
          <w:b/>
          <w:color w:val="auto"/>
        </w:rPr>
        <w:t xml:space="preserve"> </w:t>
      </w:r>
      <w:bookmarkEnd w:id="38"/>
    </w:p>
    <w:p w14:paraId="3EB52E4A" w14:textId="77777777" w:rsidR="00A8048F" w:rsidRDefault="00A8048F" w:rsidP="00A8048F">
      <w:pPr>
        <w:pStyle w:val="NormalWeb"/>
        <w:spacing w:before="5" w:beforeAutospacing="0" w:after="5" w:afterAutospacing="0" w:line="360" w:lineRule="auto"/>
        <w:ind w:left="360"/>
        <w:jc w:val="both"/>
        <w:textAlignment w:val="baseline"/>
        <w:rPr>
          <w:rFonts w:ascii="Arial" w:hAnsi="Arial" w:cs="Arial"/>
        </w:rPr>
      </w:pPr>
    </w:p>
    <w:p w14:paraId="513A3793" w14:textId="11FD5511" w:rsidR="009D3EE5" w:rsidRDefault="00EC1C6A" w:rsidP="00A8048F">
      <w:pPr>
        <w:pStyle w:val="NormalWeb"/>
        <w:numPr>
          <w:ilvl w:val="0"/>
          <w:numId w:val="12"/>
        </w:numPr>
        <w:spacing w:before="5" w:beforeAutospacing="0" w:after="5" w:afterAutospacing="0" w:line="360" w:lineRule="auto"/>
        <w:jc w:val="both"/>
        <w:textAlignment w:val="baseline"/>
        <w:rPr>
          <w:rFonts w:ascii="Arial" w:hAnsi="Arial" w:cs="Arial"/>
        </w:rPr>
      </w:pPr>
      <w:r w:rsidRPr="0043704E">
        <w:rPr>
          <w:rFonts w:ascii="Arial" w:hAnsi="Arial" w:cs="Arial"/>
        </w:rPr>
        <w:t>The international human rights framework is a body of legal standards developed and agreed to by states at the int</w:t>
      </w:r>
      <w:r w:rsidR="006258B0">
        <w:rPr>
          <w:rFonts w:ascii="Arial" w:hAnsi="Arial" w:cs="Arial"/>
        </w:rPr>
        <w:t xml:space="preserve">ernational level. Most notably it comprises </w:t>
      </w:r>
      <w:r w:rsidRPr="0043704E">
        <w:rPr>
          <w:rFonts w:ascii="Arial" w:hAnsi="Arial" w:cs="Arial"/>
        </w:rPr>
        <w:t xml:space="preserve">UN human rights treaties, which are </w:t>
      </w:r>
      <w:r w:rsidR="00E75618" w:rsidRPr="0043704E">
        <w:rPr>
          <w:rFonts w:ascii="Arial" w:hAnsi="Arial" w:cs="Arial"/>
        </w:rPr>
        <w:t>binding in international law upon states</w:t>
      </w:r>
      <w:r w:rsidRPr="0043704E">
        <w:rPr>
          <w:rFonts w:ascii="Arial" w:hAnsi="Arial" w:cs="Arial"/>
        </w:rPr>
        <w:t xml:space="preserve"> that have signed and ratified the treaty. </w:t>
      </w:r>
      <w:r w:rsidR="009D3EE5" w:rsidRPr="0043704E">
        <w:rPr>
          <w:rFonts w:ascii="Arial" w:hAnsi="Arial" w:cs="Arial"/>
        </w:rPr>
        <w:t>This means that all UK governments and public bodies – central, local and devolved – and all public officials have to take appropriate measures to implement them.</w:t>
      </w:r>
      <w:r w:rsidR="00E75618" w:rsidRPr="0043704E">
        <w:rPr>
          <w:rStyle w:val="FootnoteReference"/>
          <w:rFonts w:ascii="Arial" w:hAnsi="Arial" w:cs="Arial"/>
        </w:rPr>
        <w:footnoteReference w:id="14"/>
      </w:r>
      <w:r w:rsidR="009D3EE5" w:rsidRPr="0043704E">
        <w:rPr>
          <w:rFonts w:ascii="Arial" w:hAnsi="Arial" w:cs="Arial"/>
        </w:rPr>
        <w:t xml:space="preserve"> </w:t>
      </w:r>
    </w:p>
    <w:p w14:paraId="77C32B0B" w14:textId="77777777" w:rsidR="00A8048F" w:rsidRPr="0043704E" w:rsidRDefault="00A8048F" w:rsidP="00A8048F">
      <w:pPr>
        <w:pStyle w:val="NormalWeb"/>
        <w:spacing w:before="5" w:beforeAutospacing="0" w:after="5" w:afterAutospacing="0" w:line="360" w:lineRule="auto"/>
        <w:ind w:left="360"/>
        <w:jc w:val="both"/>
        <w:textAlignment w:val="baseline"/>
        <w:rPr>
          <w:rFonts w:ascii="Arial" w:hAnsi="Arial" w:cs="Arial"/>
        </w:rPr>
      </w:pPr>
    </w:p>
    <w:p w14:paraId="19D8FB7F" w14:textId="66E4B2FC" w:rsidR="00C05D1C" w:rsidRDefault="00103B9A" w:rsidP="00A8048F">
      <w:pPr>
        <w:pStyle w:val="NormalWeb"/>
        <w:numPr>
          <w:ilvl w:val="0"/>
          <w:numId w:val="12"/>
        </w:numPr>
        <w:spacing w:before="5" w:beforeAutospacing="0" w:after="5" w:afterAutospacing="0" w:line="360" w:lineRule="auto"/>
        <w:jc w:val="both"/>
        <w:textAlignment w:val="baseline"/>
        <w:rPr>
          <w:rFonts w:ascii="Arial" w:hAnsi="Arial" w:cs="Arial"/>
        </w:rPr>
      </w:pPr>
      <w:r w:rsidRPr="0043704E">
        <w:rPr>
          <w:rFonts w:ascii="Arial" w:hAnsi="Arial" w:cs="Arial"/>
        </w:rPr>
        <w:t>There are a number of provisions within international treaties which either relate to, or can be applied to, the topic of transport. These are, in particular, Articles 9 and 19 of the UN Convention on the Rights of Persons with Disabilities (</w:t>
      </w:r>
      <w:r w:rsidR="00CF1041" w:rsidRPr="0043704E">
        <w:rPr>
          <w:rFonts w:ascii="Arial" w:hAnsi="Arial" w:cs="Arial"/>
        </w:rPr>
        <w:t xml:space="preserve">the </w:t>
      </w:r>
      <w:r w:rsidRPr="0043704E">
        <w:rPr>
          <w:rFonts w:ascii="Arial" w:hAnsi="Arial" w:cs="Arial"/>
          <w:b/>
        </w:rPr>
        <w:t>UNCRPD</w:t>
      </w:r>
      <w:r w:rsidRPr="0043704E">
        <w:rPr>
          <w:rFonts w:ascii="Arial" w:hAnsi="Arial" w:cs="Arial"/>
        </w:rPr>
        <w:t>).</w:t>
      </w:r>
      <w:r w:rsidR="00A723FA" w:rsidRPr="0043704E">
        <w:rPr>
          <w:rFonts w:ascii="Arial" w:hAnsi="Arial" w:cs="Arial"/>
        </w:rPr>
        <w:t xml:space="preserve"> The UK ratified the UNCRPD in 2009.</w:t>
      </w:r>
      <w:r w:rsidR="00CF1041" w:rsidRPr="0043704E">
        <w:rPr>
          <w:rFonts w:ascii="Arial" w:hAnsi="Arial" w:cs="Arial"/>
        </w:rPr>
        <w:t xml:space="preserve"> </w:t>
      </w:r>
    </w:p>
    <w:p w14:paraId="6EB369C7" w14:textId="7DB87C3A" w:rsidR="00A8048F" w:rsidRPr="0043704E" w:rsidRDefault="00A8048F" w:rsidP="00A8048F">
      <w:pPr>
        <w:pStyle w:val="NormalWeb"/>
        <w:spacing w:before="5" w:beforeAutospacing="0" w:after="5" w:afterAutospacing="0" w:line="360" w:lineRule="auto"/>
        <w:jc w:val="both"/>
        <w:textAlignment w:val="baseline"/>
        <w:rPr>
          <w:rFonts w:ascii="Arial" w:hAnsi="Arial" w:cs="Arial"/>
        </w:rPr>
      </w:pPr>
    </w:p>
    <w:p w14:paraId="18DF28D5" w14:textId="46C86680" w:rsidR="00103B9A" w:rsidRDefault="00CF1041" w:rsidP="00A8048F">
      <w:pPr>
        <w:pStyle w:val="NormalWeb"/>
        <w:numPr>
          <w:ilvl w:val="0"/>
          <w:numId w:val="12"/>
        </w:numPr>
        <w:spacing w:before="5" w:beforeAutospacing="0" w:after="5" w:afterAutospacing="0" w:line="360" w:lineRule="auto"/>
        <w:jc w:val="both"/>
        <w:textAlignment w:val="baseline"/>
        <w:rPr>
          <w:rFonts w:ascii="Arial" w:hAnsi="Arial" w:cs="Arial"/>
        </w:rPr>
      </w:pPr>
      <w:r w:rsidRPr="0043704E">
        <w:rPr>
          <w:rFonts w:ascii="Arial" w:hAnsi="Arial" w:cs="Arial"/>
        </w:rPr>
        <w:t xml:space="preserve">The Committee of the Rights of Persons with Disabilities (the </w:t>
      </w:r>
      <w:r w:rsidRPr="0043704E">
        <w:rPr>
          <w:rFonts w:ascii="Arial" w:hAnsi="Arial" w:cs="Arial"/>
          <w:b/>
        </w:rPr>
        <w:t>CRPD Committee</w:t>
      </w:r>
      <w:r w:rsidRPr="0043704E">
        <w:rPr>
          <w:rFonts w:ascii="Arial" w:hAnsi="Arial" w:cs="Arial"/>
        </w:rPr>
        <w:t>)</w:t>
      </w:r>
      <w:r w:rsidR="007770C3" w:rsidRPr="0043704E">
        <w:rPr>
          <w:rFonts w:ascii="Arial" w:hAnsi="Arial" w:cs="Arial"/>
          <w:b/>
        </w:rPr>
        <w:t xml:space="preserve"> </w:t>
      </w:r>
      <w:r w:rsidR="007770C3" w:rsidRPr="0043704E">
        <w:rPr>
          <w:rFonts w:ascii="Arial" w:hAnsi="Arial" w:cs="Arial"/>
        </w:rPr>
        <w:t>is the treaty body of independent experts which monitors the implementation of the UNCRPD.</w:t>
      </w:r>
    </w:p>
    <w:p w14:paraId="11111C09" w14:textId="448FA952" w:rsidR="00A8048F" w:rsidRPr="0043704E" w:rsidRDefault="00A8048F" w:rsidP="00A8048F">
      <w:pPr>
        <w:pStyle w:val="NormalWeb"/>
        <w:spacing w:before="5" w:beforeAutospacing="0" w:after="5" w:afterAutospacing="0" w:line="360" w:lineRule="auto"/>
        <w:jc w:val="both"/>
        <w:textAlignment w:val="baseline"/>
        <w:rPr>
          <w:rFonts w:ascii="Arial" w:hAnsi="Arial" w:cs="Arial"/>
        </w:rPr>
      </w:pPr>
    </w:p>
    <w:p w14:paraId="4A200823" w14:textId="458BF814" w:rsidR="00B41098" w:rsidRDefault="006258B0" w:rsidP="00A8048F">
      <w:pPr>
        <w:pStyle w:val="NoSpacing"/>
        <w:numPr>
          <w:ilvl w:val="0"/>
          <w:numId w:val="12"/>
        </w:numPr>
        <w:spacing w:before="5" w:after="5" w:line="360" w:lineRule="auto"/>
        <w:jc w:val="both"/>
        <w:rPr>
          <w:rFonts w:cs="Arial"/>
          <w:szCs w:val="24"/>
        </w:rPr>
      </w:pPr>
      <w:r>
        <w:rPr>
          <w:rFonts w:cs="Arial"/>
          <w:szCs w:val="24"/>
        </w:rPr>
        <w:lastRenderedPageBreak/>
        <w:t>At the outset, it is important to understand that u</w:t>
      </w:r>
      <w:r w:rsidR="00B41098" w:rsidRPr="0043704E">
        <w:rPr>
          <w:rFonts w:cs="Arial"/>
          <w:szCs w:val="24"/>
        </w:rPr>
        <w:t>nder both section 20 of the EA 2010</w:t>
      </w:r>
      <w:r w:rsidR="000C72BC" w:rsidRPr="0043704E">
        <w:rPr>
          <w:rFonts w:cs="Arial"/>
          <w:szCs w:val="24"/>
        </w:rPr>
        <w:t xml:space="preserve"> (requirement to make reasonable </w:t>
      </w:r>
      <w:r w:rsidR="006372D5" w:rsidRPr="0043704E">
        <w:rPr>
          <w:rFonts w:cs="Arial"/>
          <w:szCs w:val="24"/>
        </w:rPr>
        <w:t>adjustments, explained above),</w:t>
      </w:r>
      <w:r w:rsidR="00B41098" w:rsidRPr="0043704E">
        <w:rPr>
          <w:rFonts w:cs="Arial"/>
          <w:szCs w:val="24"/>
        </w:rPr>
        <w:t xml:space="preserve"> and the UNCRPD, obligations around accessibility are </w:t>
      </w:r>
      <w:r w:rsidR="00B41098" w:rsidRPr="006258B0">
        <w:rPr>
          <w:rFonts w:cs="Arial"/>
          <w:i/>
          <w:szCs w:val="24"/>
        </w:rPr>
        <w:t>anticipatory</w:t>
      </w:r>
      <w:r w:rsidR="00B41098" w:rsidRPr="0043704E">
        <w:rPr>
          <w:rFonts w:cs="Arial"/>
          <w:szCs w:val="24"/>
        </w:rPr>
        <w:t>: that means the state and its agents need to take proactive steps to provide accessible services rather than wait for requests</w:t>
      </w:r>
      <w:r>
        <w:rPr>
          <w:rFonts w:cs="Arial"/>
          <w:szCs w:val="24"/>
        </w:rPr>
        <w:t xml:space="preserve"> or complaints from disabled people</w:t>
      </w:r>
      <w:r w:rsidR="00B41098" w:rsidRPr="0043704E">
        <w:rPr>
          <w:rFonts w:cs="Arial"/>
          <w:szCs w:val="24"/>
        </w:rPr>
        <w:t>.</w:t>
      </w:r>
      <w:r w:rsidR="00B41098" w:rsidRPr="0043704E">
        <w:rPr>
          <w:rStyle w:val="FootnoteReference"/>
          <w:rFonts w:cs="Arial"/>
          <w:szCs w:val="24"/>
        </w:rPr>
        <w:footnoteReference w:id="15"/>
      </w:r>
    </w:p>
    <w:p w14:paraId="25B8FBAC" w14:textId="1472BF39" w:rsidR="00A8048F" w:rsidRPr="0043704E" w:rsidRDefault="00A8048F" w:rsidP="00A8048F">
      <w:pPr>
        <w:pStyle w:val="NoSpacing"/>
        <w:spacing w:before="5" w:after="5" w:line="360" w:lineRule="auto"/>
        <w:jc w:val="both"/>
        <w:rPr>
          <w:rFonts w:cs="Arial"/>
          <w:szCs w:val="24"/>
        </w:rPr>
      </w:pPr>
    </w:p>
    <w:p w14:paraId="2167010C" w14:textId="4DEF80AF" w:rsidR="00EC1C6A" w:rsidRPr="00EE0677" w:rsidRDefault="00103B9A" w:rsidP="00A8048F">
      <w:pPr>
        <w:pStyle w:val="Heading3"/>
        <w:spacing w:before="5" w:after="5" w:line="360" w:lineRule="auto"/>
        <w:rPr>
          <w:rFonts w:ascii="Arial" w:hAnsi="Arial" w:cs="Arial"/>
          <w:b/>
          <w:color w:val="auto"/>
        </w:rPr>
      </w:pPr>
      <w:bookmarkStart w:id="39" w:name="_Toc26528669"/>
      <w:bookmarkStart w:id="40" w:name="_Toc30601747"/>
      <w:bookmarkStart w:id="41" w:name="_Toc30601887"/>
      <w:bookmarkStart w:id="42" w:name="_Toc30662633"/>
      <w:r w:rsidRPr="00EE0677">
        <w:rPr>
          <w:rFonts w:ascii="Arial" w:hAnsi="Arial" w:cs="Arial"/>
          <w:b/>
          <w:color w:val="auto"/>
        </w:rPr>
        <w:t>Article 9</w:t>
      </w:r>
      <w:r w:rsidR="00D07E63" w:rsidRPr="00EE0677">
        <w:rPr>
          <w:rFonts w:ascii="Arial" w:hAnsi="Arial" w:cs="Arial"/>
          <w:b/>
          <w:color w:val="auto"/>
        </w:rPr>
        <w:t xml:space="preserve"> of the UNCRPD</w:t>
      </w:r>
      <w:r w:rsidRPr="00EE0677">
        <w:rPr>
          <w:rFonts w:ascii="Arial" w:hAnsi="Arial" w:cs="Arial"/>
          <w:b/>
          <w:color w:val="auto"/>
        </w:rPr>
        <w:t xml:space="preserve"> </w:t>
      </w:r>
      <w:r w:rsidR="003821DC" w:rsidRPr="00EE0677">
        <w:rPr>
          <w:rFonts w:ascii="Arial" w:hAnsi="Arial" w:cs="Arial"/>
          <w:b/>
          <w:color w:val="auto"/>
        </w:rPr>
        <w:t>–</w:t>
      </w:r>
      <w:r w:rsidR="00EE0677">
        <w:rPr>
          <w:rFonts w:ascii="Arial" w:hAnsi="Arial" w:cs="Arial"/>
          <w:b/>
          <w:color w:val="auto"/>
        </w:rPr>
        <w:t xml:space="preserve"> a</w:t>
      </w:r>
      <w:r w:rsidRPr="00EE0677">
        <w:rPr>
          <w:rFonts w:ascii="Arial" w:hAnsi="Arial" w:cs="Arial"/>
          <w:b/>
          <w:color w:val="auto"/>
        </w:rPr>
        <w:t>ccessibility</w:t>
      </w:r>
      <w:bookmarkEnd w:id="39"/>
      <w:bookmarkEnd w:id="40"/>
      <w:bookmarkEnd w:id="41"/>
      <w:bookmarkEnd w:id="42"/>
    </w:p>
    <w:p w14:paraId="7594351D" w14:textId="77777777" w:rsidR="00A8048F" w:rsidRDefault="00A8048F" w:rsidP="00A8048F">
      <w:pPr>
        <w:pStyle w:val="Parabeforeanother"/>
        <w:spacing w:before="5" w:after="5" w:line="360" w:lineRule="auto"/>
        <w:ind w:left="360"/>
        <w:jc w:val="both"/>
      </w:pPr>
    </w:p>
    <w:p w14:paraId="2711A58E" w14:textId="155087AA" w:rsidR="00947EC4" w:rsidRDefault="00EC1C6A" w:rsidP="00A8048F">
      <w:pPr>
        <w:pStyle w:val="Parabeforeanother"/>
        <w:numPr>
          <w:ilvl w:val="0"/>
          <w:numId w:val="12"/>
        </w:numPr>
        <w:spacing w:before="5" w:after="5" w:line="360" w:lineRule="auto"/>
        <w:jc w:val="both"/>
      </w:pPr>
      <w:r w:rsidRPr="0043704E">
        <w:t>Some of the most explicit international human rights standards in relation to transport are found in</w:t>
      </w:r>
      <w:r w:rsidRPr="0043704E">
        <w:rPr>
          <w:b/>
        </w:rPr>
        <w:t xml:space="preserve"> </w:t>
      </w:r>
      <w:r w:rsidR="007770C3" w:rsidRPr="0043704E">
        <w:t>Article 9 of the</w:t>
      </w:r>
      <w:r w:rsidRPr="0043704E">
        <w:t xml:space="preserve"> </w:t>
      </w:r>
      <w:r w:rsidR="007770C3" w:rsidRPr="0043704E">
        <w:t>UN</w:t>
      </w:r>
      <w:r w:rsidRPr="0043704E">
        <w:t>CRPD</w:t>
      </w:r>
      <w:r w:rsidRPr="0043704E">
        <w:rPr>
          <w:b/>
        </w:rPr>
        <w:t xml:space="preserve"> </w:t>
      </w:r>
      <w:r w:rsidRPr="0043704E">
        <w:t>on accessibility.</w:t>
      </w:r>
      <w:r w:rsidR="007770C3" w:rsidRPr="0043704E">
        <w:rPr>
          <w:rStyle w:val="FootnoteReference"/>
        </w:rPr>
        <w:footnoteReference w:id="16"/>
      </w:r>
      <w:r w:rsidR="007770C3" w:rsidRPr="0043704E">
        <w:t xml:space="preserve"> </w:t>
      </w:r>
      <w:r w:rsidRPr="0043704E">
        <w:t xml:space="preserve"> </w:t>
      </w:r>
      <w:r w:rsidR="00BD7896">
        <w:t>It</w:t>
      </w:r>
      <w:r w:rsidR="007770C3" w:rsidRPr="00BD7896">
        <w:t xml:space="preserve"> </w:t>
      </w:r>
      <w:r w:rsidR="00B41098" w:rsidRPr="00BD7896">
        <w:t>requires States Parties to “</w:t>
      </w:r>
      <w:r w:rsidR="003821DC" w:rsidRPr="00BD7896">
        <w:t>take appropriate measures to ensure</w:t>
      </w:r>
      <w:r w:rsidR="00B41098" w:rsidRPr="00BD7896">
        <w:t>”</w:t>
      </w:r>
      <w:r w:rsidR="003821DC" w:rsidRPr="00BD7896">
        <w:t xml:space="preserve"> disabled people have equal access to </w:t>
      </w:r>
      <w:r w:rsidR="00B41098" w:rsidRPr="00BD7896">
        <w:t>“</w:t>
      </w:r>
      <w:r w:rsidR="003821DC" w:rsidRPr="00BD7896">
        <w:t>the physical environment, to transportation, to information and communications</w:t>
      </w:r>
      <w:r w:rsidR="006372D5" w:rsidRPr="00BD7896">
        <w:t xml:space="preserve"> </w:t>
      </w:r>
      <w:r w:rsidR="003821DC" w:rsidRPr="00BD7896">
        <w:t>…</w:t>
      </w:r>
      <w:r w:rsidR="006372D5" w:rsidRPr="00BD7896">
        <w:t xml:space="preserve"> </w:t>
      </w:r>
      <w:r w:rsidR="003821DC" w:rsidRPr="00BD7896">
        <w:t>and to other facilities and services open or provided to the public both in urban and rural areas</w:t>
      </w:r>
      <w:r w:rsidR="00B41098" w:rsidRPr="00BD7896">
        <w:t>”</w:t>
      </w:r>
      <w:r w:rsidR="003821DC" w:rsidRPr="00BD7896">
        <w:t>.</w:t>
      </w:r>
      <w:r w:rsidR="003821DC" w:rsidRPr="0043704E">
        <w:rPr>
          <w:rStyle w:val="FootnoteReference"/>
        </w:rPr>
        <w:footnoteReference w:id="17"/>
      </w:r>
    </w:p>
    <w:p w14:paraId="4D712FD7" w14:textId="77777777" w:rsidR="00A8048F" w:rsidRPr="00BD7896" w:rsidRDefault="00A8048F" w:rsidP="00A8048F">
      <w:pPr>
        <w:pStyle w:val="Parabeforeanother"/>
        <w:spacing w:before="5" w:after="5" w:line="360" w:lineRule="auto"/>
        <w:ind w:left="360"/>
        <w:jc w:val="both"/>
      </w:pPr>
    </w:p>
    <w:p w14:paraId="38A24DFC" w14:textId="3AF26686" w:rsidR="007770C3" w:rsidRDefault="00DA59F9" w:rsidP="00A8048F">
      <w:pPr>
        <w:pStyle w:val="ListParagraph"/>
        <w:numPr>
          <w:ilvl w:val="0"/>
          <w:numId w:val="12"/>
        </w:numPr>
        <w:spacing w:before="5" w:after="5" w:line="360" w:lineRule="auto"/>
        <w:contextualSpacing w:val="0"/>
        <w:jc w:val="both"/>
        <w:rPr>
          <w:rFonts w:cs="Arial"/>
        </w:rPr>
      </w:pPr>
      <w:r w:rsidRPr="0043704E">
        <w:rPr>
          <w:rFonts w:cs="Arial"/>
        </w:rPr>
        <w:t xml:space="preserve">The </w:t>
      </w:r>
      <w:r w:rsidR="007770C3" w:rsidRPr="0043704E">
        <w:rPr>
          <w:rFonts w:cs="Arial"/>
        </w:rPr>
        <w:t xml:space="preserve">CRPD Committee </w:t>
      </w:r>
      <w:r w:rsidRPr="0043704E">
        <w:rPr>
          <w:rFonts w:cs="Arial"/>
        </w:rPr>
        <w:t>has set out its authoritative interpretation of Article 9 in its General Comment No. 2.</w:t>
      </w:r>
      <w:r w:rsidRPr="0043704E">
        <w:rPr>
          <w:rStyle w:val="FootnoteReference"/>
          <w:rFonts w:cs="Arial"/>
        </w:rPr>
        <w:footnoteReference w:id="18"/>
      </w:r>
      <w:r w:rsidR="00C145DE">
        <w:rPr>
          <w:rFonts w:cs="Arial"/>
        </w:rPr>
        <w:t xml:space="preserve"> General C</w:t>
      </w:r>
      <w:r w:rsidRPr="0043704E">
        <w:rPr>
          <w:rFonts w:cs="Arial"/>
        </w:rPr>
        <w:t>omments are not strictly legally binding, but carry considerable authority and persuasive force.</w:t>
      </w:r>
      <w:r w:rsidR="007770C3" w:rsidRPr="0043704E">
        <w:rPr>
          <w:rFonts w:cs="Arial"/>
        </w:rPr>
        <w:t xml:space="preserve"> </w:t>
      </w:r>
    </w:p>
    <w:p w14:paraId="57FA0CD4" w14:textId="77777777" w:rsidR="00A8048F" w:rsidRPr="0043704E" w:rsidRDefault="00A8048F" w:rsidP="00A8048F">
      <w:pPr>
        <w:pStyle w:val="ListParagraph"/>
        <w:spacing w:before="5" w:after="5" w:line="360" w:lineRule="auto"/>
        <w:ind w:left="360"/>
        <w:contextualSpacing w:val="0"/>
        <w:jc w:val="both"/>
        <w:rPr>
          <w:rFonts w:cs="Arial"/>
        </w:rPr>
      </w:pPr>
    </w:p>
    <w:p w14:paraId="569D74B9" w14:textId="691663A3" w:rsidR="00947EC4" w:rsidRDefault="007770C3" w:rsidP="00A8048F">
      <w:pPr>
        <w:pStyle w:val="ListParagraph"/>
        <w:numPr>
          <w:ilvl w:val="0"/>
          <w:numId w:val="12"/>
        </w:numPr>
        <w:spacing w:before="5" w:after="5" w:line="360" w:lineRule="auto"/>
        <w:contextualSpacing w:val="0"/>
        <w:jc w:val="both"/>
        <w:rPr>
          <w:rFonts w:cs="Arial"/>
        </w:rPr>
      </w:pPr>
      <w:r w:rsidRPr="0043704E">
        <w:rPr>
          <w:rFonts w:cs="Arial"/>
        </w:rPr>
        <w:t>Importantly, the Comment notes that accessibility is a precondition for independent living and the full inclusion and participation of disabled people, and to enable them to enjoy all other human rights, including rights to work, rights to education, and rights to leisure and recreation.</w:t>
      </w:r>
      <w:r w:rsidR="006372D5" w:rsidRPr="0043704E">
        <w:rPr>
          <w:rStyle w:val="FootnoteReference"/>
          <w:rFonts w:cs="Arial"/>
        </w:rPr>
        <w:footnoteReference w:id="19"/>
      </w:r>
    </w:p>
    <w:p w14:paraId="1AF94ED7" w14:textId="33440E0F" w:rsidR="00A8048F" w:rsidRPr="00A8048F" w:rsidRDefault="00A8048F" w:rsidP="00A8048F">
      <w:pPr>
        <w:spacing w:before="5" w:after="5" w:line="360" w:lineRule="auto"/>
        <w:jc w:val="both"/>
        <w:rPr>
          <w:rFonts w:cs="Arial"/>
        </w:rPr>
      </w:pPr>
    </w:p>
    <w:p w14:paraId="42E61A0C" w14:textId="696E2442" w:rsidR="00DA59F9" w:rsidRDefault="00103B9A" w:rsidP="00A8048F">
      <w:pPr>
        <w:pStyle w:val="Heading3"/>
        <w:spacing w:before="5" w:after="5" w:line="360" w:lineRule="auto"/>
        <w:rPr>
          <w:rFonts w:ascii="Arial" w:hAnsi="Arial" w:cs="Arial"/>
          <w:b/>
          <w:color w:val="auto"/>
          <w:sz w:val="26"/>
          <w:szCs w:val="26"/>
        </w:rPr>
      </w:pPr>
      <w:bookmarkStart w:id="43" w:name="_Toc26528670"/>
      <w:bookmarkStart w:id="44" w:name="_Toc30601748"/>
      <w:bookmarkStart w:id="45" w:name="_Toc30601888"/>
      <w:bookmarkStart w:id="46" w:name="_Toc30662634"/>
      <w:r w:rsidRPr="00EE0677">
        <w:rPr>
          <w:rFonts w:ascii="Arial" w:hAnsi="Arial" w:cs="Arial"/>
          <w:b/>
          <w:color w:val="auto"/>
          <w:sz w:val="26"/>
          <w:szCs w:val="26"/>
        </w:rPr>
        <w:t xml:space="preserve">Article 19 </w:t>
      </w:r>
      <w:r w:rsidR="00EE0677">
        <w:rPr>
          <w:rFonts w:ascii="Arial" w:hAnsi="Arial" w:cs="Arial"/>
          <w:b/>
          <w:color w:val="auto"/>
          <w:sz w:val="26"/>
          <w:szCs w:val="26"/>
        </w:rPr>
        <w:t>of the UNCRPD -</w:t>
      </w:r>
      <w:r w:rsidRPr="00EE0677">
        <w:rPr>
          <w:rFonts w:ascii="Arial" w:hAnsi="Arial" w:cs="Arial"/>
          <w:b/>
          <w:color w:val="auto"/>
          <w:sz w:val="26"/>
          <w:szCs w:val="26"/>
        </w:rPr>
        <w:t xml:space="preserve"> living independently and being included in the community</w:t>
      </w:r>
      <w:bookmarkEnd w:id="43"/>
      <w:bookmarkEnd w:id="44"/>
      <w:bookmarkEnd w:id="45"/>
      <w:bookmarkEnd w:id="46"/>
    </w:p>
    <w:p w14:paraId="4171DF74" w14:textId="77777777" w:rsidR="00A8048F" w:rsidRPr="00A8048F" w:rsidRDefault="00A8048F" w:rsidP="00A8048F"/>
    <w:p w14:paraId="1025D07E" w14:textId="752C064C" w:rsidR="00DA59F9" w:rsidRDefault="00DA59F9" w:rsidP="00A8048F">
      <w:pPr>
        <w:pStyle w:val="Parabeforeanother"/>
        <w:numPr>
          <w:ilvl w:val="0"/>
          <w:numId w:val="12"/>
        </w:numPr>
        <w:spacing w:before="5" w:after="5" w:line="360" w:lineRule="auto"/>
        <w:jc w:val="both"/>
      </w:pPr>
      <w:r w:rsidRPr="0043704E">
        <w:lastRenderedPageBreak/>
        <w:t>Article 19</w:t>
      </w:r>
      <w:r w:rsidR="007770C3" w:rsidRPr="0043704E">
        <w:t xml:space="preserve"> of the UNCRPD</w:t>
      </w:r>
      <w:r w:rsidR="006372D5" w:rsidRPr="0043704E">
        <w:t xml:space="preserve"> says that States “s</w:t>
      </w:r>
      <w:r w:rsidRPr="0043704E">
        <w:t>hall take effective and appropriate measur</w:t>
      </w:r>
      <w:r w:rsidR="006372D5" w:rsidRPr="0043704E">
        <w:t>es to facilitate full enjoyment</w:t>
      </w:r>
      <w:r w:rsidRPr="0043704E">
        <w:t xml:space="preserve"> of</w:t>
      </w:r>
      <w:r w:rsidR="006372D5" w:rsidRPr="0043704E">
        <w:t xml:space="preserve"> this right by persons with disabilities”</w:t>
      </w:r>
      <w:r w:rsidR="006258B0">
        <w:t>,</w:t>
      </w:r>
      <w:r w:rsidR="006372D5" w:rsidRPr="0043704E">
        <w:t xml:space="preserve"> </w:t>
      </w:r>
      <w:r w:rsidRPr="0043704E">
        <w:t xml:space="preserve">and </w:t>
      </w:r>
      <w:r w:rsidR="006372D5" w:rsidRPr="0043704E">
        <w:t>that this includes ensuring that “c</w:t>
      </w:r>
      <w:r w:rsidRPr="0043704E">
        <w:t xml:space="preserve">ommunity services and facilities for the general population are available on an equal basis to persons with disabilities and </w:t>
      </w:r>
      <w:r w:rsidR="00B41098" w:rsidRPr="0043704E">
        <w:t>are responsive to their needs.</w:t>
      </w:r>
      <w:r w:rsidR="006372D5" w:rsidRPr="0043704E">
        <w:t>”</w:t>
      </w:r>
      <w:r w:rsidR="007770C3" w:rsidRPr="0043704E">
        <w:rPr>
          <w:rStyle w:val="FootnoteReference"/>
        </w:rPr>
        <w:footnoteReference w:id="20"/>
      </w:r>
    </w:p>
    <w:p w14:paraId="34FA7557" w14:textId="77777777" w:rsidR="00A8048F" w:rsidRPr="0043704E" w:rsidRDefault="00A8048F" w:rsidP="00A8048F">
      <w:pPr>
        <w:pStyle w:val="Parabeforeanother"/>
        <w:spacing w:before="5" w:after="5" w:line="360" w:lineRule="auto"/>
        <w:jc w:val="both"/>
      </w:pPr>
    </w:p>
    <w:p w14:paraId="60529B13" w14:textId="54BA9FE9" w:rsidR="00E66D4F" w:rsidRDefault="00103B9A" w:rsidP="00A8048F">
      <w:pPr>
        <w:pStyle w:val="Parabeforeanother"/>
        <w:numPr>
          <w:ilvl w:val="0"/>
          <w:numId w:val="12"/>
        </w:numPr>
        <w:spacing w:before="5" w:after="5" w:line="360" w:lineRule="auto"/>
        <w:jc w:val="both"/>
      </w:pPr>
      <w:r w:rsidRPr="0043704E">
        <w:t>Although Article 19</w:t>
      </w:r>
      <w:r w:rsidR="00B41098" w:rsidRPr="0043704E">
        <w:t xml:space="preserve"> of the UNCRPD</w:t>
      </w:r>
      <w:r w:rsidRPr="0043704E">
        <w:t xml:space="preserve"> does not explicitly refer to transport, it is clearly of central impo</w:t>
      </w:r>
      <w:r w:rsidR="00B41098" w:rsidRPr="0043704E">
        <w:t xml:space="preserve">rtance to achieving this right </w:t>
      </w:r>
      <w:r w:rsidR="006258B0">
        <w:t>–</w:t>
      </w:r>
      <w:r w:rsidR="00B41098" w:rsidRPr="0043704E">
        <w:t xml:space="preserve"> </w:t>
      </w:r>
      <w:r w:rsidR="006258B0">
        <w:t xml:space="preserve">hence </w:t>
      </w:r>
      <w:r w:rsidR="00B41098" w:rsidRPr="0043704E">
        <w:t>t</w:t>
      </w:r>
      <w:r w:rsidRPr="0043704E">
        <w:t xml:space="preserve">he </w:t>
      </w:r>
      <w:r w:rsidR="00A421B1" w:rsidRPr="0043704E">
        <w:t>CRPD Committee</w:t>
      </w:r>
      <w:r w:rsidRPr="0043704E">
        <w:t xml:space="preserve"> has made it clear</w:t>
      </w:r>
      <w:r w:rsidR="00C145DE">
        <w:t xml:space="preserve"> </w:t>
      </w:r>
      <w:r w:rsidRPr="0043704E">
        <w:t>that access to transport is a key part of ensuring that disabled people have choice and control over all aspects of their lives in order to enable independent living, and for full and effective inclusion and participation in all areas of life on an equal basis with others.</w:t>
      </w:r>
      <w:r w:rsidR="006372D5" w:rsidRPr="0043704E">
        <w:rPr>
          <w:rStyle w:val="FootnoteReference"/>
        </w:rPr>
        <w:footnoteReference w:id="21"/>
      </w:r>
      <w:r w:rsidRPr="0043704E">
        <w:t xml:space="preserve"> </w:t>
      </w:r>
    </w:p>
    <w:p w14:paraId="41528AF3" w14:textId="3BEAB335" w:rsidR="00A8048F" w:rsidRDefault="00A8048F" w:rsidP="00A8048F">
      <w:pPr>
        <w:pStyle w:val="Parabeforeanother"/>
        <w:spacing w:before="5" w:after="5" w:line="360" w:lineRule="auto"/>
        <w:jc w:val="both"/>
      </w:pPr>
    </w:p>
    <w:p w14:paraId="4065493C" w14:textId="496B8B69" w:rsidR="00A421B1" w:rsidRDefault="006258B0" w:rsidP="00A8048F">
      <w:pPr>
        <w:pStyle w:val="Parabeforeanother"/>
        <w:numPr>
          <w:ilvl w:val="0"/>
          <w:numId w:val="12"/>
        </w:numPr>
        <w:spacing w:before="5" w:after="5" w:line="360" w:lineRule="auto"/>
        <w:jc w:val="both"/>
      </w:pPr>
      <w:r w:rsidRPr="00E66D4F">
        <w:t xml:space="preserve">We </w:t>
      </w:r>
      <w:r w:rsidR="00C448D8">
        <w:t>urge</w:t>
      </w:r>
      <w:r w:rsidR="00A421B1" w:rsidRPr="00E66D4F">
        <w:t xml:space="preserve"> the</w:t>
      </w:r>
      <w:r w:rsidR="00C261E4" w:rsidRPr="00E66D4F">
        <w:t xml:space="preserve"> Law Commissions’ </w:t>
      </w:r>
      <w:r w:rsidR="00C448D8">
        <w:t xml:space="preserve">to ensure that their </w:t>
      </w:r>
      <w:r w:rsidR="00A421B1" w:rsidRPr="00E66D4F">
        <w:t xml:space="preserve">final </w:t>
      </w:r>
      <w:r w:rsidR="00C261E4" w:rsidRPr="00E66D4F">
        <w:t>recommendations</w:t>
      </w:r>
      <w:r w:rsidR="00A421B1" w:rsidRPr="00E66D4F">
        <w:t xml:space="preserve"> in </w:t>
      </w:r>
      <w:r w:rsidR="00C448D8">
        <w:t>their</w:t>
      </w:r>
      <w:r w:rsidR="00C448D8" w:rsidRPr="00E66D4F">
        <w:t xml:space="preserve"> </w:t>
      </w:r>
      <w:r w:rsidR="00C261E4" w:rsidRPr="00E66D4F">
        <w:t xml:space="preserve">Report </w:t>
      </w:r>
      <w:r w:rsidR="00C145DE">
        <w:t>enable the</w:t>
      </w:r>
      <w:r w:rsidR="000C72BC" w:rsidRPr="00E66D4F">
        <w:t xml:space="preserve"> </w:t>
      </w:r>
      <w:r w:rsidR="00F2681E" w:rsidRPr="00E66D4F">
        <w:t xml:space="preserve">UK </w:t>
      </w:r>
      <w:r w:rsidR="00C145DE">
        <w:t>Government to be in</w:t>
      </w:r>
      <w:r w:rsidR="000C72BC" w:rsidRPr="00E66D4F">
        <w:t xml:space="preserve"> a position to be</w:t>
      </w:r>
      <w:r w:rsidR="00C261E4" w:rsidRPr="00E66D4F">
        <w:t xml:space="preserve"> full</w:t>
      </w:r>
      <w:r w:rsidR="000C72BC" w:rsidRPr="00E66D4F">
        <w:t>y</w:t>
      </w:r>
      <w:r w:rsidR="00C261E4" w:rsidRPr="00E66D4F">
        <w:t xml:space="preserve"> complian</w:t>
      </w:r>
      <w:r w:rsidR="000C72BC" w:rsidRPr="00E66D4F">
        <w:t>t</w:t>
      </w:r>
      <w:r w:rsidR="00C261E4" w:rsidRPr="00E66D4F">
        <w:t xml:space="preserve"> with i</w:t>
      </w:r>
      <w:r w:rsidR="000C72BC" w:rsidRPr="00E66D4F">
        <w:t>ts international law obligations.</w:t>
      </w:r>
      <w:r>
        <w:rPr>
          <w:rStyle w:val="FootnoteReference"/>
        </w:rPr>
        <w:footnoteReference w:id="22"/>
      </w:r>
      <w:r w:rsidR="00BD7896">
        <w:t xml:space="preserve">  The Commission has developed a six point plan for the incorporation of these rights into domestic law.</w:t>
      </w:r>
      <w:r w:rsidR="00BD7896">
        <w:rPr>
          <w:rStyle w:val="FootnoteReference"/>
        </w:rPr>
        <w:footnoteReference w:id="23"/>
      </w:r>
    </w:p>
    <w:p w14:paraId="5F5140F8" w14:textId="55AB1C3F" w:rsidR="00A8048F" w:rsidRPr="00E66D4F" w:rsidRDefault="00A8048F" w:rsidP="00A8048F">
      <w:pPr>
        <w:pStyle w:val="Parabeforeanother"/>
        <w:spacing w:before="5" w:after="5" w:line="360" w:lineRule="auto"/>
        <w:jc w:val="both"/>
      </w:pPr>
    </w:p>
    <w:p w14:paraId="1889E8F5" w14:textId="7A7DCAB1" w:rsidR="00C3105B" w:rsidRDefault="00A421B1" w:rsidP="00A8048F">
      <w:pPr>
        <w:pStyle w:val="NoSpacing"/>
        <w:numPr>
          <w:ilvl w:val="0"/>
          <w:numId w:val="12"/>
        </w:numPr>
        <w:spacing w:before="5" w:after="5" w:line="360" w:lineRule="auto"/>
        <w:jc w:val="both"/>
        <w:rPr>
          <w:rFonts w:cs="Arial"/>
          <w:szCs w:val="24"/>
        </w:rPr>
      </w:pPr>
      <w:r w:rsidRPr="0043704E">
        <w:rPr>
          <w:rFonts w:cs="Arial"/>
          <w:szCs w:val="24"/>
        </w:rPr>
        <w:t>We were disappointed, therefore, to see no reference to the UNCRPD in the Consultation Paper</w:t>
      </w:r>
      <w:r w:rsidR="00B41098" w:rsidRPr="0043704E">
        <w:rPr>
          <w:rFonts w:cs="Arial"/>
          <w:szCs w:val="24"/>
        </w:rPr>
        <w:t>.</w:t>
      </w:r>
      <w:r w:rsidRPr="0043704E">
        <w:rPr>
          <w:rFonts w:cs="Arial"/>
          <w:szCs w:val="24"/>
        </w:rPr>
        <w:t xml:space="preserve"> We hope that our response highlights the importance and relevance of the UNCRPD to some of the issues being considered, and we are happy to engage with the Law Commissions going forward on this issue.</w:t>
      </w:r>
    </w:p>
    <w:p w14:paraId="46D5CFDA" w14:textId="77777777" w:rsidR="00BD7896" w:rsidRPr="0043704E" w:rsidRDefault="00BD7896" w:rsidP="00A8048F">
      <w:pPr>
        <w:pStyle w:val="NoSpacing"/>
        <w:spacing w:before="5" w:after="5" w:line="360" w:lineRule="auto"/>
        <w:ind w:left="360"/>
        <w:jc w:val="both"/>
        <w:rPr>
          <w:rFonts w:cs="Arial"/>
          <w:szCs w:val="24"/>
        </w:rPr>
      </w:pPr>
    </w:p>
    <w:p w14:paraId="723E25C0" w14:textId="1BEB756D" w:rsidR="004B612A" w:rsidRPr="0043704E" w:rsidRDefault="004B612A" w:rsidP="00A8048F">
      <w:pPr>
        <w:pStyle w:val="level2section"/>
        <w:numPr>
          <w:ilvl w:val="0"/>
          <w:numId w:val="8"/>
        </w:numPr>
        <w:spacing w:before="5" w:after="5" w:line="360" w:lineRule="auto"/>
        <w:jc w:val="both"/>
        <w:rPr>
          <w:rFonts w:ascii="Arial" w:hAnsi="Arial" w:cs="Arial"/>
          <w:b/>
          <w:color w:val="auto"/>
        </w:rPr>
      </w:pPr>
      <w:bookmarkStart w:id="47" w:name="_Toc30601749"/>
      <w:bookmarkStart w:id="48" w:name="_Toc30601889"/>
      <w:bookmarkStart w:id="49" w:name="_Toc30662635"/>
      <w:r w:rsidRPr="0043704E">
        <w:rPr>
          <w:rFonts w:ascii="Arial" w:hAnsi="Arial" w:cs="Arial"/>
          <w:b/>
          <w:color w:val="auto"/>
        </w:rPr>
        <w:t>Reponses to specific questions</w:t>
      </w:r>
      <w:bookmarkEnd w:id="47"/>
      <w:bookmarkEnd w:id="48"/>
      <w:bookmarkEnd w:id="49"/>
      <w:r w:rsidRPr="0043704E">
        <w:rPr>
          <w:rFonts w:ascii="Arial" w:hAnsi="Arial" w:cs="Arial"/>
          <w:b/>
          <w:color w:val="auto"/>
        </w:rPr>
        <w:t xml:space="preserve"> </w:t>
      </w:r>
    </w:p>
    <w:p w14:paraId="72F47F0B" w14:textId="77777777" w:rsidR="00A8048F" w:rsidRDefault="00A8048F" w:rsidP="00A8048F">
      <w:pPr>
        <w:pStyle w:val="NoSpacing"/>
        <w:spacing w:before="5" w:after="5" w:line="360" w:lineRule="auto"/>
        <w:ind w:left="360"/>
        <w:jc w:val="both"/>
        <w:rPr>
          <w:rFonts w:cs="Arial"/>
          <w:szCs w:val="24"/>
        </w:rPr>
      </w:pPr>
    </w:p>
    <w:p w14:paraId="67747D6A" w14:textId="36FF8E4B" w:rsidR="00A8048F" w:rsidRPr="00394E61" w:rsidRDefault="008000A3" w:rsidP="00394E61">
      <w:pPr>
        <w:pStyle w:val="NoSpacing"/>
        <w:numPr>
          <w:ilvl w:val="0"/>
          <w:numId w:val="12"/>
        </w:numPr>
        <w:spacing w:before="5" w:after="5" w:line="360" w:lineRule="auto"/>
        <w:jc w:val="both"/>
        <w:rPr>
          <w:rFonts w:cs="Arial"/>
          <w:szCs w:val="24"/>
        </w:rPr>
      </w:pPr>
      <w:r w:rsidRPr="0043704E">
        <w:rPr>
          <w:rFonts w:cs="Arial"/>
          <w:szCs w:val="24"/>
        </w:rPr>
        <w:lastRenderedPageBreak/>
        <w:t>In light of our status set out above, we are only responding to questions in the Consultation Paper which are relevant to our functions as the national equality body for Great Britain</w:t>
      </w:r>
      <w:r w:rsidR="00A103DD" w:rsidRPr="0043704E">
        <w:rPr>
          <w:rFonts w:cs="Arial"/>
          <w:szCs w:val="24"/>
        </w:rPr>
        <w:t>, and one of its National Human Rights Institutions</w:t>
      </w:r>
      <w:r w:rsidR="00AD1987">
        <w:rPr>
          <w:rFonts w:cs="Arial"/>
          <w:szCs w:val="24"/>
        </w:rPr>
        <w:t>.</w:t>
      </w:r>
      <w:r w:rsidRPr="0043704E">
        <w:rPr>
          <w:rFonts w:cs="Arial"/>
          <w:szCs w:val="24"/>
        </w:rPr>
        <w:t xml:space="preserve"> </w:t>
      </w:r>
    </w:p>
    <w:p w14:paraId="1FB7CF4D" w14:textId="0457A30F" w:rsidR="0043704E" w:rsidRPr="0043704E" w:rsidRDefault="0043704E" w:rsidP="00A8048F">
      <w:pPr>
        <w:pStyle w:val="Heading2"/>
        <w:spacing w:before="5" w:after="5" w:line="360" w:lineRule="auto"/>
        <w:jc w:val="both"/>
        <w:rPr>
          <w:rFonts w:ascii="Arial" w:hAnsi="Arial" w:cs="Arial"/>
          <w:b/>
          <w:color w:val="auto"/>
        </w:rPr>
      </w:pPr>
      <w:bookmarkStart w:id="50" w:name="_Toc30601890"/>
      <w:bookmarkStart w:id="51" w:name="_Toc30662636"/>
      <w:r>
        <w:rPr>
          <w:rFonts w:ascii="Arial" w:hAnsi="Arial" w:cs="Arial"/>
          <w:b/>
          <w:color w:val="auto"/>
        </w:rPr>
        <w:t>Consultation Question 1</w:t>
      </w:r>
      <w:bookmarkEnd w:id="50"/>
      <w:bookmarkEnd w:id="51"/>
    </w:p>
    <w:tbl>
      <w:tblPr>
        <w:tblStyle w:val="TableGrid"/>
        <w:tblW w:w="0" w:type="auto"/>
        <w:tblLook w:val="04A0" w:firstRow="1" w:lastRow="0" w:firstColumn="1" w:lastColumn="0" w:noHBand="0" w:noVBand="1"/>
        <w:tblCaption w:val="Consultation Question 1"/>
        <w:tblDescription w:val="Do you agree that Highly Automated Road Passenger Services (HARPS) should be subject to a single national system of operator licensing?"/>
      </w:tblPr>
      <w:tblGrid>
        <w:gridCol w:w="9016"/>
      </w:tblGrid>
      <w:tr w:rsidR="00600708" w:rsidRPr="0043704E" w14:paraId="648123A8" w14:textId="77777777" w:rsidTr="00D45D4F">
        <w:trPr>
          <w:tblHeader/>
        </w:trPr>
        <w:tc>
          <w:tcPr>
            <w:tcW w:w="9016" w:type="dxa"/>
          </w:tcPr>
          <w:p w14:paraId="68962E75" w14:textId="77777777" w:rsidR="00600708" w:rsidRPr="0043704E" w:rsidRDefault="00600708" w:rsidP="00A8048F">
            <w:pPr>
              <w:pStyle w:val="NoSpacing"/>
              <w:spacing w:before="5" w:after="5" w:line="360" w:lineRule="auto"/>
              <w:jc w:val="both"/>
              <w:rPr>
                <w:rFonts w:cs="Arial"/>
                <w:i/>
                <w:szCs w:val="24"/>
              </w:rPr>
            </w:pPr>
            <w:r w:rsidRPr="0043704E">
              <w:rPr>
                <w:rFonts w:cs="Arial"/>
                <w:i/>
                <w:sz w:val="26"/>
                <w:szCs w:val="26"/>
              </w:rPr>
              <w:t>Do you agree that Highly Automated Road Passenger Services (HARPS) should be subject to a single national system of operator licensing?</w:t>
            </w:r>
          </w:p>
        </w:tc>
      </w:tr>
    </w:tbl>
    <w:p w14:paraId="0533D2BC" w14:textId="77777777" w:rsidR="00A8048F" w:rsidRDefault="00A8048F" w:rsidP="00A8048F">
      <w:pPr>
        <w:pStyle w:val="NoSpacing"/>
        <w:spacing w:before="5" w:after="5" w:line="360" w:lineRule="auto"/>
        <w:ind w:left="360"/>
        <w:jc w:val="both"/>
        <w:rPr>
          <w:rFonts w:cs="Arial"/>
          <w:szCs w:val="24"/>
        </w:rPr>
      </w:pPr>
    </w:p>
    <w:p w14:paraId="57B2BDCD" w14:textId="5C980407" w:rsidR="00A103DD" w:rsidRDefault="002757B0" w:rsidP="00A8048F">
      <w:pPr>
        <w:pStyle w:val="NoSpacing"/>
        <w:numPr>
          <w:ilvl w:val="0"/>
          <w:numId w:val="12"/>
        </w:numPr>
        <w:spacing w:before="5" w:after="5" w:line="360" w:lineRule="auto"/>
        <w:jc w:val="both"/>
        <w:rPr>
          <w:rFonts w:cs="Arial"/>
          <w:szCs w:val="24"/>
        </w:rPr>
      </w:pPr>
      <w:r w:rsidRPr="00C145DE">
        <w:rPr>
          <w:rFonts w:cs="Arial"/>
          <w:b/>
          <w:szCs w:val="24"/>
        </w:rPr>
        <w:t>We agree</w:t>
      </w:r>
      <w:r w:rsidR="00A103DD" w:rsidRPr="0043704E">
        <w:rPr>
          <w:rFonts w:cs="Arial"/>
          <w:szCs w:val="24"/>
        </w:rPr>
        <w:t>, subject to our view that a single UK-wide regulator would need to align with</w:t>
      </w:r>
      <w:r w:rsidR="00D26F27" w:rsidRPr="0043704E">
        <w:rPr>
          <w:rFonts w:cs="Arial"/>
          <w:szCs w:val="24"/>
        </w:rPr>
        <w:t>,</w:t>
      </w:r>
      <w:r w:rsidR="00A103DD" w:rsidRPr="0043704E">
        <w:rPr>
          <w:rFonts w:cs="Arial"/>
          <w:szCs w:val="24"/>
        </w:rPr>
        <w:t xml:space="preserve"> and respect</w:t>
      </w:r>
      <w:r w:rsidR="00D26F27" w:rsidRPr="0043704E">
        <w:rPr>
          <w:rFonts w:cs="Arial"/>
          <w:szCs w:val="24"/>
        </w:rPr>
        <w:t>,</w:t>
      </w:r>
      <w:r w:rsidR="00A103DD" w:rsidRPr="0043704E">
        <w:rPr>
          <w:rFonts w:cs="Arial"/>
          <w:szCs w:val="24"/>
        </w:rPr>
        <w:t xml:space="preserve"> the devolution of transport powers to the Scottish Parliament and Welsh Assembly</w:t>
      </w:r>
      <w:r w:rsidR="00D26F27" w:rsidRPr="0043704E">
        <w:rPr>
          <w:rFonts w:cs="Arial"/>
          <w:szCs w:val="24"/>
        </w:rPr>
        <w:t xml:space="preserve"> (for example</w:t>
      </w:r>
      <w:r w:rsidR="008846D5" w:rsidRPr="0043704E">
        <w:rPr>
          <w:rFonts w:cs="Arial"/>
          <w:szCs w:val="24"/>
        </w:rPr>
        <w:t>,</w:t>
      </w:r>
      <w:r w:rsidR="00D26F27" w:rsidRPr="0043704E">
        <w:rPr>
          <w:rFonts w:cs="Arial"/>
          <w:szCs w:val="24"/>
        </w:rPr>
        <w:t xml:space="preserve"> </w:t>
      </w:r>
      <w:r w:rsidR="00AD1987">
        <w:rPr>
          <w:rFonts w:cs="Arial"/>
          <w:szCs w:val="24"/>
        </w:rPr>
        <w:t xml:space="preserve">later down the line </w:t>
      </w:r>
      <w:r w:rsidR="00D26F27" w:rsidRPr="0043704E">
        <w:rPr>
          <w:rFonts w:cs="Arial"/>
          <w:szCs w:val="24"/>
        </w:rPr>
        <w:t>through a legislative consent motion)</w:t>
      </w:r>
      <w:r w:rsidR="00A103DD" w:rsidRPr="0043704E">
        <w:rPr>
          <w:rFonts w:cs="Arial"/>
          <w:szCs w:val="24"/>
        </w:rPr>
        <w:t>.</w:t>
      </w:r>
      <w:r w:rsidR="005C08F6" w:rsidRPr="0043704E">
        <w:rPr>
          <w:rFonts w:cs="Arial"/>
          <w:szCs w:val="24"/>
        </w:rPr>
        <w:t xml:space="preserve"> </w:t>
      </w:r>
      <w:r w:rsidR="00AD1987">
        <w:rPr>
          <w:rFonts w:cs="Arial"/>
          <w:szCs w:val="24"/>
        </w:rPr>
        <w:t xml:space="preserve">It may </w:t>
      </w:r>
      <w:r w:rsidR="002D5308">
        <w:rPr>
          <w:rFonts w:cs="Arial"/>
          <w:szCs w:val="24"/>
        </w:rPr>
        <w:t>be that</w:t>
      </w:r>
      <w:r w:rsidR="00AD1987">
        <w:rPr>
          <w:rFonts w:cs="Arial"/>
          <w:szCs w:val="24"/>
        </w:rPr>
        <w:t xml:space="preserve"> the three nations of Great Britain wish to create their own national regulators, and so we refer to the possibility of “regulator(s)” throughout this consultation response.</w:t>
      </w:r>
      <w:r w:rsidR="002D5308">
        <w:rPr>
          <w:rFonts w:cs="Arial"/>
          <w:szCs w:val="24"/>
        </w:rPr>
        <w:t xml:space="preserve"> We believe</w:t>
      </w:r>
      <w:r w:rsidR="00C145DE">
        <w:rPr>
          <w:rFonts w:cs="Arial"/>
          <w:szCs w:val="24"/>
        </w:rPr>
        <w:t>, however,</w:t>
      </w:r>
      <w:r w:rsidR="002D5308">
        <w:rPr>
          <w:rFonts w:cs="Arial"/>
          <w:szCs w:val="24"/>
        </w:rPr>
        <w:t xml:space="preserve"> that any regulators across the three nations must, at a minimum, be requi</w:t>
      </w:r>
      <w:r w:rsidR="00C145DE">
        <w:rPr>
          <w:rFonts w:cs="Arial"/>
          <w:szCs w:val="24"/>
        </w:rPr>
        <w:t>red to work together to produce common</w:t>
      </w:r>
      <w:r w:rsidR="002D5308">
        <w:rPr>
          <w:rFonts w:cs="Arial"/>
          <w:szCs w:val="24"/>
        </w:rPr>
        <w:t xml:space="preserve"> minimum standard</w:t>
      </w:r>
      <w:r w:rsidR="00C145DE">
        <w:rPr>
          <w:rFonts w:cs="Arial"/>
          <w:szCs w:val="24"/>
        </w:rPr>
        <w:t>s</w:t>
      </w:r>
      <w:r w:rsidR="002D5308">
        <w:rPr>
          <w:rFonts w:cs="Arial"/>
          <w:szCs w:val="24"/>
        </w:rPr>
        <w:t>, given issues around cross-border movement of vehicles, for example.</w:t>
      </w:r>
    </w:p>
    <w:p w14:paraId="3873AB39" w14:textId="77777777" w:rsidR="00A8048F" w:rsidRPr="0043704E" w:rsidRDefault="00A8048F" w:rsidP="00A8048F">
      <w:pPr>
        <w:pStyle w:val="NoSpacing"/>
        <w:spacing w:before="5" w:after="5" w:line="360" w:lineRule="auto"/>
        <w:ind w:left="360"/>
        <w:jc w:val="both"/>
        <w:rPr>
          <w:rFonts w:cs="Arial"/>
          <w:szCs w:val="24"/>
        </w:rPr>
      </w:pPr>
    </w:p>
    <w:p w14:paraId="4E13B5CF" w14:textId="10A8BF99" w:rsidR="00C57D64" w:rsidRDefault="005C08F6" w:rsidP="00A8048F">
      <w:pPr>
        <w:pStyle w:val="NoSpacing"/>
        <w:numPr>
          <w:ilvl w:val="0"/>
          <w:numId w:val="12"/>
        </w:numPr>
        <w:spacing w:before="5" w:after="5" w:line="360" w:lineRule="auto"/>
        <w:jc w:val="both"/>
        <w:rPr>
          <w:rFonts w:cs="Arial"/>
          <w:szCs w:val="24"/>
        </w:rPr>
      </w:pPr>
      <w:r w:rsidRPr="0043704E">
        <w:rPr>
          <w:rFonts w:cs="Arial"/>
          <w:szCs w:val="24"/>
        </w:rPr>
        <w:t xml:space="preserve">It is clear that one of the current problems in reducing the barriers that disabled people face when using transport is the disjointed and complicated regulatory framework. </w:t>
      </w:r>
      <w:r w:rsidR="00C57D64" w:rsidRPr="0043704E">
        <w:rPr>
          <w:rFonts w:cs="Arial"/>
          <w:szCs w:val="24"/>
        </w:rPr>
        <w:t>As Scope have written</w:t>
      </w:r>
      <w:r w:rsidR="007E3D6D" w:rsidRPr="0043704E">
        <w:rPr>
          <w:rFonts w:cs="Arial"/>
          <w:szCs w:val="24"/>
        </w:rPr>
        <w:t>:</w:t>
      </w:r>
      <w:r w:rsidR="00C57D64" w:rsidRPr="0043704E">
        <w:rPr>
          <w:rFonts w:cs="Arial"/>
          <w:szCs w:val="24"/>
        </w:rPr>
        <w:t xml:space="preserve"> </w:t>
      </w:r>
    </w:p>
    <w:p w14:paraId="34CB0B67" w14:textId="252164C1" w:rsidR="00A8048F" w:rsidRPr="0043704E" w:rsidRDefault="00A8048F" w:rsidP="00A8048F">
      <w:pPr>
        <w:pStyle w:val="NoSpacing"/>
        <w:spacing w:before="5" w:after="5" w:line="360" w:lineRule="auto"/>
        <w:jc w:val="both"/>
        <w:rPr>
          <w:rFonts w:cs="Arial"/>
          <w:szCs w:val="24"/>
        </w:rPr>
      </w:pPr>
    </w:p>
    <w:p w14:paraId="65799C61" w14:textId="2399AC60" w:rsidR="00C57D64" w:rsidRDefault="00C57D64" w:rsidP="00A8048F">
      <w:pPr>
        <w:pStyle w:val="NoSpacing"/>
        <w:spacing w:before="5" w:after="5" w:line="360" w:lineRule="auto"/>
        <w:ind w:left="720"/>
        <w:jc w:val="both"/>
      </w:pPr>
      <w:r w:rsidRPr="0043704E">
        <w:t>Currently, the public transport system is made up of a myriad of operators, regulators, watchdogs and passenger groups, and there is often little clarity on which body is responsible for individual issues when things do go wrong. Even within the same mode of transport the picture can be complicated.</w:t>
      </w:r>
      <w:r w:rsidRPr="0043704E">
        <w:rPr>
          <w:rStyle w:val="FootnoteReference"/>
        </w:rPr>
        <w:footnoteReference w:id="24"/>
      </w:r>
    </w:p>
    <w:p w14:paraId="59769772" w14:textId="77777777" w:rsidR="00A8048F" w:rsidRPr="0043704E" w:rsidRDefault="00A8048F" w:rsidP="00A8048F">
      <w:pPr>
        <w:pStyle w:val="NoSpacing"/>
        <w:spacing w:before="5" w:after="5" w:line="360" w:lineRule="auto"/>
        <w:jc w:val="both"/>
      </w:pPr>
    </w:p>
    <w:p w14:paraId="076A98F4" w14:textId="47777454" w:rsidR="00D07E63" w:rsidRDefault="005C08F6" w:rsidP="00A8048F">
      <w:pPr>
        <w:pStyle w:val="NoSpacing"/>
        <w:numPr>
          <w:ilvl w:val="0"/>
          <w:numId w:val="12"/>
        </w:numPr>
        <w:spacing w:before="5" w:after="5" w:line="360" w:lineRule="auto"/>
        <w:jc w:val="both"/>
        <w:rPr>
          <w:rFonts w:cs="Arial"/>
          <w:szCs w:val="24"/>
        </w:rPr>
      </w:pPr>
      <w:r w:rsidRPr="0043704E">
        <w:rPr>
          <w:rFonts w:cs="Arial"/>
          <w:szCs w:val="24"/>
        </w:rPr>
        <w:t>The regulation of taxis and private hire vehicles is particularly illustrative of this problem.</w:t>
      </w:r>
      <w:r w:rsidR="00AA2B75" w:rsidRPr="0043704E">
        <w:rPr>
          <w:rFonts w:cs="Arial"/>
          <w:szCs w:val="24"/>
        </w:rPr>
        <w:t xml:space="preserve"> As the Local Government Association (the membership body for local authorities in England and Wales) has written in its guidance to councillors on taxi and private hire vehicle licensing</w:t>
      </w:r>
      <w:r w:rsidR="00C448D8">
        <w:rPr>
          <w:rFonts w:cs="Arial"/>
          <w:szCs w:val="24"/>
        </w:rPr>
        <w:t>,</w:t>
      </w:r>
      <w:r w:rsidR="00AA2B75" w:rsidRPr="0043704E">
        <w:rPr>
          <w:rFonts w:cs="Arial"/>
          <w:szCs w:val="24"/>
        </w:rPr>
        <w:t xml:space="preserve"> the current regime, over time:</w:t>
      </w:r>
    </w:p>
    <w:p w14:paraId="4CB69627" w14:textId="77777777" w:rsidR="00A8048F" w:rsidRPr="0043704E" w:rsidRDefault="00A8048F" w:rsidP="00A8048F">
      <w:pPr>
        <w:pStyle w:val="NoSpacing"/>
        <w:spacing w:before="5" w:after="5" w:line="360" w:lineRule="auto"/>
        <w:ind w:left="360"/>
        <w:jc w:val="both"/>
        <w:rPr>
          <w:rFonts w:cs="Arial"/>
          <w:szCs w:val="24"/>
        </w:rPr>
      </w:pPr>
    </w:p>
    <w:p w14:paraId="19A49D86" w14:textId="14C0CE0E" w:rsidR="00AA2B75" w:rsidRDefault="00300AB4" w:rsidP="00A8048F">
      <w:pPr>
        <w:pStyle w:val="NoSpacing"/>
        <w:spacing w:before="5" w:after="5" w:line="360" w:lineRule="auto"/>
        <w:ind w:left="720"/>
        <w:jc w:val="both"/>
      </w:pPr>
      <w:r w:rsidRPr="0043704E">
        <w:t>…</w:t>
      </w:r>
      <w:r w:rsidR="00AA2B75" w:rsidRPr="0043704E">
        <w:t>has created differing standards with little coordination within regions or nationally. The result is varying standards of service for passengers, particularly disabled users; confusion for taxi and PHV [private hire vehicle] businesses; some types of vehicles operating unregulated; and taxis working in areas in which they are not licensed to do so. This is far from ideal.</w:t>
      </w:r>
      <w:r w:rsidR="00AA2B75" w:rsidRPr="0043704E">
        <w:rPr>
          <w:rStyle w:val="FootnoteReference"/>
        </w:rPr>
        <w:footnoteReference w:id="25"/>
      </w:r>
    </w:p>
    <w:p w14:paraId="43ADB4EB" w14:textId="77777777" w:rsidR="00A8048F" w:rsidRPr="0043704E" w:rsidRDefault="00A8048F" w:rsidP="00A8048F">
      <w:pPr>
        <w:pStyle w:val="NoSpacing"/>
        <w:spacing w:before="5" w:after="5" w:line="360" w:lineRule="auto"/>
        <w:jc w:val="both"/>
      </w:pPr>
    </w:p>
    <w:p w14:paraId="5C82C0F7" w14:textId="7A6A2455" w:rsidR="00AA2B75" w:rsidRDefault="00C57D64" w:rsidP="00A8048F">
      <w:pPr>
        <w:pStyle w:val="NoSpacing"/>
        <w:numPr>
          <w:ilvl w:val="0"/>
          <w:numId w:val="12"/>
        </w:numPr>
        <w:spacing w:before="5" w:after="5" w:line="360" w:lineRule="auto"/>
        <w:jc w:val="both"/>
        <w:rPr>
          <w:rFonts w:cs="Arial"/>
          <w:szCs w:val="24"/>
        </w:rPr>
      </w:pPr>
      <w:r w:rsidRPr="0043704E">
        <w:rPr>
          <w:rFonts w:cs="Arial"/>
          <w:szCs w:val="24"/>
        </w:rPr>
        <w:t>The Commission believes that spontaneous travel is fundamental to the right to disabled people in realising their right to independent living, as guaranteed by Article 19 of the UNCRPD.</w:t>
      </w:r>
      <w:r w:rsidR="00300AB4" w:rsidRPr="0043704E">
        <w:rPr>
          <w:rStyle w:val="FootnoteReference"/>
          <w:rFonts w:cs="Arial"/>
          <w:szCs w:val="24"/>
        </w:rPr>
        <w:footnoteReference w:id="26"/>
      </w:r>
      <w:r w:rsidRPr="0043704E">
        <w:rPr>
          <w:rFonts w:cs="Arial"/>
          <w:szCs w:val="24"/>
        </w:rPr>
        <w:t xml:space="preserve"> As a result of the current local licencing model for taxis and private hire vehicles, disabled people cannot be guaranteed </w:t>
      </w:r>
      <w:r w:rsidR="007E3D6D" w:rsidRPr="0043704E">
        <w:rPr>
          <w:rFonts w:cs="Arial"/>
          <w:szCs w:val="24"/>
        </w:rPr>
        <w:t xml:space="preserve">that minimum accessibility standards (both in terms of vehicles and driver training) will apply </w:t>
      </w:r>
      <w:r w:rsidR="00A103DD" w:rsidRPr="0043704E">
        <w:rPr>
          <w:rFonts w:cs="Arial"/>
          <w:szCs w:val="24"/>
        </w:rPr>
        <w:t>at a national level</w:t>
      </w:r>
      <w:r w:rsidR="00C448D8">
        <w:rPr>
          <w:rFonts w:cs="Arial"/>
          <w:szCs w:val="24"/>
        </w:rPr>
        <w:t>,</w:t>
      </w:r>
      <w:r w:rsidR="007E3D6D" w:rsidRPr="0043704E">
        <w:rPr>
          <w:rFonts w:cs="Arial"/>
          <w:szCs w:val="24"/>
        </w:rPr>
        <w:t xml:space="preserve"> </w:t>
      </w:r>
      <w:r w:rsidRPr="0043704E">
        <w:rPr>
          <w:rFonts w:cs="Arial"/>
          <w:szCs w:val="24"/>
        </w:rPr>
        <w:t>depriving them of this right</w:t>
      </w:r>
      <w:r w:rsidR="00C448D8">
        <w:rPr>
          <w:rFonts w:cs="Arial"/>
          <w:szCs w:val="24"/>
        </w:rPr>
        <w:t xml:space="preserve"> in practice</w:t>
      </w:r>
      <w:r w:rsidRPr="0043704E">
        <w:rPr>
          <w:rFonts w:cs="Arial"/>
          <w:szCs w:val="24"/>
        </w:rPr>
        <w:t>.</w:t>
      </w:r>
    </w:p>
    <w:p w14:paraId="5500D5A7" w14:textId="77777777" w:rsidR="00A8048F" w:rsidRPr="0043704E" w:rsidRDefault="00A8048F" w:rsidP="00A8048F">
      <w:pPr>
        <w:pStyle w:val="NoSpacing"/>
        <w:spacing w:before="5" w:after="5" w:line="360" w:lineRule="auto"/>
        <w:ind w:left="360"/>
        <w:jc w:val="both"/>
        <w:rPr>
          <w:rFonts w:cs="Arial"/>
          <w:szCs w:val="24"/>
        </w:rPr>
      </w:pPr>
    </w:p>
    <w:p w14:paraId="418BFDC4" w14:textId="2E55FF0D" w:rsidR="007E3D6D" w:rsidRDefault="007E3D6D" w:rsidP="00A8048F">
      <w:pPr>
        <w:pStyle w:val="NoSpacing"/>
        <w:numPr>
          <w:ilvl w:val="0"/>
          <w:numId w:val="12"/>
        </w:numPr>
        <w:spacing w:before="5" w:after="5" w:line="360" w:lineRule="auto"/>
        <w:jc w:val="both"/>
        <w:rPr>
          <w:rFonts w:cs="Arial"/>
          <w:szCs w:val="24"/>
        </w:rPr>
      </w:pPr>
      <w:r w:rsidRPr="0043704E">
        <w:rPr>
          <w:rFonts w:cs="Arial"/>
          <w:szCs w:val="24"/>
        </w:rPr>
        <w:t>We believe that a single system of national operating licences</w:t>
      </w:r>
      <w:r w:rsidR="0044130C" w:rsidRPr="0043704E">
        <w:rPr>
          <w:rFonts w:cs="Arial"/>
          <w:szCs w:val="24"/>
        </w:rPr>
        <w:t xml:space="preserve"> for HARPS</w:t>
      </w:r>
      <w:r w:rsidRPr="0043704E">
        <w:rPr>
          <w:rFonts w:cs="Arial"/>
          <w:szCs w:val="24"/>
        </w:rPr>
        <w:t xml:space="preserve">, administered by a </w:t>
      </w:r>
      <w:r w:rsidR="00F2681E" w:rsidRPr="0043704E">
        <w:rPr>
          <w:rFonts w:cs="Arial"/>
          <w:szCs w:val="24"/>
        </w:rPr>
        <w:t xml:space="preserve">national </w:t>
      </w:r>
      <w:r w:rsidRPr="0043704E">
        <w:rPr>
          <w:rFonts w:cs="Arial"/>
          <w:szCs w:val="24"/>
        </w:rPr>
        <w:t>regulator</w:t>
      </w:r>
      <w:r w:rsidR="008846D5" w:rsidRPr="0043704E">
        <w:rPr>
          <w:rFonts w:cs="Arial"/>
          <w:szCs w:val="24"/>
        </w:rPr>
        <w:t>(s)</w:t>
      </w:r>
      <w:r w:rsidRPr="0043704E">
        <w:rPr>
          <w:rFonts w:cs="Arial"/>
          <w:szCs w:val="24"/>
        </w:rPr>
        <w:t xml:space="preserve"> has the potential to </w:t>
      </w:r>
      <w:r w:rsidR="0044130C" w:rsidRPr="0043704E">
        <w:rPr>
          <w:rFonts w:cs="Arial"/>
          <w:szCs w:val="24"/>
        </w:rPr>
        <w:t xml:space="preserve">avoid </w:t>
      </w:r>
      <w:r w:rsidRPr="0043704E">
        <w:rPr>
          <w:rFonts w:cs="Arial"/>
          <w:szCs w:val="24"/>
        </w:rPr>
        <w:t>this problem</w:t>
      </w:r>
      <w:r w:rsidR="0044130C" w:rsidRPr="0043704E">
        <w:rPr>
          <w:rFonts w:cs="Arial"/>
          <w:szCs w:val="24"/>
        </w:rPr>
        <w:t xml:space="preserve"> for highly automated road-based vehicles</w:t>
      </w:r>
      <w:r w:rsidRPr="0043704E">
        <w:rPr>
          <w:rFonts w:cs="Arial"/>
          <w:szCs w:val="24"/>
        </w:rPr>
        <w:t xml:space="preserve">. For example, uniform licence conditions </w:t>
      </w:r>
      <w:r w:rsidR="00F2681E" w:rsidRPr="0043704E">
        <w:rPr>
          <w:rFonts w:cs="Arial"/>
          <w:szCs w:val="24"/>
        </w:rPr>
        <w:t>at a national level</w:t>
      </w:r>
      <w:r w:rsidRPr="0043704E">
        <w:rPr>
          <w:rFonts w:cs="Arial"/>
          <w:szCs w:val="24"/>
        </w:rPr>
        <w:t xml:space="preserve"> would ensure that passengers </w:t>
      </w:r>
      <w:r w:rsidR="0044130C" w:rsidRPr="0043704E">
        <w:rPr>
          <w:rFonts w:cs="Arial"/>
          <w:szCs w:val="24"/>
        </w:rPr>
        <w:t xml:space="preserve">of these vehicles </w:t>
      </w:r>
      <w:r w:rsidRPr="0043704E">
        <w:rPr>
          <w:rFonts w:cs="Arial"/>
          <w:szCs w:val="24"/>
        </w:rPr>
        <w:t xml:space="preserve">know what to expect wherever </w:t>
      </w:r>
      <w:r w:rsidR="00D45D4F">
        <w:rPr>
          <w:rFonts w:cs="Arial"/>
          <w:szCs w:val="24"/>
        </w:rPr>
        <w:t>they travel.</w:t>
      </w:r>
    </w:p>
    <w:p w14:paraId="6C2557E1" w14:textId="10566EA1" w:rsidR="00A8048F" w:rsidRPr="0043704E" w:rsidRDefault="00A8048F" w:rsidP="00A8048F">
      <w:pPr>
        <w:pStyle w:val="NoSpacing"/>
        <w:spacing w:before="5" w:after="5" w:line="360" w:lineRule="auto"/>
        <w:jc w:val="both"/>
        <w:rPr>
          <w:rFonts w:cs="Arial"/>
          <w:szCs w:val="24"/>
        </w:rPr>
      </w:pPr>
    </w:p>
    <w:p w14:paraId="6F92ACD5" w14:textId="5E6BC177" w:rsidR="00D07E63" w:rsidRDefault="009926D5" w:rsidP="00A8048F">
      <w:pPr>
        <w:pStyle w:val="NoSpacing"/>
        <w:numPr>
          <w:ilvl w:val="0"/>
          <w:numId w:val="12"/>
        </w:numPr>
        <w:spacing w:before="5" w:after="5" w:line="360" w:lineRule="auto"/>
        <w:jc w:val="both"/>
        <w:rPr>
          <w:rFonts w:cs="Arial"/>
          <w:szCs w:val="24"/>
        </w:rPr>
      </w:pPr>
      <w:r>
        <w:rPr>
          <w:rFonts w:cs="Arial"/>
          <w:szCs w:val="24"/>
        </w:rPr>
        <w:t>A</w:t>
      </w:r>
      <w:r w:rsidR="00C57D64" w:rsidRPr="0043704E">
        <w:rPr>
          <w:rFonts w:cs="Arial"/>
          <w:szCs w:val="24"/>
        </w:rPr>
        <w:t xml:space="preserve"> national, licensing scheme also has the potential to simplify and speed up complaints and enforcement, a key issue to which we return to in our response to Consultation Question 27, below.</w:t>
      </w:r>
    </w:p>
    <w:p w14:paraId="66E9DAE7" w14:textId="77777777" w:rsidR="00A8048F" w:rsidRPr="0043704E" w:rsidRDefault="00A8048F" w:rsidP="00A8048F">
      <w:pPr>
        <w:pStyle w:val="NoSpacing"/>
        <w:spacing w:before="5" w:after="5" w:line="360" w:lineRule="auto"/>
        <w:ind w:left="360"/>
        <w:jc w:val="both"/>
        <w:rPr>
          <w:rFonts w:cs="Arial"/>
          <w:szCs w:val="24"/>
        </w:rPr>
      </w:pPr>
    </w:p>
    <w:p w14:paraId="630EFF4F" w14:textId="57321C3F" w:rsidR="0043704E" w:rsidRPr="0043704E" w:rsidRDefault="0043704E" w:rsidP="00A8048F">
      <w:pPr>
        <w:pStyle w:val="Heading2"/>
        <w:spacing w:before="5" w:after="5" w:line="360" w:lineRule="auto"/>
        <w:jc w:val="both"/>
        <w:rPr>
          <w:rFonts w:ascii="Arial" w:hAnsi="Arial" w:cs="Arial"/>
          <w:b/>
          <w:color w:val="auto"/>
        </w:rPr>
      </w:pPr>
      <w:bookmarkStart w:id="52" w:name="_Toc30601891"/>
      <w:bookmarkStart w:id="53" w:name="_Toc30662637"/>
      <w:r>
        <w:rPr>
          <w:rFonts w:ascii="Arial" w:hAnsi="Arial" w:cs="Arial"/>
          <w:b/>
          <w:color w:val="auto"/>
        </w:rPr>
        <w:lastRenderedPageBreak/>
        <w:t>Consultation Question 7</w:t>
      </w:r>
      <w:bookmarkEnd w:id="52"/>
      <w:bookmarkEnd w:id="53"/>
    </w:p>
    <w:tbl>
      <w:tblPr>
        <w:tblStyle w:val="TableGrid"/>
        <w:tblW w:w="0" w:type="auto"/>
        <w:tblLook w:val="04A0" w:firstRow="1" w:lastRow="0" w:firstColumn="1" w:lastColumn="0" w:noHBand="0" w:noVBand="1"/>
        <w:tblCaption w:val="Consultation Question 7"/>
        <w:tblDescription w:val="Do you agree that applicants for a HARPS operator licence should show that they:&#10;1. are of good repute;&#10;2. have appropriate financial standing;&#10;3. have suitable premises, including a stable establishment in Great Britain; and&#10;4. have a suitable transport manager to oversee operations?&#10;"/>
      </w:tblPr>
      <w:tblGrid>
        <w:gridCol w:w="9016"/>
      </w:tblGrid>
      <w:tr w:rsidR="00C83072" w:rsidRPr="0043704E" w14:paraId="305140E8" w14:textId="77777777" w:rsidTr="00D45D4F">
        <w:trPr>
          <w:tblHeader/>
        </w:trPr>
        <w:tc>
          <w:tcPr>
            <w:tcW w:w="9016" w:type="dxa"/>
          </w:tcPr>
          <w:p w14:paraId="69D482E7" w14:textId="77777777" w:rsidR="00C83072" w:rsidRPr="0043704E" w:rsidRDefault="00C83072" w:rsidP="00A8048F">
            <w:pPr>
              <w:pStyle w:val="NoSpacing"/>
              <w:spacing w:before="5" w:after="5" w:line="360" w:lineRule="auto"/>
              <w:jc w:val="both"/>
              <w:rPr>
                <w:rFonts w:cs="Arial"/>
                <w:sz w:val="26"/>
                <w:szCs w:val="26"/>
              </w:rPr>
            </w:pPr>
            <w:r w:rsidRPr="0043704E">
              <w:rPr>
                <w:rFonts w:cs="Arial"/>
                <w:sz w:val="26"/>
                <w:szCs w:val="26"/>
              </w:rPr>
              <w:t>Do you agree that applicants for a HARPS operator licence should show that they:</w:t>
            </w:r>
          </w:p>
          <w:p w14:paraId="0B7CDC59" w14:textId="079865AB" w:rsidR="00C83072" w:rsidRPr="0043704E" w:rsidRDefault="00C83072" w:rsidP="00A8048F">
            <w:pPr>
              <w:pStyle w:val="NoSpacing"/>
              <w:numPr>
                <w:ilvl w:val="0"/>
                <w:numId w:val="20"/>
              </w:numPr>
              <w:spacing w:before="5" w:after="5" w:line="360" w:lineRule="auto"/>
              <w:jc w:val="both"/>
              <w:rPr>
                <w:rFonts w:cs="Arial"/>
                <w:sz w:val="26"/>
                <w:szCs w:val="26"/>
              </w:rPr>
            </w:pPr>
            <w:r w:rsidRPr="0043704E">
              <w:rPr>
                <w:rFonts w:cs="Arial"/>
                <w:sz w:val="26"/>
                <w:szCs w:val="26"/>
              </w:rPr>
              <w:t>are of good repute;</w:t>
            </w:r>
          </w:p>
          <w:p w14:paraId="4344C87E" w14:textId="77777777" w:rsidR="00C83072" w:rsidRPr="0043704E" w:rsidRDefault="00C83072" w:rsidP="00A8048F">
            <w:pPr>
              <w:pStyle w:val="NoSpacing"/>
              <w:numPr>
                <w:ilvl w:val="0"/>
                <w:numId w:val="20"/>
              </w:numPr>
              <w:spacing w:before="5" w:after="5" w:line="360" w:lineRule="auto"/>
              <w:jc w:val="both"/>
              <w:rPr>
                <w:rFonts w:cs="Arial"/>
                <w:sz w:val="26"/>
                <w:szCs w:val="26"/>
              </w:rPr>
            </w:pPr>
            <w:r w:rsidRPr="0043704E">
              <w:rPr>
                <w:rFonts w:cs="Arial"/>
                <w:sz w:val="26"/>
                <w:szCs w:val="26"/>
              </w:rPr>
              <w:t>have appropriate financial standing;</w:t>
            </w:r>
          </w:p>
          <w:p w14:paraId="3F9F3417" w14:textId="77777777" w:rsidR="00C83072" w:rsidRPr="0043704E" w:rsidRDefault="00C83072" w:rsidP="00A8048F">
            <w:pPr>
              <w:pStyle w:val="NoSpacing"/>
              <w:numPr>
                <w:ilvl w:val="0"/>
                <w:numId w:val="20"/>
              </w:numPr>
              <w:spacing w:before="5" w:after="5" w:line="360" w:lineRule="auto"/>
              <w:jc w:val="both"/>
              <w:rPr>
                <w:rFonts w:cs="Arial"/>
                <w:sz w:val="26"/>
                <w:szCs w:val="26"/>
              </w:rPr>
            </w:pPr>
            <w:r w:rsidRPr="0043704E">
              <w:rPr>
                <w:rFonts w:cs="Arial"/>
                <w:sz w:val="26"/>
                <w:szCs w:val="26"/>
              </w:rPr>
              <w:t>have suitable premises, including a stable establishment in Great Britain; and</w:t>
            </w:r>
          </w:p>
          <w:p w14:paraId="2543AD04" w14:textId="19C14806" w:rsidR="00C83072" w:rsidRPr="0043704E" w:rsidRDefault="00C83072" w:rsidP="00A8048F">
            <w:pPr>
              <w:pStyle w:val="NoSpacing"/>
              <w:numPr>
                <w:ilvl w:val="0"/>
                <w:numId w:val="20"/>
              </w:numPr>
              <w:spacing w:before="5" w:after="5" w:line="360" w:lineRule="auto"/>
              <w:jc w:val="both"/>
              <w:rPr>
                <w:rFonts w:cs="Arial"/>
                <w:sz w:val="26"/>
                <w:szCs w:val="26"/>
              </w:rPr>
            </w:pPr>
            <w:r w:rsidRPr="0043704E">
              <w:rPr>
                <w:rFonts w:cs="Arial"/>
                <w:sz w:val="26"/>
                <w:szCs w:val="26"/>
              </w:rPr>
              <w:t>have a suitable transport manager to oversee operations?</w:t>
            </w:r>
          </w:p>
        </w:tc>
      </w:tr>
    </w:tbl>
    <w:p w14:paraId="2639083A" w14:textId="77777777" w:rsidR="00C83072" w:rsidRPr="0043704E" w:rsidRDefault="00C83072" w:rsidP="00A8048F">
      <w:pPr>
        <w:pStyle w:val="NoSpacing"/>
        <w:spacing w:before="5" w:after="5" w:line="360" w:lineRule="auto"/>
        <w:jc w:val="both"/>
        <w:rPr>
          <w:rFonts w:cs="Arial"/>
          <w:b/>
          <w:sz w:val="26"/>
          <w:szCs w:val="26"/>
        </w:rPr>
      </w:pPr>
    </w:p>
    <w:p w14:paraId="7422E190" w14:textId="6C9BA9FD" w:rsidR="00C83072" w:rsidRDefault="00C83072" w:rsidP="00A8048F">
      <w:pPr>
        <w:pStyle w:val="NoSpacing"/>
        <w:numPr>
          <w:ilvl w:val="0"/>
          <w:numId w:val="12"/>
        </w:numPr>
        <w:spacing w:before="5" w:after="5" w:line="360" w:lineRule="auto"/>
        <w:jc w:val="both"/>
        <w:rPr>
          <w:rFonts w:cs="Arial"/>
          <w:szCs w:val="24"/>
        </w:rPr>
      </w:pPr>
      <w:r w:rsidRPr="0043704E">
        <w:rPr>
          <w:rFonts w:cs="Arial"/>
          <w:szCs w:val="24"/>
        </w:rPr>
        <w:t>As they note, the Law Commissions have deri</w:t>
      </w:r>
      <w:r w:rsidR="005862BF" w:rsidRPr="0043704E">
        <w:rPr>
          <w:rFonts w:cs="Arial"/>
          <w:szCs w:val="24"/>
        </w:rPr>
        <w:t>ved these licence conditions from</w:t>
      </w:r>
      <w:r w:rsidRPr="0043704E">
        <w:rPr>
          <w:rFonts w:cs="Arial"/>
          <w:szCs w:val="24"/>
        </w:rPr>
        <w:t xml:space="preserve"> the current standard passenger service vehicle operator licences.</w:t>
      </w:r>
      <w:r w:rsidRPr="0043704E">
        <w:rPr>
          <w:rStyle w:val="FootnoteReference"/>
          <w:rFonts w:cs="Arial"/>
          <w:szCs w:val="24"/>
        </w:rPr>
        <w:footnoteReference w:id="27"/>
      </w:r>
      <w:r w:rsidRPr="0043704E">
        <w:rPr>
          <w:rFonts w:cs="Arial"/>
          <w:szCs w:val="24"/>
        </w:rPr>
        <w:t xml:space="preserve"> </w:t>
      </w:r>
    </w:p>
    <w:p w14:paraId="2AD54C0B" w14:textId="77777777" w:rsidR="00A8048F" w:rsidRPr="0043704E" w:rsidRDefault="00A8048F" w:rsidP="00A8048F">
      <w:pPr>
        <w:pStyle w:val="NoSpacing"/>
        <w:spacing w:before="5" w:after="5" w:line="360" w:lineRule="auto"/>
        <w:ind w:left="360"/>
        <w:jc w:val="both"/>
        <w:rPr>
          <w:rFonts w:cs="Arial"/>
          <w:szCs w:val="24"/>
        </w:rPr>
      </w:pPr>
    </w:p>
    <w:p w14:paraId="7E327956" w14:textId="4328DCED" w:rsidR="00C83072" w:rsidRDefault="00C83072" w:rsidP="00A8048F">
      <w:pPr>
        <w:pStyle w:val="NoSpacing"/>
        <w:numPr>
          <w:ilvl w:val="0"/>
          <w:numId w:val="12"/>
        </w:numPr>
        <w:spacing w:before="5" w:after="5" w:line="360" w:lineRule="auto"/>
        <w:jc w:val="both"/>
        <w:rPr>
          <w:rFonts w:cs="Arial"/>
          <w:szCs w:val="24"/>
        </w:rPr>
      </w:pPr>
      <w:r w:rsidRPr="0043704E">
        <w:rPr>
          <w:rFonts w:cs="Arial"/>
          <w:szCs w:val="24"/>
        </w:rPr>
        <w:t xml:space="preserve">We </w:t>
      </w:r>
      <w:r w:rsidR="00BD7A64">
        <w:rPr>
          <w:rFonts w:cs="Arial"/>
          <w:szCs w:val="24"/>
        </w:rPr>
        <w:t xml:space="preserve">agree that applicants should demonstrate these credentials as minimum, but </w:t>
      </w:r>
      <w:r w:rsidRPr="0043704E">
        <w:rPr>
          <w:rFonts w:cs="Arial"/>
          <w:szCs w:val="24"/>
        </w:rPr>
        <w:t>think that there is scope for the Law Commissions to be more ambitious in terms of using licence conditions to secure accessibility</w:t>
      </w:r>
      <w:r w:rsidR="00A46788" w:rsidRPr="0043704E">
        <w:rPr>
          <w:rFonts w:cs="Arial"/>
          <w:szCs w:val="24"/>
        </w:rPr>
        <w:t xml:space="preserve"> for disabled people</w:t>
      </w:r>
      <w:r w:rsidRPr="0043704E">
        <w:rPr>
          <w:rFonts w:cs="Arial"/>
          <w:szCs w:val="24"/>
        </w:rPr>
        <w:t>.</w:t>
      </w:r>
    </w:p>
    <w:p w14:paraId="11B050C2" w14:textId="26F3AAE4" w:rsidR="00A8048F" w:rsidRPr="0043704E" w:rsidRDefault="00A8048F" w:rsidP="00A8048F">
      <w:pPr>
        <w:pStyle w:val="NoSpacing"/>
        <w:spacing w:before="5" w:after="5" w:line="360" w:lineRule="auto"/>
        <w:jc w:val="both"/>
        <w:rPr>
          <w:rFonts w:cs="Arial"/>
          <w:szCs w:val="24"/>
        </w:rPr>
      </w:pPr>
    </w:p>
    <w:p w14:paraId="434D6342" w14:textId="336F3B3D" w:rsidR="00C83072" w:rsidRDefault="00C83072" w:rsidP="00A8048F">
      <w:pPr>
        <w:pStyle w:val="NoSpacing"/>
        <w:numPr>
          <w:ilvl w:val="0"/>
          <w:numId w:val="12"/>
        </w:numPr>
        <w:spacing w:before="5" w:after="5" w:line="360" w:lineRule="auto"/>
        <w:jc w:val="both"/>
        <w:rPr>
          <w:rFonts w:cs="Arial"/>
          <w:szCs w:val="24"/>
        </w:rPr>
      </w:pPr>
      <w:r w:rsidRPr="0043704E">
        <w:rPr>
          <w:rFonts w:cs="Arial"/>
          <w:szCs w:val="24"/>
        </w:rPr>
        <w:t>As the Law Commission of England and Wales noted in its 2014 Report into Taxis and Privat</w:t>
      </w:r>
      <w:r w:rsidR="006B1BFD" w:rsidRPr="0043704E">
        <w:rPr>
          <w:rFonts w:cs="Arial"/>
          <w:szCs w:val="24"/>
        </w:rPr>
        <w:t xml:space="preserve">e Hire </w:t>
      </w:r>
      <w:r w:rsidR="00421CB4" w:rsidRPr="0043704E">
        <w:rPr>
          <w:rFonts w:cs="Arial"/>
          <w:szCs w:val="24"/>
        </w:rPr>
        <w:t>Services:</w:t>
      </w:r>
      <w:r w:rsidR="006B1BFD" w:rsidRPr="0043704E">
        <w:rPr>
          <w:rFonts w:cs="Arial"/>
          <w:szCs w:val="24"/>
        </w:rPr>
        <w:t xml:space="preserve"> </w:t>
      </w:r>
    </w:p>
    <w:p w14:paraId="4D4062F6" w14:textId="2AA8617E" w:rsidR="00A8048F" w:rsidRPr="0043704E" w:rsidRDefault="00A8048F" w:rsidP="00A8048F">
      <w:pPr>
        <w:pStyle w:val="NoSpacing"/>
        <w:spacing w:before="5" w:after="5" w:line="360" w:lineRule="auto"/>
        <w:jc w:val="both"/>
        <w:rPr>
          <w:rFonts w:cs="Arial"/>
          <w:szCs w:val="24"/>
        </w:rPr>
      </w:pPr>
    </w:p>
    <w:p w14:paraId="73D38158" w14:textId="2D6D433E" w:rsidR="00C83072" w:rsidRDefault="006B1BFD" w:rsidP="00A8048F">
      <w:pPr>
        <w:pStyle w:val="NoSpacing"/>
        <w:spacing w:before="5" w:after="5" w:line="360" w:lineRule="auto"/>
        <w:ind w:left="720"/>
        <w:jc w:val="both"/>
        <w:rPr>
          <w:szCs w:val="24"/>
        </w:rPr>
      </w:pPr>
      <w:r w:rsidRPr="0043704E">
        <w:rPr>
          <w:szCs w:val="24"/>
        </w:rPr>
        <w:t>As the law currently stands, much of the behaviour complained of [in relation to discrimination when using taxis and private hire vehicle] by disabled passengers would infringe the provisions of the Equality Act 2010, in particular the requirement not to discriminate</w:t>
      </w:r>
      <w:r w:rsidR="00A46788" w:rsidRPr="0043704E">
        <w:rPr>
          <w:szCs w:val="24"/>
        </w:rPr>
        <w:t xml:space="preserve"> in the provision of services.</w:t>
      </w:r>
      <w:r w:rsidRPr="0043704E">
        <w:rPr>
          <w:szCs w:val="24"/>
        </w:rPr>
        <w:t xml:space="preserve"> However, the only means of enforcing this is through pursuing an action in the civil courts. This is costly, complex and, without the support of a representative organisation or charity, not feasible for most individuals. Furthermore, even if action were to be taken against a driver or dispatcher, the court would not have the power to take action against the licence.</w:t>
      </w:r>
      <w:r w:rsidR="00421CB4" w:rsidRPr="0043704E">
        <w:rPr>
          <w:rStyle w:val="FootnoteReference"/>
          <w:szCs w:val="24"/>
        </w:rPr>
        <w:footnoteReference w:id="28"/>
      </w:r>
    </w:p>
    <w:p w14:paraId="53B96E1A" w14:textId="77777777" w:rsidR="00A8048F" w:rsidRPr="0043704E" w:rsidRDefault="00A8048F" w:rsidP="00A8048F">
      <w:pPr>
        <w:pStyle w:val="NoSpacing"/>
        <w:spacing w:before="5" w:after="5" w:line="360" w:lineRule="auto"/>
        <w:jc w:val="both"/>
        <w:rPr>
          <w:rFonts w:cs="Arial"/>
          <w:szCs w:val="24"/>
        </w:rPr>
      </w:pPr>
    </w:p>
    <w:p w14:paraId="6B88D66A" w14:textId="4A9E0788" w:rsidR="006B1BFD" w:rsidRDefault="006B1BFD" w:rsidP="00A8048F">
      <w:pPr>
        <w:pStyle w:val="ListParagraph"/>
        <w:numPr>
          <w:ilvl w:val="0"/>
          <w:numId w:val="12"/>
        </w:numPr>
        <w:spacing w:before="5" w:after="5" w:line="360" w:lineRule="auto"/>
        <w:contextualSpacing w:val="0"/>
        <w:rPr>
          <w:rFonts w:cs="Arial"/>
          <w:szCs w:val="24"/>
        </w:rPr>
      </w:pPr>
      <w:r w:rsidRPr="0043704E">
        <w:rPr>
          <w:rFonts w:cs="Arial"/>
          <w:szCs w:val="24"/>
        </w:rPr>
        <w:lastRenderedPageBreak/>
        <w:t>As a result, the Law Commission of England and Wales concluded that:</w:t>
      </w:r>
    </w:p>
    <w:p w14:paraId="2B93CE44" w14:textId="77777777" w:rsidR="00A8048F" w:rsidRPr="0043704E" w:rsidRDefault="00A8048F" w:rsidP="00A8048F">
      <w:pPr>
        <w:pStyle w:val="ListParagraph"/>
        <w:spacing w:before="5" w:after="5" w:line="360" w:lineRule="auto"/>
        <w:ind w:left="360"/>
        <w:contextualSpacing w:val="0"/>
        <w:rPr>
          <w:rFonts w:cs="Arial"/>
          <w:szCs w:val="24"/>
        </w:rPr>
      </w:pPr>
    </w:p>
    <w:p w14:paraId="6F466E3D" w14:textId="04DA8242" w:rsidR="006B1BFD" w:rsidRDefault="006B1BFD" w:rsidP="00A8048F">
      <w:pPr>
        <w:spacing w:before="5" w:after="5" w:line="360" w:lineRule="auto"/>
        <w:ind w:left="720"/>
        <w:rPr>
          <w:szCs w:val="24"/>
        </w:rPr>
      </w:pPr>
      <w:r w:rsidRPr="0043704E">
        <w:rPr>
          <w:szCs w:val="24"/>
        </w:rPr>
        <w:t>In order to provide a more effective means of enforcement, and one which targets the offending behaviour more squarely, we strongly recommend that the Secretary of State should exercise the standard-setting powers to make it a condition of licence for both drivers and operators that they comply with the provisions of the Equality Act 2010, specifically section 29, which prohibits discrimination in the provision of a service.</w:t>
      </w:r>
      <w:r w:rsidR="00421CB4" w:rsidRPr="0043704E">
        <w:rPr>
          <w:rStyle w:val="FootnoteReference"/>
          <w:szCs w:val="24"/>
        </w:rPr>
        <w:footnoteReference w:id="29"/>
      </w:r>
    </w:p>
    <w:p w14:paraId="4DC3CC48" w14:textId="77777777" w:rsidR="00A8048F" w:rsidRPr="0043704E" w:rsidRDefault="00A8048F" w:rsidP="00A8048F">
      <w:pPr>
        <w:spacing w:before="5" w:after="5" w:line="360" w:lineRule="auto"/>
        <w:ind w:left="720"/>
        <w:rPr>
          <w:rFonts w:cs="Arial"/>
          <w:szCs w:val="24"/>
        </w:rPr>
      </w:pPr>
    </w:p>
    <w:p w14:paraId="128E517A" w14:textId="7C54A782" w:rsidR="00C83072" w:rsidRDefault="006B1BFD" w:rsidP="00A8048F">
      <w:pPr>
        <w:pStyle w:val="ListParagraph"/>
        <w:numPr>
          <w:ilvl w:val="0"/>
          <w:numId w:val="12"/>
        </w:numPr>
        <w:spacing w:before="5" w:after="5" w:line="360" w:lineRule="auto"/>
        <w:contextualSpacing w:val="0"/>
        <w:rPr>
          <w:rFonts w:cs="Arial"/>
          <w:szCs w:val="24"/>
        </w:rPr>
      </w:pPr>
      <w:r w:rsidRPr="0043704E">
        <w:rPr>
          <w:rFonts w:cs="Arial"/>
          <w:szCs w:val="24"/>
        </w:rPr>
        <w:t>This recommendation was later endorsed by the House of Lords Equality Act 2010 and Disability Committee.</w:t>
      </w:r>
      <w:r w:rsidRPr="0043704E">
        <w:rPr>
          <w:rStyle w:val="FootnoteReference"/>
          <w:rFonts w:cs="Arial"/>
          <w:szCs w:val="24"/>
        </w:rPr>
        <w:footnoteReference w:id="30"/>
      </w:r>
    </w:p>
    <w:p w14:paraId="56AB2FF2" w14:textId="77777777" w:rsidR="00A8048F" w:rsidRPr="00A8048F" w:rsidRDefault="00A8048F" w:rsidP="00A8048F">
      <w:pPr>
        <w:spacing w:before="5" w:after="5" w:line="360" w:lineRule="auto"/>
        <w:rPr>
          <w:rFonts w:cs="Arial"/>
          <w:szCs w:val="24"/>
        </w:rPr>
      </w:pPr>
    </w:p>
    <w:p w14:paraId="21F6535B" w14:textId="30A67B1B" w:rsidR="00A46788" w:rsidRPr="00A8048F" w:rsidRDefault="006B1BFD" w:rsidP="00A8048F">
      <w:pPr>
        <w:pStyle w:val="NoSpacing"/>
        <w:numPr>
          <w:ilvl w:val="0"/>
          <w:numId w:val="12"/>
        </w:numPr>
        <w:spacing w:before="5" w:after="5" w:line="360" w:lineRule="auto"/>
        <w:jc w:val="both"/>
        <w:rPr>
          <w:rFonts w:cs="Arial"/>
          <w:szCs w:val="24"/>
        </w:rPr>
      </w:pPr>
      <w:r w:rsidRPr="0043704E">
        <w:rPr>
          <w:szCs w:val="24"/>
          <w:lang w:eastAsia="en-GB"/>
        </w:rPr>
        <w:t xml:space="preserve">We were </w:t>
      </w:r>
      <w:r w:rsidR="00C06826" w:rsidRPr="0043704E">
        <w:rPr>
          <w:szCs w:val="24"/>
          <w:lang w:eastAsia="en-GB"/>
        </w:rPr>
        <w:t>surprised</w:t>
      </w:r>
      <w:r w:rsidR="00BB60FA" w:rsidRPr="0043704E">
        <w:rPr>
          <w:szCs w:val="24"/>
          <w:lang w:eastAsia="en-GB"/>
        </w:rPr>
        <w:t>,</w:t>
      </w:r>
      <w:r w:rsidRPr="0043704E">
        <w:rPr>
          <w:szCs w:val="24"/>
          <w:lang w:eastAsia="en-GB"/>
        </w:rPr>
        <w:t xml:space="preserve"> therefore, not to </w:t>
      </w:r>
      <w:r w:rsidR="00BB60FA" w:rsidRPr="0043704E">
        <w:rPr>
          <w:szCs w:val="24"/>
          <w:lang w:eastAsia="en-GB"/>
        </w:rPr>
        <w:t xml:space="preserve">see </w:t>
      </w:r>
      <w:r w:rsidRPr="0043704E">
        <w:rPr>
          <w:szCs w:val="24"/>
          <w:lang w:eastAsia="en-GB"/>
        </w:rPr>
        <w:t>a similar discussion in the current consultation. We would argue that there is both scope</w:t>
      </w:r>
      <w:r w:rsidR="00423EFD">
        <w:rPr>
          <w:szCs w:val="24"/>
          <w:lang w:eastAsia="en-GB"/>
        </w:rPr>
        <w:t>,</w:t>
      </w:r>
      <w:r w:rsidRPr="0043704E">
        <w:rPr>
          <w:szCs w:val="24"/>
          <w:lang w:eastAsia="en-GB"/>
        </w:rPr>
        <w:t xml:space="preserve"> and a </w:t>
      </w:r>
      <w:r w:rsidR="00423EFD">
        <w:rPr>
          <w:szCs w:val="24"/>
          <w:lang w:eastAsia="en-GB"/>
        </w:rPr>
        <w:t xml:space="preserve">pressing </w:t>
      </w:r>
      <w:r w:rsidRPr="0043704E">
        <w:rPr>
          <w:szCs w:val="24"/>
          <w:lang w:eastAsia="en-GB"/>
        </w:rPr>
        <w:t>need</w:t>
      </w:r>
      <w:r w:rsidR="00423EFD">
        <w:rPr>
          <w:szCs w:val="24"/>
          <w:lang w:eastAsia="en-GB"/>
        </w:rPr>
        <w:t>,</w:t>
      </w:r>
      <w:r w:rsidRPr="0043704E">
        <w:rPr>
          <w:szCs w:val="24"/>
          <w:lang w:eastAsia="en-GB"/>
        </w:rPr>
        <w:t xml:space="preserve"> to use licence conditions more effectively – being of “good repute” is not particularly </w:t>
      </w:r>
      <w:r w:rsidR="00C06826" w:rsidRPr="0043704E">
        <w:rPr>
          <w:szCs w:val="24"/>
          <w:lang w:eastAsia="en-GB"/>
        </w:rPr>
        <w:t xml:space="preserve">onerous and does not </w:t>
      </w:r>
      <w:r w:rsidR="00C34135" w:rsidRPr="0043704E">
        <w:rPr>
          <w:szCs w:val="24"/>
          <w:lang w:eastAsia="en-GB"/>
        </w:rPr>
        <w:t xml:space="preserve">provide </w:t>
      </w:r>
      <w:r w:rsidR="00423EFD">
        <w:rPr>
          <w:szCs w:val="24"/>
          <w:lang w:eastAsia="en-GB"/>
        </w:rPr>
        <w:t>sufficient incentive for operators</w:t>
      </w:r>
      <w:r w:rsidR="00C34135" w:rsidRPr="0043704E">
        <w:rPr>
          <w:szCs w:val="24"/>
          <w:lang w:eastAsia="en-GB"/>
        </w:rPr>
        <w:t xml:space="preserve"> to</w:t>
      </w:r>
      <w:r w:rsidR="00BB60FA" w:rsidRPr="0043704E">
        <w:rPr>
          <w:szCs w:val="24"/>
          <w:lang w:eastAsia="en-GB"/>
        </w:rPr>
        <w:t xml:space="preserve"> import</w:t>
      </w:r>
      <w:r w:rsidR="00C34135" w:rsidRPr="0043704E">
        <w:rPr>
          <w:szCs w:val="24"/>
          <w:lang w:eastAsia="en-GB"/>
        </w:rPr>
        <w:t xml:space="preserve"> </w:t>
      </w:r>
      <w:r w:rsidR="00C06826" w:rsidRPr="0043704E">
        <w:rPr>
          <w:szCs w:val="24"/>
          <w:lang w:eastAsia="en-GB"/>
        </w:rPr>
        <w:t>mainstream acce</w:t>
      </w:r>
      <w:r w:rsidR="00423EFD">
        <w:rPr>
          <w:szCs w:val="24"/>
          <w:lang w:eastAsia="en-GB"/>
        </w:rPr>
        <w:t>ssibility and inclusivity into their</w:t>
      </w:r>
      <w:r w:rsidR="00C06826" w:rsidRPr="0043704E">
        <w:rPr>
          <w:szCs w:val="24"/>
          <w:lang w:eastAsia="en-GB"/>
        </w:rPr>
        <w:t xml:space="preserve"> operating models.</w:t>
      </w:r>
    </w:p>
    <w:p w14:paraId="7DCD88BB" w14:textId="310C6EA4" w:rsidR="00A8048F" w:rsidRPr="0043704E" w:rsidRDefault="00A8048F" w:rsidP="00A8048F">
      <w:pPr>
        <w:pStyle w:val="NoSpacing"/>
        <w:spacing w:before="5" w:after="5" w:line="360" w:lineRule="auto"/>
        <w:jc w:val="both"/>
        <w:rPr>
          <w:rFonts w:cs="Arial"/>
          <w:szCs w:val="24"/>
        </w:rPr>
      </w:pPr>
    </w:p>
    <w:p w14:paraId="24B2C635" w14:textId="774B4208" w:rsidR="009D16DB" w:rsidRPr="00A8048F" w:rsidRDefault="00A46788" w:rsidP="00A8048F">
      <w:pPr>
        <w:pStyle w:val="NoSpacing"/>
        <w:numPr>
          <w:ilvl w:val="0"/>
          <w:numId w:val="12"/>
        </w:numPr>
        <w:spacing w:before="5" w:after="5" w:line="360" w:lineRule="auto"/>
        <w:jc w:val="both"/>
        <w:rPr>
          <w:rFonts w:cs="Arial"/>
          <w:szCs w:val="24"/>
        </w:rPr>
      </w:pPr>
      <w:r w:rsidRPr="0043704E">
        <w:rPr>
          <w:szCs w:val="24"/>
          <w:lang w:eastAsia="en-GB"/>
        </w:rPr>
        <w:t>We would argue that</w:t>
      </w:r>
      <w:r w:rsidR="005862BF" w:rsidRPr="0043704E">
        <w:rPr>
          <w:szCs w:val="24"/>
          <w:lang w:eastAsia="en-GB"/>
        </w:rPr>
        <w:t xml:space="preserve"> the</w:t>
      </w:r>
      <w:r w:rsidRPr="0043704E">
        <w:rPr>
          <w:szCs w:val="24"/>
          <w:lang w:eastAsia="en-GB"/>
        </w:rPr>
        <w:t xml:space="preserve"> licence conditions</w:t>
      </w:r>
      <w:r w:rsidR="005862BF" w:rsidRPr="0043704E">
        <w:rPr>
          <w:szCs w:val="24"/>
          <w:lang w:eastAsia="en-GB"/>
        </w:rPr>
        <w:t xml:space="preserve"> for HARPS operators</w:t>
      </w:r>
      <w:r w:rsidRPr="0043704E">
        <w:rPr>
          <w:szCs w:val="24"/>
          <w:lang w:eastAsia="en-GB"/>
        </w:rPr>
        <w:t xml:space="preserve"> should be extended to cover</w:t>
      </w:r>
      <w:r w:rsidR="005862BF" w:rsidRPr="0043704E">
        <w:rPr>
          <w:szCs w:val="24"/>
          <w:lang w:eastAsia="en-GB"/>
        </w:rPr>
        <w:t>, at a minimum,</w:t>
      </w:r>
      <w:r w:rsidRPr="0043704E">
        <w:rPr>
          <w:szCs w:val="24"/>
          <w:lang w:eastAsia="en-GB"/>
        </w:rPr>
        <w:t xml:space="preserve"> compliance with the EA 2010</w:t>
      </w:r>
      <w:r w:rsidR="0092469A" w:rsidRPr="0043704E">
        <w:rPr>
          <w:szCs w:val="24"/>
          <w:lang w:eastAsia="en-GB"/>
        </w:rPr>
        <w:t>.</w:t>
      </w:r>
      <w:r w:rsidR="009D16DB" w:rsidRPr="0043704E">
        <w:rPr>
          <w:szCs w:val="24"/>
          <w:lang w:eastAsia="en-GB"/>
        </w:rPr>
        <w:t xml:space="preserve"> Other licence conditions could also include mandatory staff disability awareness and assistance training (to the extent that on-board or station staff are still involved in the journey</w:t>
      </w:r>
      <w:r w:rsidR="00BB60FA" w:rsidRPr="0043704E">
        <w:rPr>
          <w:szCs w:val="24"/>
          <w:lang w:eastAsia="en-GB"/>
        </w:rPr>
        <w:t xml:space="preserve"> or, alternatively, for</w:t>
      </w:r>
      <w:r w:rsidR="00423EFD">
        <w:rPr>
          <w:szCs w:val="24"/>
          <w:lang w:eastAsia="en-GB"/>
        </w:rPr>
        <w:t xml:space="preserve"> staff involved in remote supervision</w:t>
      </w:r>
      <w:r w:rsidR="009D16DB" w:rsidRPr="0043704E">
        <w:rPr>
          <w:szCs w:val="24"/>
          <w:lang w:eastAsia="en-GB"/>
        </w:rPr>
        <w:t>).</w:t>
      </w:r>
    </w:p>
    <w:p w14:paraId="1D311330" w14:textId="18131724" w:rsidR="00A8048F" w:rsidRPr="0043704E" w:rsidRDefault="00A8048F" w:rsidP="00A8048F">
      <w:pPr>
        <w:pStyle w:val="NoSpacing"/>
        <w:spacing w:before="5" w:after="5" w:line="360" w:lineRule="auto"/>
        <w:jc w:val="both"/>
        <w:rPr>
          <w:rFonts w:cs="Arial"/>
          <w:szCs w:val="24"/>
        </w:rPr>
      </w:pPr>
    </w:p>
    <w:p w14:paraId="357C285E" w14:textId="054A03BA" w:rsidR="006B1BFD" w:rsidRPr="00A8048F" w:rsidRDefault="00423EFD" w:rsidP="00A8048F">
      <w:pPr>
        <w:pStyle w:val="NoSpacing"/>
        <w:numPr>
          <w:ilvl w:val="0"/>
          <w:numId w:val="12"/>
        </w:numPr>
        <w:spacing w:before="5" w:after="5" w:line="360" w:lineRule="auto"/>
        <w:jc w:val="both"/>
        <w:rPr>
          <w:rFonts w:cs="Arial"/>
          <w:szCs w:val="24"/>
        </w:rPr>
      </w:pPr>
      <w:r>
        <w:rPr>
          <w:szCs w:val="24"/>
          <w:lang w:eastAsia="en-GB"/>
        </w:rPr>
        <w:t xml:space="preserve">We also think that </w:t>
      </w:r>
      <w:r w:rsidR="0092469A" w:rsidRPr="0043704E">
        <w:rPr>
          <w:szCs w:val="24"/>
          <w:lang w:eastAsia="en-GB"/>
        </w:rPr>
        <w:t>co</w:t>
      </w:r>
      <w:r w:rsidR="005862BF" w:rsidRPr="0043704E">
        <w:rPr>
          <w:szCs w:val="24"/>
          <w:lang w:eastAsia="en-GB"/>
        </w:rPr>
        <w:t xml:space="preserve">nsideration should be given as to whether compliance with any new national minimum accessibility </w:t>
      </w:r>
      <w:r w:rsidR="0092469A" w:rsidRPr="0043704E">
        <w:rPr>
          <w:szCs w:val="24"/>
          <w:lang w:eastAsia="en-GB"/>
        </w:rPr>
        <w:t xml:space="preserve">standards, that we recommend the creation of below, </w:t>
      </w:r>
      <w:r w:rsidR="005862BF" w:rsidRPr="0043704E">
        <w:rPr>
          <w:szCs w:val="24"/>
          <w:lang w:eastAsia="en-GB"/>
        </w:rPr>
        <w:t>is also made a licence condition</w:t>
      </w:r>
      <w:r w:rsidR="00C06826" w:rsidRPr="0043704E">
        <w:rPr>
          <w:szCs w:val="24"/>
          <w:lang w:eastAsia="en-GB"/>
        </w:rPr>
        <w:t>.</w:t>
      </w:r>
      <w:r w:rsidR="0092469A" w:rsidRPr="0043704E">
        <w:rPr>
          <w:szCs w:val="24"/>
          <w:lang w:eastAsia="en-GB"/>
        </w:rPr>
        <w:t xml:space="preserve"> This will depend on the ultimate powers of the new regulator</w:t>
      </w:r>
      <w:r w:rsidR="00F2681E" w:rsidRPr="0043704E">
        <w:rPr>
          <w:szCs w:val="24"/>
          <w:lang w:eastAsia="en-GB"/>
        </w:rPr>
        <w:t>(s)</w:t>
      </w:r>
      <w:r w:rsidR="0092469A" w:rsidRPr="0043704E">
        <w:rPr>
          <w:szCs w:val="24"/>
          <w:lang w:eastAsia="en-GB"/>
        </w:rPr>
        <w:t xml:space="preserve"> – it m</w:t>
      </w:r>
      <w:r>
        <w:rPr>
          <w:szCs w:val="24"/>
          <w:lang w:eastAsia="en-GB"/>
        </w:rPr>
        <w:t>ay be, for example, that they are</w:t>
      </w:r>
      <w:r w:rsidR="0092469A" w:rsidRPr="0043704E">
        <w:rPr>
          <w:szCs w:val="24"/>
          <w:lang w:eastAsia="en-GB"/>
        </w:rPr>
        <w:t xml:space="preserve"> given a free-standing power to enforce compliance with the accessibility standards, in which </w:t>
      </w:r>
      <w:r w:rsidR="0092469A" w:rsidRPr="0043704E">
        <w:rPr>
          <w:szCs w:val="24"/>
          <w:lang w:eastAsia="en-GB"/>
        </w:rPr>
        <w:lastRenderedPageBreak/>
        <w:t xml:space="preserve">case a power to enforce them via licence conditions may be considered superfluous. </w:t>
      </w:r>
    </w:p>
    <w:p w14:paraId="037D99CA" w14:textId="7EAE4FE2" w:rsidR="00A8048F" w:rsidRPr="0043704E" w:rsidRDefault="00A8048F" w:rsidP="00A8048F">
      <w:pPr>
        <w:pStyle w:val="NoSpacing"/>
        <w:spacing w:before="5" w:after="5" w:line="360" w:lineRule="auto"/>
        <w:jc w:val="both"/>
        <w:rPr>
          <w:rFonts w:cs="Arial"/>
          <w:szCs w:val="24"/>
        </w:rPr>
      </w:pPr>
    </w:p>
    <w:p w14:paraId="1A254F70" w14:textId="7F62C19C" w:rsidR="0043704E" w:rsidRPr="0043704E" w:rsidRDefault="0043704E" w:rsidP="00A8048F">
      <w:pPr>
        <w:pStyle w:val="Heading2"/>
        <w:spacing w:before="5" w:after="5" w:line="360" w:lineRule="auto"/>
        <w:jc w:val="both"/>
        <w:rPr>
          <w:rFonts w:ascii="Arial" w:hAnsi="Arial" w:cs="Arial"/>
          <w:b/>
          <w:color w:val="auto"/>
        </w:rPr>
      </w:pPr>
      <w:bookmarkStart w:id="54" w:name="_Toc30601892"/>
      <w:bookmarkStart w:id="55" w:name="_Toc30662638"/>
      <w:r>
        <w:rPr>
          <w:rFonts w:ascii="Arial" w:hAnsi="Arial" w:cs="Arial"/>
          <w:b/>
          <w:color w:val="auto"/>
        </w:rPr>
        <w:t>Consultation Question 11</w:t>
      </w:r>
      <w:bookmarkEnd w:id="54"/>
      <w:bookmarkEnd w:id="55"/>
    </w:p>
    <w:tbl>
      <w:tblPr>
        <w:tblStyle w:val="TableGrid"/>
        <w:tblW w:w="0" w:type="auto"/>
        <w:tblLook w:val="04A0" w:firstRow="1" w:lastRow="0" w:firstColumn="1" w:lastColumn="0" w:noHBand="0" w:noVBand="1"/>
        <w:tblCaption w:val="Consultation Question 11"/>
        <w:tblDescription w:val="Do you agree that HARPS operators should have a legal duty to:&#10;1. Insure vehicles; &#10;2. Supervise vehicles;&#10;3. Report accidents; and &#10;4. Take reasonable steps to safeguard passengers from assault, abuse or harassment?&#10;"/>
      </w:tblPr>
      <w:tblGrid>
        <w:gridCol w:w="9016"/>
      </w:tblGrid>
      <w:tr w:rsidR="00600708" w:rsidRPr="0043704E" w14:paraId="706F0FA1" w14:textId="77777777" w:rsidTr="00D45D4F">
        <w:trPr>
          <w:tblHeader/>
        </w:trPr>
        <w:tc>
          <w:tcPr>
            <w:tcW w:w="9016" w:type="dxa"/>
          </w:tcPr>
          <w:p w14:paraId="16AFDA8B" w14:textId="77777777" w:rsidR="00600708" w:rsidRPr="0043704E" w:rsidRDefault="00600708" w:rsidP="00A8048F">
            <w:pPr>
              <w:pStyle w:val="NoSpacing"/>
              <w:spacing w:before="5" w:after="5" w:line="360" w:lineRule="auto"/>
              <w:jc w:val="both"/>
              <w:rPr>
                <w:rFonts w:cs="Arial"/>
                <w:i/>
                <w:sz w:val="26"/>
                <w:szCs w:val="26"/>
              </w:rPr>
            </w:pPr>
            <w:r w:rsidRPr="0043704E">
              <w:rPr>
                <w:rFonts w:cs="Arial"/>
                <w:i/>
                <w:sz w:val="26"/>
                <w:szCs w:val="26"/>
              </w:rPr>
              <w:t>Do you agree that HARPS operators should have a legal duty to:</w:t>
            </w:r>
          </w:p>
          <w:p w14:paraId="735FB6E6" w14:textId="77777777" w:rsidR="00600708" w:rsidRPr="0043704E" w:rsidRDefault="00600708" w:rsidP="00A8048F">
            <w:pPr>
              <w:pStyle w:val="NoSpacing"/>
              <w:numPr>
                <w:ilvl w:val="0"/>
                <w:numId w:val="4"/>
              </w:numPr>
              <w:spacing w:before="5" w:after="5" w:line="360" w:lineRule="auto"/>
              <w:jc w:val="both"/>
              <w:rPr>
                <w:rFonts w:cs="Arial"/>
                <w:i/>
                <w:sz w:val="26"/>
                <w:szCs w:val="26"/>
              </w:rPr>
            </w:pPr>
            <w:r w:rsidRPr="0043704E">
              <w:rPr>
                <w:rFonts w:cs="Arial"/>
                <w:i/>
                <w:sz w:val="26"/>
                <w:szCs w:val="26"/>
              </w:rPr>
              <w:t xml:space="preserve">Insure vehicles; </w:t>
            </w:r>
          </w:p>
          <w:p w14:paraId="39F87C6F" w14:textId="77777777" w:rsidR="00600708" w:rsidRPr="0043704E" w:rsidRDefault="00600708" w:rsidP="00A8048F">
            <w:pPr>
              <w:pStyle w:val="NoSpacing"/>
              <w:numPr>
                <w:ilvl w:val="0"/>
                <w:numId w:val="4"/>
              </w:numPr>
              <w:spacing w:before="5" w:after="5" w:line="360" w:lineRule="auto"/>
              <w:jc w:val="both"/>
              <w:rPr>
                <w:rFonts w:cs="Arial"/>
                <w:i/>
                <w:sz w:val="26"/>
                <w:szCs w:val="26"/>
              </w:rPr>
            </w:pPr>
            <w:r w:rsidRPr="0043704E">
              <w:rPr>
                <w:rFonts w:cs="Arial"/>
                <w:i/>
                <w:sz w:val="26"/>
                <w:szCs w:val="26"/>
              </w:rPr>
              <w:t>Supervise vehicles;</w:t>
            </w:r>
          </w:p>
          <w:p w14:paraId="6DFCF37F" w14:textId="77777777" w:rsidR="00336146" w:rsidRPr="0043704E" w:rsidRDefault="00600708" w:rsidP="00A8048F">
            <w:pPr>
              <w:pStyle w:val="NoSpacing"/>
              <w:numPr>
                <w:ilvl w:val="0"/>
                <w:numId w:val="4"/>
              </w:numPr>
              <w:spacing w:before="5" w:after="5" w:line="360" w:lineRule="auto"/>
              <w:jc w:val="both"/>
              <w:rPr>
                <w:rFonts w:cs="Arial"/>
                <w:i/>
                <w:sz w:val="26"/>
                <w:szCs w:val="26"/>
              </w:rPr>
            </w:pPr>
            <w:r w:rsidRPr="0043704E">
              <w:rPr>
                <w:rFonts w:cs="Arial"/>
                <w:i/>
                <w:sz w:val="26"/>
                <w:szCs w:val="26"/>
              </w:rPr>
              <w:t xml:space="preserve">Report accidents; and </w:t>
            </w:r>
          </w:p>
          <w:p w14:paraId="016DE822" w14:textId="6C4D5684" w:rsidR="00600708" w:rsidRPr="0043704E" w:rsidRDefault="00600708" w:rsidP="00A8048F">
            <w:pPr>
              <w:pStyle w:val="NoSpacing"/>
              <w:numPr>
                <w:ilvl w:val="0"/>
                <w:numId w:val="4"/>
              </w:numPr>
              <w:spacing w:before="5" w:after="5" w:line="360" w:lineRule="auto"/>
              <w:jc w:val="both"/>
              <w:rPr>
                <w:rFonts w:cs="Arial"/>
                <w:i/>
                <w:sz w:val="26"/>
                <w:szCs w:val="26"/>
              </w:rPr>
            </w:pPr>
            <w:r w:rsidRPr="0043704E">
              <w:rPr>
                <w:rFonts w:cs="Arial"/>
                <w:i/>
                <w:sz w:val="26"/>
                <w:szCs w:val="26"/>
              </w:rPr>
              <w:t>Take reasonable steps to safeguard passengers from assault, abuse or harassment?</w:t>
            </w:r>
          </w:p>
        </w:tc>
      </w:tr>
    </w:tbl>
    <w:p w14:paraId="082A0511" w14:textId="77777777" w:rsidR="00A8048F" w:rsidRDefault="00A8048F" w:rsidP="00A8048F">
      <w:pPr>
        <w:pStyle w:val="NoSpacing"/>
        <w:spacing w:before="5" w:after="5" w:line="360" w:lineRule="auto"/>
        <w:ind w:left="360"/>
        <w:jc w:val="both"/>
        <w:rPr>
          <w:rFonts w:cs="Arial"/>
          <w:szCs w:val="24"/>
        </w:rPr>
      </w:pPr>
    </w:p>
    <w:p w14:paraId="43F48281" w14:textId="55F6DC40" w:rsidR="00797D5B" w:rsidRDefault="00797D5B" w:rsidP="00A8048F">
      <w:pPr>
        <w:pStyle w:val="NoSpacing"/>
        <w:numPr>
          <w:ilvl w:val="0"/>
          <w:numId w:val="12"/>
        </w:numPr>
        <w:spacing w:before="5" w:after="5" w:line="360" w:lineRule="auto"/>
        <w:jc w:val="both"/>
        <w:rPr>
          <w:rFonts w:cs="Arial"/>
          <w:szCs w:val="24"/>
        </w:rPr>
      </w:pPr>
      <w:r w:rsidRPr="00BD7A64">
        <w:rPr>
          <w:rFonts w:cs="Arial"/>
          <w:szCs w:val="24"/>
        </w:rPr>
        <w:t xml:space="preserve">Our response below </w:t>
      </w:r>
      <w:r w:rsidR="006F53CB">
        <w:rPr>
          <w:rFonts w:cs="Arial"/>
          <w:szCs w:val="24"/>
        </w:rPr>
        <w:t xml:space="preserve">addresses </w:t>
      </w:r>
      <w:r w:rsidR="00BD7A64" w:rsidRPr="00BD7A64">
        <w:rPr>
          <w:rFonts w:cs="Arial"/>
          <w:szCs w:val="24"/>
        </w:rPr>
        <w:t xml:space="preserve">only </w:t>
      </w:r>
      <w:r w:rsidR="00A46788" w:rsidRPr="00BD7A64">
        <w:rPr>
          <w:rFonts w:cs="Arial"/>
          <w:szCs w:val="24"/>
        </w:rPr>
        <w:t>the suggestions that HARPS operators should have a legal duty to report accidents</w:t>
      </w:r>
      <w:r w:rsidR="00BD7A64" w:rsidRPr="00BD7A64">
        <w:rPr>
          <w:rFonts w:cs="Arial"/>
          <w:szCs w:val="24"/>
        </w:rPr>
        <w:t>, and to</w:t>
      </w:r>
      <w:r w:rsidRPr="00BD7A64">
        <w:rPr>
          <w:rFonts w:cs="Arial"/>
          <w:szCs w:val="24"/>
        </w:rPr>
        <w:t xml:space="preserve"> take reasonable steps to safeguard passengers from assaults, abuse or harassment.</w:t>
      </w:r>
      <w:r w:rsidR="00BD7A64">
        <w:rPr>
          <w:rFonts w:cs="Arial"/>
          <w:szCs w:val="24"/>
        </w:rPr>
        <w:t xml:space="preserve">  </w:t>
      </w:r>
      <w:r w:rsidR="00C01810" w:rsidRPr="00BD7A64">
        <w:rPr>
          <w:rFonts w:cs="Arial"/>
          <w:szCs w:val="24"/>
        </w:rPr>
        <w:t>We express no views on the other elements of this Consultation Question.</w:t>
      </w:r>
    </w:p>
    <w:p w14:paraId="7A6C6CE5" w14:textId="77777777" w:rsidR="00A8048F" w:rsidRPr="00BD7A64" w:rsidRDefault="00A8048F" w:rsidP="00A8048F">
      <w:pPr>
        <w:pStyle w:val="NoSpacing"/>
        <w:spacing w:before="5" w:after="5" w:line="360" w:lineRule="auto"/>
        <w:ind w:left="360"/>
        <w:jc w:val="both"/>
        <w:rPr>
          <w:rFonts w:cs="Arial"/>
          <w:szCs w:val="24"/>
        </w:rPr>
      </w:pPr>
    </w:p>
    <w:p w14:paraId="6D8C3117" w14:textId="21682E89" w:rsidR="00A46788" w:rsidRDefault="00A46788" w:rsidP="00A8048F">
      <w:pPr>
        <w:pStyle w:val="NoSpacing"/>
        <w:spacing w:before="5" w:after="5" w:line="360" w:lineRule="auto"/>
        <w:jc w:val="both"/>
        <w:rPr>
          <w:rFonts w:cs="Arial"/>
          <w:szCs w:val="24"/>
          <w:u w:val="single"/>
        </w:rPr>
      </w:pPr>
      <w:r w:rsidRPr="0043704E">
        <w:rPr>
          <w:rFonts w:cs="Arial"/>
          <w:szCs w:val="24"/>
          <w:u w:val="single"/>
        </w:rPr>
        <w:t xml:space="preserve">A legal duty to report accidents </w:t>
      </w:r>
    </w:p>
    <w:p w14:paraId="34CDFB19" w14:textId="77777777" w:rsidR="00A8048F" w:rsidRPr="0043704E" w:rsidRDefault="00A8048F" w:rsidP="00A8048F">
      <w:pPr>
        <w:pStyle w:val="NoSpacing"/>
        <w:spacing w:before="5" w:after="5" w:line="360" w:lineRule="auto"/>
        <w:jc w:val="both"/>
        <w:rPr>
          <w:rFonts w:cs="Arial"/>
          <w:szCs w:val="24"/>
          <w:u w:val="single"/>
        </w:rPr>
      </w:pPr>
    </w:p>
    <w:p w14:paraId="6E783642" w14:textId="2F896F41" w:rsidR="00A46788" w:rsidRPr="00A8048F" w:rsidRDefault="00423EFD" w:rsidP="00A8048F">
      <w:pPr>
        <w:pStyle w:val="NoSpacing"/>
        <w:numPr>
          <w:ilvl w:val="0"/>
          <w:numId w:val="12"/>
        </w:numPr>
        <w:spacing w:before="5" w:after="5" w:line="360" w:lineRule="auto"/>
        <w:jc w:val="both"/>
        <w:rPr>
          <w:rFonts w:cs="Arial"/>
          <w:szCs w:val="24"/>
          <w:u w:val="single"/>
        </w:rPr>
      </w:pPr>
      <w:r w:rsidRPr="00423EFD">
        <w:rPr>
          <w:rFonts w:cs="Arial"/>
          <w:b/>
          <w:szCs w:val="24"/>
        </w:rPr>
        <w:t>We support this proposal</w:t>
      </w:r>
      <w:r>
        <w:rPr>
          <w:rFonts w:cs="Arial"/>
          <w:szCs w:val="24"/>
        </w:rPr>
        <w:t>. But we also recommend that, s</w:t>
      </w:r>
      <w:r w:rsidR="00A46788" w:rsidRPr="0043704E">
        <w:rPr>
          <w:rFonts w:cs="Arial"/>
          <w:szCs w:val="24"/>
        </w:rPr>
        <w:t>hould a legal duty on HARPS operators to report accidents be created, details of any known protected characteristics of those involved in the incidents should also be reported.  Such data could be collated in the same way as equality</w:t>
      </w:r>
      <w:r w:rsidR="00BE63ED" w:rsidRPr="0043704E">
        <w:rPr>
          <w:rFonts w:cs="Arial"/>
          <w:szCs w:val="24"/>
        </w:rPr>
        <w:t xml:space="preserve"> and diversity</w:t>
      </w:r>
      <w:r w:rsidR="00A46788" w:rsidRPr="0043704E">
        <w:rPr>
          <w:rFonts w:cs="Arial"/>
          <w:szCs w:val="24"/>
        </w:rPr>
        <w:t xml:space="preserve"> monitoring data is currently recorded by employers, for example, to ensure confidentiality. </w:t>
      </w:r>
    </w:p>
    <w:p w14:paraId="467DDC5E" w14:textId="77777777" w:rsidR="00A8048F" w:rsidRPr="0043704E" w:rsidRDefault="00A8048F" w:rsidP="00A8048F">
      <w:pPr>
        <w:pStyle w:val="NoSpacing"/>
        <w:spacing w:before="5" w:after="5" w:line="360" w:lineRule="auto"/>
        <w:ind w:left="360"/>
        <w:jc w:val="both"/>
        <w:rPr>
          <w:rFonts w:cs="Arial"/>
          <w:szCs w:val="24"/>
          <w:u w:val="single"/>
        </w:rPr>
      </w:pPr>
    </w:p>
    <w:p w14:paraId="489BCD64" w14:textId="5ACAA175" w:rsidR="008B3AF5" w:rsidRDefault="00A46788" w:rsidP="00A8048F">
      <w:pPr>
        <w:pStyle w:val="NoSpacing"/>
        <w:numPr>
          <w:ilvl w:val="0"/>
          <w:numId w:val="12"/>
        </w:numPr>
        <w:spacing w:before="5" w:after="5" w:line="360" w:lineRule="auto"/>
        <w:jc w:val="both"/>
        <w:rPr>
          <w:rFonts w:cs="Arial"/>
          <w:szCs w:val="24"/>
        </w:rPr>
      </w:pPr>
      <w:r w:rsidRPr="0043704E">
        <w:rPr>
          <w:rFonts w:cs="Arial"/>
          <w:szCs w:val="24"/>
        </w:rPr>
        <w:t xml:space="preserve">As the Law Commissions will be aware, there are considerable concerns about the impact of artificial intelligence and machine learning on the protections guaranteed by the EA 2010. </w:t>
      </w:r>
      <w:r w:rsidR="008B3AF5" w:rsidRPr="0043704E">
        <w:rPr>
          <w:rFonts w:cs="Arial"/>
          <w:szCs w:val="24"/>
        </w:rPr>
        <w:t>For example, the Committee on Standards in Public Life is undertaking a review to understand whether the existing framework and regulations are sufficient to ensure that high standards of conduct are upheld as AI use expands across the public sector.</w:t>
      </w:r>
      <w:r w:rsidR="008B3AF5" w:rsidRPr="0043704E">
        <w:rPr>
          <w:rStyle w:val="FootnoteReference"/>
          <w:rFonts w:cs="Arial"/>
          <w:szCs w:val="24"/>
        </w:rPr>
        <w:footnoteReference w:id="31"/>
      </w:r>
      <w:r w:rsidR="008B3AF5" w:rsidRPr="0043704E">
        <w:rPr>
          <w:rFonts w:cs="Arial"/>
          <w:szCs w:val="24"/>
        </w:rPr>
        <w:t xml:space="preserve"> </w:t>
      </w:r>
    </w:p>
    <w:p w14:paraId="2AA0EDA8" w14:textId="36844295" w:rsidR="00A8048F" w:rsidRPr="0043704E" w:rsidRDefault="00A8048F" w:rsidP="00A8048F">
      <w:pPr>
        <w:pStyle w:val="NoSpacing"/>
        <w:spacing w:before="5" w:after="5" w:line="360" w:lineRule="auto"/>
        <w:jc w:val="both"/>
        <w:rPr>
          <w:rFonts w:cs="Arial"/>
          <w:szCs w:val="24"/>
        </w:rPr>
      </w:pPr>
    </w:p>
    <w:p w14:paraId="29B3C4C6" w14:textId="048D6F37" w:rsidR="008B3AF5" w:rsidRDefault="008B3AF5" w:rsidP="00A8048F">
      <w:pPr>
        <w:pStyle w:val="NoSpacing"/>
        <w:numPr>
          <w:ilvl w:val="0"/>
          <w:numId w:val="12"/>
        </w:numPr>
        <w:spacing w:before="5" w:after="5" w:line="360" w:lineRule="auto"/>
        <w:jc w:val="both"/>
        <w:rPr>
          <w:rFonts w:cs="Arial"/>
          <w:szCs w:val="24"/>
        </w:rPr>
      </w:pPr>
      <w:r w:rsidRPr="0043704E">
        <w:rPr>
          <w:rFonts w:cs="Arial"/>
          <w:szCs w:val="24"/>
        </w:rPr>
        <w:t>The Law Commissions discussed the issue of avoiding bias in the behaviour of automated driving systems in their first Consultation Paper.</w:t>
      </w:r>
      <w:r w:rsidRPr="0043704E">
        <w:rPr>
          <w:rStyle w:val="FootnoteReference"/>
          <w:rFonts w:cs="Arial"/>
          <w:szCs w:val="24"/>
        </w:rPr>
        <w:footnoteReference w:id="32"/>
      </w:r>
      <w:r w:rsidRPr="0043704E">
        <w:rPr>
          <w:rFonts w:cs="Arial"/>
          <w:szCs w:val="24"/>
        </w:rPr>
        <w:t xml:space="preserve"> It noted that</w:t>
      </w:r>
      <w:r w:rsidR="00BE63ED" w:rsidRPr="0043704E">
        <w:rPr>
          <w:rFonts w:cs="Arial"/>
          <w:szCs w:val="24"/>
        </w:rPr>
        <w:t>:</w:t>
      </w:r>
    </w:p>
    <w:p w14:paraId="40F04C66" w14:textId="398A5574" w:rsidR="00A8048F" w:rsidRPr="0043704E" w:rsidRDefault="00A8048F" w:rsidP="00A8048F">
      <w:pPr>
        <w:pStyle w:val="NoSpacing"/>
        <w:spacing w:before="5" w:after="5" w:line="360" w:lineRule="auto"/>
        <w:jc w:val="both"/>
        <w:rPr>
          <w:rFonts w:cs="Arial"/>
          <w:szCs w:val="24"/>
        </w:rPr>
      </w:pPr>
    </w:p>
    <w:p w14:paraId="57F3C70A" w14:textId="350B8E6A" w:rsidR="008B3AF5" w:rsidRDefault="008B3AF5" w:rsidP="00A8048F">
      <w:pPr>
        <w:pStyle w:val="NoSpacing"/>
        <w:spacing w:before="5" w:after="5" w:line="360" w:lineRule="auto"/>
        <w:ind w:left="720"/>
        <w:jc w:val="both"/>
      </w:pPr>
      <w:r w:rsidRPr="0043704E">
        <w:t>There are particular concerns if decisions adversely affect a group of people on the basis of race, gender or other protected characteristics.</w:t>
      </w:r>
      <w:r w:rsidRPr="0043704E">
        <w:rPr>
          <w:rStyle w:val="FootnoteReference"/>
        </w:rPr>
        <w:footnoteReference w:id="33"/>
      </w:r>
    </w:p>
    <w:p w14:paraId="17635935" w14:textId="77777777" w:rsidR="00A8048F" w:rsidRPr="0043704E" w:rsidRDefault="00A8048F" w:rsidP="00A8048F">
      <w:pPr>
        <w:pStyle w:val="NoSpacing"/>
        <w:spacing w:before="5" w:after="5" w:line="360" w:lineRule="auto"/>
        <w:jc w:val="both"/>
        <w:rPr>
          <w:rFonts w:cs="Arial"/>
          <w:szCs w:val="24"/>
        </w:rPr>
      </w:pPr>
    </w:p>
    <w:p w14:paraId="401F4E14" w14:textId="1AFF239A" w:rsidR="0078540E" w:rsidRDefault="00423EFD" w:rsidP="00A8048F">
      <w:pPr>
        <w:pStyle w:val="NoSpacing"/>
        <w:numPr>
          <w:ilvl w:val="0"/>
          <w:numId w:val="12"/>
        </w:numPr>
        <w:spacing w:before="5" w:after="5" w:line="360" w:lineRule="auto"/>
        <w:jc w:val="both"/>
        <w:rPr>
          <w:rFonts w:cs="Arial"/>
          <w:szCs w:val="24"/>
        </w:rPr>
      </w:pPr>
      <w:r>
        <w:rPr>
          <w:rFonts w:cs="Arial"/>
          <w:szCs w:val="24"/>
        </w:rPr>
        <w:t xml:space="preserve">To refer to </w:t>
      </w:r>
      <w:r w:rsidR="0078540E" w:rsidRPr="0043704E">
        <w:rPr>
          <w:rFonts w:cs="Arial"/>
          <w:szCs w:val="24"/>
        </w:rPr>
        <w:t xml:space="preserve">one further example that was published after the Law Commissions’ first consultation paper, </w:t>
      </w:r>
      <w:r>
        <w:rPr>
          <w:rFonts w:cs="Arial"/>
          <w:szCs w:val="24"/>
        </w:rPr>
        <w:t xml:space="preserve">recent </w:t>
      </w:r>
      <w:r w:rsidR="002F6601" w:rsidRPr="0043704E">
        <w:rPr>
          <w:rFonts w:cs="Arial"/>
          <w:szCs w:val="24"/>
        </w:rPr>
        <w:t>research has shown that machine ‘vision’ was consistently better at identifying pedestrians with lighter skin tones than darker</w:t>
      </w:r>
      <w:r w:rsidR="00A8048F">
        <w:rPr>
          <w:rFonts w:cs="Arial"/>
          <w:szCs w:val="24"/>
        </w:rPr>
        <w:t>.</w:t>
      </w:r>
      <w:r w:rsidR="002F6601" w:rsidRPr="0043704E">
        <w:rPr>
          <w:rStyle w:val="FootnoteReference"/>
          <w:rFonts w:cs="Arial"/>
          <w:szCs w:val="24"/>
        </w:rPr>
        <w:footnoteReference w:id="34"/>
      </w:r>
      <w:r w:rsidR="00BB60FA" w:rsidRPr="0043704E">
        <w:rPr>
          <w:rFonts w:cs="Arial"/>
          <w:szCs w:val="24"/>
        </w:rPr>
        <w:t xml:space="preserve"> This raises obvious concerns about how HARPS safely navig</w:t>
      </w:r>
      <w:r>
        <w:rPr>
          <w:rFonts w:cs="Arial"/>
          <w:szCs w:val="24"/>
        </w:rPr>
        <w:t>ate through crowds.</w:t>
      </w:r>
    </w:p>
    <w:p w14:paraId="4905852A" w14:textId="77777777" w:rsidR="00A8048F" w:rsidRDefault="00A8048F" w:rsidP="00A8048F">
      <w:pPr>
        <w:pStyle w:val="NoSpacing"/>
        <w:spacing w:before="5" w:after="5" w:line="360" w:lineRule="auto"/>
        <w:ind w:left="360"/>
        <w:jc w:val="both"/>
        <w:rPr>
          <w:rFonts w:cs="Arial"/>
          <w:szCs w:val="24"/>
        </w:rPr>
      </w:pPr>
    </w:p>
    <w:p w14:paraId="54F375CC" w14:textId="389EB5B4" w:rsidR="00FD7815" w:rsidRDefault="00FD7815" w:rsidP="00A8048F">
      <w:pPr>
        <w:pStyle w:val="NoSpacing"/>
        <w:numPr>
          <w:ilvl w:val="0"/>
          <w:numId w:val="12"/>
        </w:numPr>
        <w:spacing w:before="5" w:after="5" w:line="360" w:lineRule="auto"/>
        <w:jc w:val="both"/>
        <w:rPr>
          <w:rFonts w:cs="Arial"/>
          <w:szCs w:val="24"/>
        </w:rPr>
      </w:pPr>
      <w:r>
        <w:rPr>
          <w:rFonts w:cs="Arial"/>
          <w:szCs w:val="24"/>
        </w:rPr>
        <w:t>Particular issues may be raised by the combination of HARPS and ‘shared spaces.’ Although there is no universal definition of ‘shared space,’ the aspect we are most concerned about in relation to disabled and older people and HARPS vehicles is what the Women and Equalities Committee referred to as:</w:t>
      </w:r>
    </w:p>
    <w:p w14:paraId="3BAD9249" w14:textId="2DA01B2D" w:rsidR="00A8048F" w:rsidRDefault="00A8048F" w:rsidP="00A8048F">
      <w:pPr>
        <w:pStyle w:val="NoSpacing"/>
        <w:spacing w:before="5" w:after="5" w:line="360" w:lineRule="auto"/>
        <w:jc w:val="both"/>
        <w:rPr>
          <w:rFonts w:cs="Arial"/>
          <w:szCs w:val="24"/>
        </w:rPr>
      </w:pPr>
    </w:p>
    <w:p w14:paraId="6E7269E4" w14:textId="6BF77FA0" w:rsidR="00FD7815" w:rsidRDefault="00FD7815" w:rsidP="00A8048F">
      <w:pPr>
        <w:pStyle w:val="NoSpacing"/>
        <w:spacing w:before="5" w:after="5" w:line="360" w:lineRule="auto"/>
        <w:ind w:left="720"/>
        <w:jc w:val="both"/>
      </w:pPr>
      <w:r>
        <w:rPr>
          <w:rFonts w:cs="Arial"/>
          <w:szCs w:val="24"/>
        </w:rPr>
        <w:t xml:space="preserve">The </w:t>
      </w:r>
      <w:r>
        <w:t>removal of traditional delineators between pedestrians and vehicles (such as kerbs and controlled crossing points) and the mixing of pedestrians and vehicles in the same street space.</w:t>
      </w:r>
      <w:r>
        <w:rPr>
          <w:rStyle w:val="FootnoteReference"/>
        </w:rPr>
        <w:footnoteReference w:id="35"/>
      </w:r>
    </w:p>
    <w:p w14:paraId="10E7FF96" w14:textId="77777777" w:rsidR="00A8048F" w:rsidRPr="00FD7815" w:rsidRDefault="00A8048F" w:rsidP="00A8048F">
      <w:pPr>
        <w:pStyle w:val="NoSpacing"/>
        <w:spacing w:before="5" w:after="5" w:line="360" w:lineRule="auto"/>
        <w:jc w:val="both"/>
        <w:rPr>
          <w:rFonts w:cs="Arial"/>
          <w:szCs w:val="24"/>
        </w:rPr>
      </w:pPr>
    </w:p>
    <w:p w14:paraId="36B811E5" w14:textId="3D667F7B" w:rsidR="00BE63ED" w:rsidRDefault="008B3AF5" w:rsidP="00A8048F">
      <w:pPr>
        <w:pStyle w:val="NoSpacing"/>
        <w:numPr>
          <w:ilvl w:val="0"/>
          <w:numId w:val="12"/>
        </w:numPr>
        <w:spacing w:before="5" w:after="5" w:line="360" w:lineRule="auto"/>
        <w:jc w:val="both"/>
        <w:rPr>
          <w:rFonts w:cs="Arial"/>
          <w:szCs w:val="24"/>
        </w:rPr>
      </w:pPr>
      <w:r w:rsidRPr="0043704E">
        <w:rPr>
          <w:rFonts w:cs="Arial"/>
          <w:szCs w:val="24"/>
        </w:rPr>
        <w:t>In 2017, the Future of Life conference formulate</w:t>
      </w:r>
      <w:r w:rsidR="0078540E" w:rsidRPr="0043704E">
        <w:rPr>
          <w:rFonts w:cs="Arial"/>
          <w:szCs w:val="24"/>
        </w:rPr>
        <w:t>d</w:t>
      </w:r>
      <w:r w:rsidRPr="0043704E">
        <w:rPr>
          <w:rFonts w:cs="Arial"/>
          <w:szCs w:val="24"/>
        </w:rPr>
        <w:t xml:space="preserve"> the 23 </w:t>
      </w:r>
      <w:r w:rsidR="0078540E" w:rsidRPr="0043704E">
        <w:rPr>
          <w:rFonts w:cs="Arial"/>
          <w:szCs w:val="24"/>
        </w:rPr>
        <w:t>‘</w:t>
      </w:r>
      <w:r w:rsidRPr="0043704E">
        <w:rPr>
          <w:rFonts w:cs="Arial"/>
          <w:szCs w:val="24"/>
        </w:rPr>
        <w:t>Asilomar AI Principles</w:t>
      </w:r>
      <w:r w:rsidR="0078540E" w:rsidRPr="0043704E">
        <w:rPr>
          <w:rFonts w:cs="Arial"/>
          <w:szCs w:val="24"/>
        </w:rPr>
        <w:t>’</w:t>
      </w:r>
      <w:r w:rsidRPr="0043704E">
        <w:rPr>
          <w:rFonts w:cs="Arial"/>
          <w:szCs w:val="24"/>
        </w:rPr>
        <w:t>, to ensure that AI continues to be a force for good. Of these principles</w:t>
      </w:r>
      <w:r w:rsidR="0078540E" w:rsidRPr="0043704E">
        <w:rPr>
          <w:rFonts w:cs="Arial"/>
          <w:szCs w:val="24"/>
        </w:rPr>
        <w:t xml:space="preserve">, the most relevant for the present discussion is </w:t>
      </w:r>
      <w:r w:rsidRPr="0043704E">
        <w:rPr>
          <w:rFonts w:cs="Arial"/>
          <w:szCs w:val="24"/>
        </w:rPr>
        <w:t>“failure transparency” which is defined as “if an AI system causes harm, it should be possible to ascertain why.”</w:t>
      </w:r>
      <w:r w:rsidRPr="0043704E">
        <w:rPr>
          <w:rStyle w:val="FootnoteReference"/>
          <w:rFonts w:cs="Arial"/>
          <w:szCs w:val="24"/>
        </w:rPr>
        <w:footnoteReference w:id="36"/>
      </w:r>
      <w:r w:rsidRPr="0043704E">
        <w:rPr>
          <w:rFonts w:cs="Arial"/>
          <w:szCs w:val="24"/>
        </w:rPr>
        <w:t xml:space="preserve"> </w:t>
      </w:r>
      <w:r w:rsidR="00BE63ED" w:rsidRPr="0043704E">
        <w:rPr>
          <w:rFonts w:cs="Arial"/>
          <w:szCs w:val="24"/>
        </w:rPr>
        <w:t xml:space="preserve">A road traffic accident involving a HARPS vehicle is perhaps the most obvious example of a </w:t>
      </w:r>
      <w:r w:rsidR="00BE63ED" w:rsidRPr="0043704E">
        <w:rPr>
          <w:rFonts w:cs="Arial"/>
          <w:szCs w:val="24"/>
        </w:rPr>
        <w:lastRenderedPageBreak/>
        <w:t>failure i</w:t>
      </w:r>
      <w:r w:rsidR="0078540E" w:rsidRPr="0043704E">
        <w:rPr>
          <w:rFonts w:cs="Arial"/>
          <w:szCs w:val="24"/>
        </w:rPr>
        <w:t>n AI for which, we would argue, the fullest possible information needs to be gathered and analysed.</w:t>
      </w:r>
    </w:p>
    <w:p w14:paraId="1C805F71" w14:textId="77777777" w:rsidR="00A8048F" w:rsidRPr="0043704E" w:rsidRDefault="00A8048F" w:rsidP="00A8048F">
      <w:pPr>
        <w:pStyle w:val="NoSpacing"/>
        <w:spacing w:before="5" w:after="5" w:line="360" w:lineRule="auto"/>
        <w:ind w:left="360"/>
        <w:jc w:val="both"/>
        <w:rPr>
          <w:rFonts w:cs="Arial"/>
          <w:szCs w:val="24"/>
        </w:rPr>
      </w:pPr>
    </w:p>
    <w:p w14:paraId="05052705" w14:textId="6C7CDB61" w:rsidR="008B3AF5" w:rsidRDefault="00BE63ED" w:rsidP="00A8048F">
      <w:pPr>
        <w:pStyle w:val="NoSpacing"/>
        <w:numPr>
          <w:ilvl w:val="0"/>
          <w:numId w:val="12"/>
        </w:numPr>
        <w:spacing w:before="5" w:after="5" w:line="360" w:lineRule="auto"/>
        <w:jc w:val="both"/>
        <w:rPr>
          <w:rFonts w:cs="Arial"/>
          <w:szCs w:val="24"/>
        </w:rPr>
      </w:pPr>
      <w:r w:rsidRPr="0043704E">
        <w:rPr>
          <w:rFonts w:cs="Arial"/>
          <w:szCs w:val="24"/>
        </w:rPr>
        <w:t>Given the acknowledged risks of in-building bias and discrimination into AI, in order for the operators and any regulator</w:t>
      </w:r>
      <w:r w:rsidR="00F2681E" w:rsidRPr="0043704E">
        <w:rPr>
          <w:rFonts w:cs="Arial"/>
          <w:szCs w:val="24"/>
        </w:rPr>
        <w:t>(s)</w:t>
      </w:r>
      <w:r w:rsidRPr="0043704E">
        <w:rPr>
          <w:rFonts w:cs="Arial"/>
          <w:szCs w:val="24"/>
        </w:rPr>
        <w:t xml:space="preserve"> to fully ascertain why such an accident occurred, we </w:t>
      </w:r>
      <w:r w:rsidR="006F53CB">
        <w:rPr>
          <w:rFonts w:cs="Arial"/>
          <w:szCs w:val="24"/>
        </w:rPr>
        <w:t>consider</w:t>
      </w:r>
      <w:r w:rsidR="006F53CB" w:rsidRPr="0043704E">
        <w:rPr>
          <w:rFonts w:cs="Arial"/>
          <w:szCs w:val="24"/>
        </w:rPr>
        <w:t xml:space="preserve"> </w:t>
      </w:r>
      <w:r w:rsidRPr="0043704E">
        <w:rPr>
          <w:rFonts w:cs="Arial"/>
          <w:szCs w:val="24"/>
        </w:rPr>
        <w:t xml:space="preserve">that recording the details of any known protected characteristics of those involved in the incidents should also be </w:t>
      </w:r>
      <w:r w:rsidR="0078540E" w:rsidRPr="0043704E">
        <w:rPr>
          <w:rFonts w:cs="Arial"/>
          <w:szCs w:val="24"/>
        </w:rPr>
        <w:t xml:space="preserve">recorded and </w:t>
      </w:r>
      <w:r w:rsidRPr="0043704E">
        <w:rPr>
          <w:rFonts w:cs="Arial"/>
          <w:szCs w:val="24"/>
        </w:rPr>
        <w:t>reported.</w:t>
      </w:r>
      <w:r w:rsidR="00690742" w:rsidRPr="0043704E">
        <w:rPr>
          <w:rFonts w:cs="Arial"/>
          <w:szCs w:val="24"/>
        </w:rPr>
        <w:t xml:space="preserve"> This </w:t>
      </w:r>
      <w:r w:rsidR="00423EFD">
        <w:rPr>
          <w:rFonts w:cs="Arial"/>
          <w:szCs w:val="24"/>
        </w:rPr>
        <w:t xml:space="preserve">commitment to failure transparency </w:t>
      </w:r>
      <w:r w:rsidR="00690742" w:rsidRPr="0043704E">
        <w:rPr>
          <w:rFonts w:cs="Arial"/>
          <w:szCs w:val="24"/>
        </w:rPr>
        <w:t>would not be an onerous additional burde</w:t>
      </w:r>
      <w:r w:rsidR="0078540E" w:rsidRPr="0043704E">
        <w:rPr>
          <w:rFonts w:cs="Arial"/>
          <w:szCs w:val="24"/>
        </w:rPr>
        <w:t>n on operators, and would h</w:t>
      </w:r>
      <w:r w:rsidR="00690742" w:rsidRPr="0043704E">
        <w:rPr>
          <w:rFonts w:cs="Arial"/>
          <w:szCs w:val="24"/>
        </w:rPr>
        <w:t>elp spot emerging problems</w:t>
      </w:r>
      <w:r w:rsidR="00C34135" w:rsidRPr="0043704E">
        <w:rPr>
          <w:rFonts w:cs="Arial"/>
          <w:szCs w:val="24"/>
        </w:rPr>
        <w:t xml:space="preserve"> in the </w:t>
      </w:r>
      <w:r w:rsidR="00423EFD">
        <w:rPr>
          <w:rFonts w:cs="Arial"/>
          <w:szCs w:val="24"/>
        </w:rPr>
        <w:t xml:space="preserve">coding and </w:t>
      </w:r>
      <w:r w:rsidR="00C34135" w:rsidRPr="0043704E">
        <w:rPr>
          <w:rFonts w:cs="Arial"/>
          <w:szCs w:val="24"/>
        </w:rPr>
        <w:t>implementation of HARPS</w:t>
      </w:r>
      <w:r w:rsidR="00423EFD">
        <w:rPr>
          <w:rFonts w:cs="Arial"/>
          <w:szCs w:val="24"/>
        </w:rPr>
        <w:t>.</w:t>
      </w:r>
    </w:p>
    <w:p w14:paraId="0CF8F6E0" w14:textId="7906D0AA" w:rsidR="00A8048F" w:rsidRPr="0043704E" w:rsidRDefault="00A8048F" w:rsidP="00A8048F">
      <w:pPr>
        <w:pStyle w:val="NoSpacing"/>
        <w:spacing w:before="5" w:after="5" w:line="360" w:lineRule="auto"/>
        <w:jc w:val="both"/>
        <w:rPr>
          <w:rFonts w:cs="Arial"/>
          <w:szCs w:val="24"/>
        </w:rPr>
      </w:pPr>
    </w:p>
    <w:p w14:paraId="4B01EC02" w14:textId="2779209D" w:rsidR="00A46788" w:rsidRDefault="00A46788" w:rsidP="00A8048F">
      <w:pPr>
        <w:pStyle w:val="NoSpacing"/>
        <w:spacing w:before="5" w:after="5" w:line="360" w:lineRule="auto"/>
        <w:jc w:val="both"/>
        <w:rPr>
          <w:rFonts w:cs="Arial"/>
          <w:szCs w:val="24"/>
          <w:u w:val="single"/>
        </w:rPr>
      </w:pPr>
      <w:r w:rsidRPr="0043704E">
        <w:rPr>
          <w:rFonts w:cs="Arial"/>
          <w:szCs w:val="24"/>
          <w:u w:val="single"/>
        </w:rPr>
        <w:t>A legal duty to take reasonable steps to safeguard passengers from assault, abuse or harassment</w:t>
      </w:r>
    </w:p>
    <w:p w14:paraId="6CE4FF13" w14:textId="77777777" w:rsidR="00A8048F" w:rsidRPr="0043704E" w:rsidRDefault="00A8048F" w:rsidP="00A8048F">
      <w:pPr>
        <w:pStyle w:val="NoSpacing"/>
        <w:spacing w:before="5" w:after="5" w:line="360" w:lineRule="auto"/>
        <w:jc w:val="both"/>
        <w:rPr>
          <w:rFonts w:cs="Arial"/>
          <w:szCs w:val="24"/>
          <w:u w:val="single"/>
        </w:rPr>
      </w:pPr>
    </w:p>
    <w:p w14:paraId="3ABBB213" w14:textId="776F2C19" w:rsidR="00E24B9F" w:rsidRDefault="00E24B9F" w:rsidP="00A8048F">
      <w:pPr>
        <w:pStyle w:val="NoSpacing"/>
        <w:numPr>
          <w:ilvl w:val="0"/>
          <w:numId w:val="12"/>
        </w:numPr>
        <w:spacing w:before="5" w:after="5" w:line="360" w:lineRule="auto"/>
        <w:jc w:val="both"/>
        <w:rPr>
          <w:rFonts w:cs="Arial"/>
          <w:szCs w:val="24"/>
        </w:rPr>
      </w:pPr>
      <w:r w:rsidRPr="0073623F">
        <w:rPr>
          <w:rFonts w:cs="Arial"/>
          <w:szCs w:val="24"/>
        </w:rPr>
        <w:t xml:space="preserve">In 2011, the Commission published an inquiry into </w:t>
      </w:r>
      <w:r w:rsidR="006F53CB">
        <w:rPr>
          <w:rFonts w:cs="Arial"/>
          <w:szCs w:val="24"/>
        </w:rPr>
        <w:t>disability</w:t>
      </w:r>
      <w:r w:rsidRPr="0073623F">
        <w:rPr>
          <w:rFonts w:cs="Arial"/>
          <w:szCs w:val="24"/>
        </w:rPr>
        <w:t>-related harassment. Our research found that disabled men and women were more likely than non-disabled people to report being “</w:t>
      </w:r>
      <w:r w:rsidR="0073623F" w:rsidRPr="0073623F">
        <w:rPr>
          <w:rFonts w:cs="Arial"/>
          <w:szCs w:val="24"/>
        </w:rPr>
        <w:t>very” or “fairly” worried about b</w:t>
      </w:r>
      <w:r w:rsidRPr="0073623F">
        <w:rPr>
          <w:rFonts w:cs="Arial"/>
          <w:szCs w:val="24"/>
        </w:rPr>
        <w:t>eing ph</w:t>
      </w:r>
      <w:r w:rsidR="0073623F" w:rsidRPr="0073623F">
        <w:rPr>
          <w:rFonts w:cs="Arial"/>
          <w:szCs w:val="24"/>
        </w:rPr>
        <w:t xml:space="preserve">ysically attacked by strangers; </w:t>
      </w:r>
      <w:r w:rsidRPr="0073623F">
        <w:rPr>
          <w:rFonts w:cs="Arial"/>
          <w:szCs w:val="24"/>
        </w:rPr>
        <w:t>insulted or pestered; and</w:t>
      </w:r>
      <w:r w:rsidR="0073623F">
        <w:rPr>
          <w:rFonts w:cs="Arial"/>
          <w:szCs w:val="24"/>
        </w:rPr>
        <w:t xml:space="preserve"> b</w:t>
      </w:r>
      <w:r w:rsidRPr="0073623F">
        <w:rPr>
          <w:rFonts w:cs="Arial"/>
          <w:szCs w:val="24"/>
        </w:rPr>
        <w:t>eing the victim of crime.</w:t>
      </w:r>
      <w:r w:rsidRPr="0043704E">
        <w:rPr>
          <w:rStyle w:val="FootnoteReference"/>
          <w:rFonts w:cs="Arial"/>
          <w:szCs w:val="24"/>
        </w:rPr>
        <w:footnoteReference w:id="37"/>
      </w:r>
    </w:p>
    <w:p w14:paraId="7EFBAD45" w14:textId="77777777" w:rsidR="00A8048F" w:rsidRPr="0073623F" w:rsidRDefault="00A8048F" w:rsidP="00A8048F">
      <w:pPr>
        <w:pStyle w:val="NoSpacing"/>
        <w:spacing w:before="5" w:after="5" w:line="360" w:lineRule="auto"/>
        <w:ind w:left="360"/>
        <w:jc w:val="both"/>
        <w:rPr>
          <w:rFonts w:cs="Arial"/>
          <w:szCs w:val="24"/>
        </w:rPr>
      </w:pPr>
    </w:p>
    <w:p w14:paraId="517FC1AF" w14:textId="05DE7045" w:rsidR="00E24B9F" w:rsidRDefault="00E24B9F" w:rsidP="00A8048F">
      <w:pPr>
        <w:pStyle w:val="NoSpacing"/>
        <w:numPr>
          <w:ilvl w:val="0"/>
          <w:numId w:val="12"/>
        </w:numPr>
        <w:spacing w:before="5" w:after="5" w:line="360" w:lineRule="auto"/>
        <w:jc w:val="both"/>
        <w:rPr>
          <w:rFonts w:cs="Arial"/>
          <w:szCs w:val="24"/>
        </w:rPr>
      </w:pPr>
      <w:r w:rsidRPr="0043704E">
        <w:rPr>
          <w:rFonts w:cs="Arial"/>
          <w:szCs w:val="24"/>
        </w:rPr>
        <w:t>The Commission</w:t>
      </w:r>
      <w:r w:rsidR="00B16D3A" w:rsidRPr="0043704E">
        <w:rPr>
          <w:rFonts w:cs="Arial"/>
          <w:szCs w:val="24"/>
        </w:rPr>
        <w:t>’s inquiry</w:t>
      </w:r>
      <w:r w:rsidRPr="0043704E">
        <w:rPr>
          <w:rFonts w:cs="Arial"/>
          <w:szCs w:val="24"/>
        </w:rPr>
        <w:t xml:space="preserve"> reported that:</w:t>
      </w:r>
    </w:p>
    <w:p w14:paraId="4185CA21" w14:textId="028433A6" w:rsidR="00A8048F" w:rsidRPr="0043704E" w:rsidRDefault="00A8048F" w:rsidP="00A8048F">
      <w:pPr>
        <w:pStyle w:val="NoSpacing"/>
        <w:spacing w:before="5" w:after="5" w:line="360" w:lineRule="auto"/>
        <w:jc w:val="both"/>
        <w:rPr>
          <w:rFonts w:cs="Arial"/>
          <w:szCs w:val="24"/>
        </w:rPr>
      </w:pPr>
    </w:p>
    <w:p w14:paraId="0F7A7250" w14:textId="11CA2159" w:rsidR="00E24B9F" w:rsidRDefault="00E24B9F" w:rsidP="00A8048F">
      <w:pPr>
        <w:pStyle w:val="NoSpacing"/>
        <w:spacing w:before="5" w:after="5" w:line="360" w:lineRule="auto"/>
        <w:ind w:left="720"/>
        <w:jc w:val="both"/>
      </w:pPr>
      <w:r w:rsidRPr="0043704E">
        <w:t xml:space="preserve">On and around public transport, including stations, stops, ticket offices and waiting areas were settings for harassment incidents cited in almost every focus group and interview. These affected respondents’ lives not only because of the intrinsic features of the incidents themselves but also because many disabled people rely on public transport. Respondents mentioned being stared or laughed at, avoided and commented on by other passengers. They also talked about other passengers showing impatience or annoyance, for example if they </w:t>
      </w:r>
      <w:r w:rsidRPr="0043704E">
        <w:lastRenderedPageBreak/>
        <w:t>were slow or took up a lot of space with aids such as assistance dogs, sticks, frames and wheelchairs.</w:t>
      </w:r>
      <w:r w:rsidRPr="0043704E">
        <w:rPr>
          <w:rStyle w:val="FootnoteReference"/>
        </w:rPr>
        <w:footnoteReference w:id="38"/>
      </w:r>
    </w:p>
    <w:p w14:paraId="126E1E0A" w14:textId="77777777" w:rsidR="00A8048F" w:rsidRPr="0043704E" w:rsidRDefault="00A8048F" w:rsidP="00A8048F">
      <w:pPr>
        <w:pStyle w:val="NoSpacing"/>
        <w:spacing w:before="5" w:after="5" w:line="360" w:lineRule="auto"/>
        <w:jc w:val="both"/>
      </w:pPr>
    </w:p>
    <w:p w14:paraId="56888CB9" w14:textId="5D2F1759" w:rsidR="002757B0" w:rsidRDefault="000C72BC" w:rsidP="00A8048F">
      <w:pPr>
        <w:pStyle w:val="NoSpacing"/>
        <w:numPr>
          <w:ilvl w:val="0"/>
          <w:numId w:val="12"/>
        </w:numPr>
        <w:spacing w:before="5" w:after="5" w:line="360" w:lineRule="auto"/>
        <w:jc w:val="both"/>
        <w:rPr>
          <w:rFonts w:cs="Arial"/>
          <w:szCs w:val="24"/>
        </w:rPr>
      </w:pPr>
      <w:r w:rsidRPr="0043704E">
        <w:rPr>
          <w:rFonts w:cs="Arial"/>
          <w:szCs w:val="24"/>
        </w:rPr>
        <w:t>Since the publication of our inquiry, research from Scope found that one in four disabled people said that in the last year they have been prevented from using public transport by other people’s attitudes.</w:t>
      </w:r>
      <w:r w:rsidRPr="0043704E">
        <w:rPr>
          <w:rStyle w:val="FootnoteReference"/>
          <w:rFonts w:cs="Arial"/>
          <w:szCs w:val="24"/>
        </w:rPr>
        <w:footnoteReference w:id="39"/>
      </w:r>
      <w:r w:rsidRPr="0043704E">
        <w:rPr>
          <w:rFonts w:cs="Arial"/>
          <w:szCs w:val="24"/>
        </w:rPr>
        <w:t xml:space="preserve"> In 2019, further research found that</w:t>
      </w:r>
      <w:r w:rsidR="002757B0" w:rsidRPr="0043704E">
        <w:rPr>
          <w:rFonts w:cs="Arial"/>
          <w:szCs w:val="24"/>
        </w:rPr>
        <w:t xml:space="preserve"> 80% of disabled people have felt anxious about using public transport, with almost half experiencing negative attitudes including nasty looks and comments.</w:t>
      </w:r>
      <w:r w:rsidR="002757B0" w:rsidRPr="0043704E">
        <w:rPr>
          <w:rStyle w:val="FootnoteReference"/>
          <w:rFonts w:cs="Arial"/>
          <w:szCs w:val="24"/>
        </w:rPr>
        <w:footnoteReference w:id="40"/>
      </w:r>
      <w:r w:rsidR="009C54D3" w:rsidRPr="0043704E">
        <w:rPr>
          <w:rFonts w:cs="Arial"/>
          <w:szCs w:val="24"/>
        </w:rPr>
        <w:t xml:space="preserve"> </w:t>
      </w:r>
    </w:p>
    <w:p w14:paraId="729FA5D8" w14:textId="77777777" w:rsidR="00A8048F" w:rsidRPr="0043704E" w:rsidRDefault="00A8048F" w:rsidP="00A8048F">
      <w:pPr>
        <w:pStyle w:val="NoSpacing"/>
        <w:spacing w:before="5" w:after="5" w:line="360" w:lineRule="auto"/>
        <w:ind w:left="360"/>
        <w:jc w:val="both"/>
        <w:rPr>
          <w:rFonts w:cs="Arial"/>
          <w:szCs w:val="24"/>
        </w:rPr>
      </w:pPr>
    </w:p>
    <w:p w14:paraId="014E2846" w14:textId="205CE6F1" w:rsidR="002757B0" w:rsidRDefault="000C72BC" w:rsidP="00A8048F">
      <w:pPr>
        <w:pStyle w:val="NoSpacing"/>
        <w:numPr>
          <w:ilvl w:val="0"/>
          <w:numId w:val="12"/>
        </w:numPr>
        <w:spacing w:before="5" w:after="5" w:line="360" w:lineRule="auto"/>
        <w:jc w:val="both"/>
        <w:rPr>
          <w:rFonts w:cs="Arial"/>
          <w:szCs w:val="24"/>
        </w:rPr>
      </w:pPr>
      <w:r w:rsidRPr="0043704E">
        <w:rPr>
          <w:rFonts w:cs="Arial"/>
          <w:szCs w:val="24"/>
        </w:rPr>
        <w:t xml:space="preserve">From these findings, </w:t>
      </w:r>
      <w:r w:rsidR="002757B0" w:rsidRPr="0043704E">
        <w:rPr>
          <w:rFonts w:cs="Arial"/>
          <w:szCs w:val="24"/>
        </w:rPr>
        <w:t xml:space="preserve">Scope rightly </w:t>
      </w:r>
      <w:r w:rsidRPr="0043704E">
        <w:rPr>
          <w:rFonts w:cs="Arial"/>
          <w:szCs w:val="24"/>
        </w:rPr>
        <w:t>concluded that:</w:t>
      </w:r>
      <w:r w:rsidR="002757B0" w:rsidRPr="0043704E">
        <w:rPr>
          <w:rFonts w:cs="Arial"/>
          <w:szCs w:val="24"/>
        </w:rPr>
        <w:t xml:space="preserve"> </w:t>
      </w:r>
    </w:p>
    <w:p w14:paraId="2714713C" w14:textId="530099A2" w:rsidR="00A8048F" w:rsidRPr="0043704E" w:rsidRDefault="00A8048F" w:rsidP="00A8048F">
      <w:pPr>
        <w:pStyle w:val="NoSpacing"/>
        <w:spacing w:before="5" w:after="5" w:line="360" w:lineRule="auto"/>
        <w:jc w:val="both"/>
        <w:rPr>
          <w:rFonts w:cs="Arial"/>
          <w:szCs w:val="24"/>
        </w:rPr>
      </w:pPr>
    </w:p>
    <w:p w14:paraId="55942740" w14:textId="7E467740" w:rsidR="002757B0" w:rsidRDefault="002757B0" w:rsidP="00A8048F">
      <w:pPr>
        <w:pStyle w:val="NoSpacing"/>
        <w:spacing w:before="5" w:after="5" w:line="360" w:lineRule="auto"/>
        <w:ind w:left="720"/>
        <w:jc w:val="both"/>
        <w:rPr>
          <w:rFonts w:cs="Arial"/>
          <w:szCs w:val="24"/>
        </w:rPr>
      </w:pPr>
      <w:r w:rsidRPr="0043704E">
        <w:rPr>
          <w:rFonts w:cs="Arial"/>
          <w:szCs w:val="24"/>
        </w:rPr>
        <w:t>… an inclusive transport system does not mean one that is physically accessible – it needs to be one that disabled people feel comfortable and confident in using.</w:t>
      </w:r>
      <w:r w:rsidRPr="0043704E">
        <w:rPr>
          <w:rStyle w:val="FootnoteReference"/>
          <w:rFonts w:cs="Arial"/>
          <w:szCs w:val="24"/>
        </w:rPr>
        <w:footnoteReference w:id="41"/>
      </w:r>
    </w:p>
    <w:p w14:paraId="7059CC9B" w14:textId="77777777" w:rsidR="00A8048F" w:rsidRPr="0043704E" w:rsidRDefault="00A8048F" w:rsidP="00A8048F">
      <w:pPr>
        <w:pStyle w:val="NoSpacing"/>
        <w:spacing w:before="5" w:after="5" w:line="360" w:lineRule="auto"/>
        <w:ind w:left="720"/>
        <w:jc w:val="both"/>
        <w:rPr>
          <w:rFonts w:cs="Arial"/>
          <w:szCs w:val="24"/>
        </w:rPr>
      </w:pPr>
    </w:p>
    <w:p w14:paraId="50FE7419" w14:textId="04BC38FB" w:rsidR="00BB5BDA" w:rsidRPr="00423EFD" w:rsidRDefault="00BB5BDA" w:rsidP="00A8048F">
      <w:pPr>
        <w:pStyle w:val="NoSpacing"/>
        <w:numPr>
          <w:ilvl w:val="0"/>
          <w:numId w:val="12"/>
        </w:numPr>
        <w:spacing w:before="5" w:after="5" w:line="360" w:lineRule="auto"/>
        <w:jc w:val="both"/>
        <w:rPr>
          <w:rFonts w:cs="Arial"/>
          <w:szCs w:val="24"/>
        </w:rPr>
      </w:pPr>
      <w:r w:rsidRPr="0043704E">
        <w:rPr>
          <w:rFonts w:cs="Arial"/>
          <w:szCs w:val="24"/>
        </w:rPr>
        <w:t>Although our response is focussed on the impact on disabled persons, t</w:t>
      </w:r>
      <w:r w:rsidR="00C01810" w:rsidRPr="0043704E">
        <w:rPr>
          <w:rFonts w:cs="Arial"/>
          <w:szCs w:val="24"/>
        </w:rPr>
        <w:t>he fear of violen</w:t>
      </w:r>
      <w:r w:rsidR="009E2307" w:rsidRPr="0043704E">
        <w:rPr>
          <w:rFonts w:cs="Arial"/>
          <w:szCs w:val="24"/>
        </w:rPr>
        <w:t>ce</w:t>
      </w:r>
      <w:r w:rsidR="00C01810" w:rsidRPr="0043704E">
        <w:rPr>
          <w:rFonts w:cs="Arial"/>
          <w:szCs w:val="24"/>
        </w:rPr>
        <w:t>, harassment or abuse acting as a barrier to using public transport extends across other protected characteristics</w:t>
      </w:r>
      <w:r w:rsidR="003C1D20">
        <w:rPr>
          <w:rFonts w:cs="Arial"/>
          <w:szCs w:val="24"/>
        </w:rPr>
        <w:t xml:space="preserve"> </w:t>
      </w:r>
      <w:r w:rsidR="00C145DE">
        <w:rPr>
          <w:rFonts w:cs="Arial"/>
          <w:szCs w:val="24"/>
        </w:rPr>
        <w:t xml:space="preserve">– and, </w:t>
      </w:r>
      <w:r w:rsidR="003C1D20">
        <w:rPr>
          <w:rFonts w:cs="Arial"/>
          <w:szCs w:val="24"/>
        </w:rPr>
        <w:t xml:space="preserve">of course, disabled people </w:t>
      </w:r>
      <w:r w:rsidR="00F018C7">
        <w:rPr>
          <w:rFonts w:cs="Arial"/>
          <w:szCs w:val="24"/>
        </w:rPr>
        <w:t>may also share other protected characteristics such as</w:t>
      </w:r>
      <w:r w:rsidR="003C1D20">
        <w:rPr>
          <w:rFonts w:cs="Arial"/>
          <w:szCs w:val="24"/>
        </w:rPr>
        <w:t xml:space="preserve"> </w:t>
      </w:r>
      <w:r w:rsidR="006F53CB">
        <w:rPr>
          <w:rFonts w:cs="Arial"/>
          <w:szCs w:val="24"/>
        </w:rPr>
        <w:t>being from an ethnic minority</w:t>
      </w:r>
      <w:r w:rsidR="003C1D20">
        <w:rPr>
          <w:rFonts w:cs="Arial"/>
          <w:szCs w:val="24"/>
        </w:rPr>
        <w:t xml:space="preserve">, female, and/or </w:t>
      </w:r>
      <w:r w:rsidR="006F53CB">
        <w:rPr>
          <w:rFonts w:cs="Arial"/>
          <w:szCs w:val="24"/>
        </w:rPr>
        <w:t>lesbian, gay, bisexual or transgender</w:t>
      </w:r>
      <w:r w:rsidR="00C01810" w:rsidRPr="0043704E">
        <w:rPr>
          <w:rFonts w:cs="Arial"/>
          <w:szCs w:val="24"/>
        </w:rPr>
        <w:t>. Transport for London commissioned research in 2019 which showed that:</w:t>
      </w:r>
    </w:p>
    <w:p w14:paraId="0D394CDD" w14:textId="07944845" w:rsidR="00C01810" w:rsidRPr="0043704E" w:rsidRDefault="00C01810" w:rsidP="00A8048F">
      <w:pPr>
        <w:pStyle w:val="NoSpacing"/>
        <w:numPr>
          <w:ilvl w:val="1"/>
          <w:numId w:val="12"/>
        </w:numPr>
        <w:spacing w:before="5" w:after="5" w:line="360" w:lineRule="auto"/>
        <w:jc w:val="both"/>
        <w:rPr>
          <w:rFonts w:cs="Arial"/>
          <w:szCs w:val="24"/>
        </w:rPr>
      </w:pPr>
      <w:r w:rsidRPr="0043704E">
        <w:rPr>
          <w:rFonts w:cs="Arial"/>
          <w:szCs w:val="24"/>
        </w:rPr>
        <w:t>BAME (Black</w:t>
      </w:r>
      <w:r w:rsidR="00F2681E" w:rsidRPr="0043704E">
        <w:rPr>
          <w:rFonts w:cs="Arial"/>
          <w:szCs w:val="24"/>
        </w:rPr>
        <w:t>, Asian</w:t>
      </w:r>
      <w:r w:rsidRPr="0043704E">
        <w:rPr>
          <w:rFonts w:cs="Arial"/>
          <w:szCs w:val="24"/>
        </w:rPr>
        <w:t xml:space="preserve"> and Minority Ethnic) Londoners are </w:t>
      </w:r>
      <w:r w:rsidR="00BB5BDA" w:rsidRPr="0043704E">
        <w:rPr>
          <w:rFonts w:cs="Arial"/>
          <w:szCs w:val="24"/>
        </w:rPr>
        <w:t xml:space="preserve">significantly more likely than </w:t>
      </w:r>
      <w:r w:rsidR="009E2307" w:rsidRPr="0043704E">
        <w:rPr>
          <w:rFonts w:cs="Arial"/>
          <w:szCs w:val="24"/>
        </w:rPr>
        <w:t xml:space="preserve">White </w:t>
      </w:r>
      <w:r w:rsidRPr="0043704E">
        <w:rPr>
          <w:rFonts w:cs="Arial"/>
          <w:szCs w:val="24"/>
        </w:rPr>
        <w:t>Londoners to have experienced hate crime targeted at themselves or witnesses it in the past year (27% compared with 19%);</w:t>
      </w:r>
      <w:r w:rsidR="00BB5BDA" w:rsidRPr="0043704E">
        <w:rPr>
          <w:rStyle w:val="FootnoteReference"/>
          <w:rFonts w:cs="Arial"/>
          <w:szCs w:val="24"/>
        </w:rPr>
        <w:footnoteReference w:id="42"/>
      </w:r>
    </w:p>
    <w:p w14:paraId="723181EE" w14:textId="41B24938" w:rsidR="00C01810" w:rsidRPr="0043704E" w:rsidRDefault="00C01810" w:rsidP="00A8048F">
      <w:pPr>
        <w:pStyle w:val="NoSpacing"/>
        <w:numPr>
          <w:ilvl w:val="1"/>
          <w:numId w:val="12"/>
        </w:numPr>
        <w:spacing w:before="5" w:after="5" w:line="360" w:lineRule="auto"/>
        <w:jc w:val="both"/>
        <w:rPr>
          <w:rFonts w:cs="Arial"/>
          <w:szCs w:val="24"/>
        </w:rPr>
      </w:pPr>
      <w:r w:rsidRPr="0043704E">
        <w:rPr>
          <w:rFonts w:cs="Arial"/>
          <w:szCs w:val="24"/>
        </w:rPr>
        <w:lastRenderedPageBreak/>
        <w:t>Women are significantly more likely than men to have experienced unwanted sexual behaviour whilst using public transport in London in the past year (14% compared with 6%);</w:t>
      </w:r>
      <w:r w:rsidR="00BB5BDA" w:rsidRPr="0043704E">
        <w:rPr>
          <w:rStyle w:val="FootnoteReference"/>
          <w:rFonts w:cs="Arial"/>
          <w:szCs w:val="24"/>
        </w:rPr>
        <w:footnoteReference w:id="43"/>
      </w:r>
    </w:p>
    <w:p w14:paraId="7D925CB4" w14:textId="0BC08475" w:rsidR="00C01810" w:rsidRPr="0043704E" w:rsidRDefault="00C01810" w:rsidP="00A8048F">
      <w:pPr>
        <w:pStyle w:val="NoSpacing"/>
        <w:numPr>
          <w:ilvl w:val="1"/>
          <w:numId w:val="12"/>
        </w:numPr>
        <w:spacing w:before="5" w:after="5" w:line="360" w:lineRule="auto"/>
        <w:jc w:val="both"/>
        <w:rPr>
          <w:rFonts w:cs="Arial"/>
          <w:szCs w:val="24"/>
        </w:rPr>
      </w:pPr>
      <w:r w:rsidRPr="0043704E">
        <w:rPr>
          <w:rFonts w:cs="Arial"/>
          <w:szCs w:val="24"/>
        </w:rPr>
        <w:t>Women are significantly more likely to have experienced or witnessed verbal assaults than men in the past year (76% compared with 64%); and</w:t>
      </w:r>
      <w:r w:rsidR="00BB5BDA" w:rsidRPr="0043704E">
        <w:rPr>
          <w:rStyle w:val="FootnoteReference"/>
          <w:rFonts w:cs="Arial"/>
          <w:szCs w:val="24"/>
        </w:rPr>
        <w:footnoteReference w:id="44"/>
      </w:r>
    </w:p>
    <w:p w14:paraId="42E9378C" w14:textId="52532B0E" w:rsidR="00C01810" w:rsidRDefault="00C01810" w:rsidP="00A8048F">
      <w:pPr>
        <w:pStyle w:val="NoSpacing"/>
        <w:numPr>
          <w:ilvl w:val="1"/>
          <w:numId w:val="12"/>
        </w:numPr>
        <w:spacing w:before="5" w:after="5" w:line="360" w:lineRule="auto"/>
        <w:jc w:val="both"/>
        <w:rPr>
          <w:rFonts w:cs="Arial"/>
          <w:szCs w:val="24"/>
        </w:rPr>
      </w:pPr>
      <w:r w:rsidRPr="0043704E">
        <w:rPr>
          <w:rFonts w:cs="Arial"/>
          <w:szCs w:val="24"/>
        </w:rPr>
        <w:t>LGB (</w:t>
      </w:r>
      <w:r w:rsidR="00BB5BDA" w:rsidRPr="0043704E">
        <w:rPr>
          <w:rFonts w:cs="Arial"/>
          <w:szCs w:val="24"/>
        </w:rPr>
        <w:t>L</w:t>
      </w:r>
      <w:r w:rsidRPr="0043704E">
        <w:rPr>
          <w:rFonts w:cs="Arial"/>
          <w:szCs w:val="24"/>
        </w:rPr>
        <w:t>esbian,</w:t>
      </w:r>
      <w:r w:rsidR="00BB5BDA" w:rsidRPr="0043704E">
        <w:rPr>
          <w:rFonts w:cs="Arial"/>
          <w:szCs w:val="24"/>
        </w:rPr>
        <w:t xml:space="preserve"> Gay and B</w:t>
      </w:r>
      <w:r w:rsidRPr="0043704E">
        <w:rPr>
          <w:rFonts w:cs="Arial"/>
          <w:szCs w:val="24"/>
        </w:rPr>
        <w:t xml:space="preserve">isexual) Londoners are </w:t>
      </w:r>
      <w:r w:rsidR="00BB5BDA" w:rsidRPr="0043704E">
        <w:rPr>
          <w:rFonts w:cs="Arial"/>
          <w:szCs w:val="24"/>
        </w:rPr>
        <w:t>significantly</w:t>
      </w:r>
      <w:r w:rsidRPr="0043704E">
        <w:rPr>
          <w:rFonts w:cs="Arial"/>
          <w:szCs w:val="24"/>
        </w:rPr>
        <w:t xml:space="preserve"> more likely than heterosexual Londoners to have experienced hate crime targeted at themselves or </w:t>
      </w:r>
      <w:r w:rsidR="009E2307" w:rsidRPr="0043704E">
        <w:rPr>
          <w:rFonts w:cs="Arial"/>
          <w:szCs w:val="24"/>
        </w:rPr>
        <w:t xml:space="preserve">witnessed </w:t>
      </w:r>
      <w:r w:rsidRPr="0043704E">
        <w:rPr>
          <w:rFonts w:cs="Arial"/>
          <w:szCs w:val="24"/>
        </w:rPr>
        <w:t>it targeted at other</w:t>
      </w:r>
      <w:r w:rsidR="009E2307" w:rsidRPr="0043704E">
        <w:rPr>
          <w:rFonts w:cs="Arial"/>
          <w:szCs w:val="24"/>
        </w:rPr>
        <w:t>s</w:t>
      </w:r>
      <w:r w:rsidRPr="0043704E">
        <w:rPr>
          <w:rFonts w:cs="Arial"/>
          <w:szCs w:val="24"/>
        </w:rPr>
        <w:t xml:space="preserve"> in the past year (30% compared with 21%).</w:t>
      </w:r>
      <w:r w:rsidR="00BB5BDA" w:rsidRPr="0043704E">
        <w:rPr>
          <w:rStyle w:val="FootnoteReference"/>
          <w:rFonts w:cs="Arial"/>
          <w:szCs w:val="24"/>
        </w:rPr>
        <w:footnoteReference w:id="45"/>
      </w:r>
    </w:p>
    <w:p w14:paraId="5BA78F60" w14:textId="77777777" w:rsidR="00A8048F" w:rsidRPr="0043704E" w:rsidRDefault="00A8048F" w:rsidP="00A8048F">
      <w:pPr>
        <w:pStyle w:val="NoSpacing"/>
        <w:spacing w:before="5" w:after="5" w:line="360" w:lineRule="auto"/>
        <w:ind w:left="1080"/>
        <w:jc w:val="both"/>
        <w:rPr>
          <w:rFonts w:cs="Arial"/>
          <w:szCs w:val="24"/>
        </w:rPr>
      </w:pPr>
    </w:p>
    <w:p w14:paraId="0517F471" w14:textId="6A3D7BC6" w:rsidR="000437A7" w:rsidRDefault="009E2307" w:rsidP="00A8048F">
      <w:pPr>
        <w:pStyle w:val="NoSpacing"/>
        <w:numPr>
          <w:ilvl w:val="0"/>
          <w:numId w:val="12"/>
        </w:numPr>
        <w:spacing w:before="5" w:after="5" w:line="360" w:lineRule="auto"/>
        <w:jc w:val="both"/>
        <w:rPr>
          <w:rFonts w:cs="Arial"/>
          <w:szCs w:val="24"/>
        </w:rPr>
      </w:pPr>
      <w:r w:rsidRPr="0043704E">
        <w:rPr>
          <w:rFonts w:cs="Arial"/>
          <w:szCs w:val="24"/>
        </w:rPr>
        <w:t>T</w:t>
      </w:r>
      <w:r w:rsidR="00192EEA" w:rsidRPr="0043704E">
        <w:rPr>
          <w:rFonts w:cs="Arial"/>
          <w:szCs w:val="24"/>
        </w:rPr>
        <w:t>he evidence, therefore, points to</w:t>
      </w:r>
      <w:r w:rsidR="00E24B9F" w:rsidRPr="0043704E">
        <w:rPr>
          <w:rFonts w:cs="Arial"/>
          <w:szCs w:val="24"/>
        </w:rPr>
        <w:t xml:space="preserve"> </w:t>
      </w:r>
      <w:r w:rsidR="000437A7" w:rsidRPr="0043704E">
        <w:rPr>
          <w:rFonts w:cs="Arial"/>
          <w:szCs w:val="24"/>
        </w:rPr>
        <w:t xml:space="preserve">the impact of </w:t>
      </w:r>
      <w:r w:rsidR="00ED39C1" w:rsidRPr="0043704E">
        <w:rPr>
          <w:rFonts w:cs="Arial"/>
          <w:szCs w:val="24"/>
        </w:rPr>
        <w:t xml:space="preserve">behaviour such as </w:t>
      </w:r>
      <w:r w:rsidR="000437A7" w:rsidRPr="0043704E">
        <w:rPr>
          <w:rFonts w:cs="Arial"/>
          <w:szCs w:val="24"/>
        </w:rPr>
        <w:t>harassment</w:t>
      </w:r>
      <w:r w:rsidR="00BB5BDA" w:rsidRPr="0043704E">
        <w:rPr>
          <w:rFonts w:cs="Arial"/>
          <w:szCs w:val="24"/>
        </w:rPr>
        <w:t>, hate crime and unwanted sexual behaviour</w:t>
      </w:r>
      <w:r w:rsidR="000437A7" w:rsidRPr="0043704E">
        <w:rPr>
          <w:rFonts w:cs="Arial"/>
          <w:szCs w:val="24"/>
        </w:rPr>
        <w:t xml:space="preserve"> falling hardest on those who share protected characteristic</w:t>
      </w:r>
      <w:r w:rsidR="00DC73D1" w:rsidRPr="0043704E">
        <w:rPr>
          <w:rFonts w:cs="Arial"/>
          <w:szCs w:val="24"/>
        </w:rPr>
        <w:t>s</w:t>
      </w:r>
      <w:r w:rsidR="000437A7" w:rsidRPr="0043704E">
        <w:rPr>
          <w:rFonts w:cs="Arial"/>
          <w:szCs w:val="24"/>
        </w:rPr>
        <w:t>. Moreover, the fear of such incidents</w:t>
      </w:r>
      <w:r w:rsidR="00192EEA" w:rsidRPr="0043704E">
        <w:rPr>
          <w:rFonts w:cs="Arial"/>
          <w:szCs w:val="24"/>
        </w:rPr>
        <w:t xml:space="preserve"> (bot</w:t>
      </w:r>
      <w:r w:rsidR="000437A7" w:rsidRPr="0043704E">
        <w:rPr>
          <w:rFonts w:cs="Arial"/>
          <w:szCs w:val="24"/>
        </w:rPr>
        <w:t xml:space="preserve">h real and perceived) remains </w:t>
      </w:r>
      <w:r w:rsidR="00192EEA" w:rsidRPr="0043704E">
        <w:rPr>
          <w:rFonts w:cs="Arial"/>
          <w:szCs w:val="24"/>
        </w:rPr>
        <w:t>a</w:t>
      </w:r>
      <w:r w:rsidR="00BB5BDA" w:rsidRPr="0043704E">
        <w:rPr>
          <w:rFonts w:cs="Arial"/>
          <w:szCs w:val="24"/>
        </w:rPr>
        <w:t>n often significant</w:t>
      </w:r>
      <w:r w:rsidR="00192EEA" w:rsidRPr="0043704E">
        <w:rPr>
          <w:rFonts w:cs="Arial"/>
          <w:szCs w:val="24"/>
        </w:rPr>
        <w:t xml:space="preserve"> </w:t>
      </w:r>
      <w:r w:rsidR="00BB5BDA" w:rsidRPr="0043704E">
        <w:rPr>
          <w:rFonts w:cs="Arial"/>
          <w:szCs w:val="24"/>
        </w:rPr>
        <w:t>barrier to the</w:t>
      </w:r>
      <w:r w:rsidR="000437A7" w:rsidRPr="0043704E">
        <w:rPr>
          <w:rFonts w:cs="Arial"/>
          <w:szCs w:val="24"/>
        </w:rPr>
        <w:t xml:space="preserve"> greater</w:t>
      </w:r>
      <w:r w:rsidR="00BB5BDA" w:rsidRPr="0043704E">
        <w:rPr>
          <w:rFonts w:cs="Arial"/>
          <w:szCs w:val="24"/>
        </w:rPr>
        <w:t xml:space="preserve"> participation of</w:t>
      </w:r>
      <w:r w:rsidR="000437A7" w:rsidRPr="0043704E">
        <w:rPr>
          <w:rFonts w:cs="Arial"/>
          <w:szCs w:val="24"/>
        </w:rPr>
        <w:t xml:space="preserve"> these people in</w:t>
      </w:r>
      <w:r w:rsidR="007012ED">
        <w:rPr>
          <w:rFonts w:cs="Arial"/>
          <w:szCs w:val="24"/>
        </w:rPr>
        <w:t xml:space="preserve"> </w:t>
      </w:r>
      <w:r w:rsidR="000437A7" w:rsidRPr="0043704E">
        <w:rPr>
          <w:rFonts w:cs="Arial"/>
          <w:szCs w:val="24"/>
        </w:rPr>
        <w:t xml:space="preserve">public transport, particularly </w:t>
      </w:r>
      <w:r w:rsidR="00192EEA" w:rsidRPr="0043704E">
        <w:rPr>
          <w:rFonts w:cs="Arial"/>
          <w:szCs w:val="24"/>
        </w:rPr>
        <w:t xml:space="preserve">disabled people. </w:t>
      </w:r>
    </w:p>
    <w:p w14:paraId="53C23E49" w14:textId="77777777" w:rsidR="00A8048F" w:rsidRPr="0043704E" w:rsidRDefault="00A8048F" w:rsidP="00A8048F">
      <w:pPr>
        <w:pStyle w:val="NoSpacing"/>
        <w:spacing w:before="5" w:after="5" w:line="360" w:lineRule="auto"/>
        <w:ind w:left="360"/>
        <w:jc w:val="both"/>
        <w:rPr>
          <w:rFonts w:cs="Arial"/>
          <w:szCs w:val="24"/>
        </w:rPr>
      </w:pPr>
    </w:p>
    <w:p w14:paraId="7FDA81A7" w14:textId="0BDB6498" w:rsidR="005C08F6" w:rsidRDefault="000437A7" w:rsidP="00A8048F">
      <w:pPr>
        <w:pStyle w:val="NoSpacing"/>
        <w:numPr>
          <w:ilvl w:val="0"/>
          <w:numId w:val="12"/>
        </w:numPr>
        <w:spacing w:before="5" w:after="5" w:line="360" w:lineRule="auto"/>
        <w:jc w:val="both"/>
        <w:rPr>
          <w:rFonts w:cs="Arial"/>
          <w:szCs w:val="24"/>
        </w:rPr>
      </w:pPr>
      <w:r w:rsidRPr="0043704E">
        <w:rPr>
          <w:rFonts w:cs="Arial"/>
          <w:szCs w:val="24"/>
        </w:rPr>
        <w:t xml:space="preserve">Such behaviour </w:t>
      </w:r>
      <w:r w:rsidR="00192EEA" w:rsidRPr="0043704E">
        <w:rPr>
          <w:rFonts w:cs="Arial"/>
          <w:szCs w:val="24"/>
        </w:rPr>
        <w:t>evidently requires the involvement of a third party, and so this barrier is particularly prevalent fo</w:t>
      </w:r>
      <w:r w:rsidR="003C1D20">
        <w:rPr>
          <w:rFonts w:cs="Arial"/>
          <w:szCs w:val="24"/>
        </w:rPr>
        <w:t xml:space="preserve">r those modes of transport - such as multi-person HARPS - </w:t>
      </w:r>
      <w:r w:rsidR="00192EEA" w:rsidRPr="0043704E">
        <w:rPr>
          <w:rFonts w:cs="Arial"/>
          <w:szCs w:val="24"/>
        </w:rPr>
        <w:t>where disabled people are sharing the service with other</w:t>
      </w:r>
      <w:r w:rsidR="000C72BC" w:rsidRPr="0043704E">
        <w:rPr>
          <w:rFonts w:cs="Arial"/>
          <w:szCs w:val="24"/>
        </w:rPr>
        <w:t xml:space="preserve"> </w:t>
      </w:r>
      <w:r w:rsidR="00192EEA" w:rsidRPr="0043704E">
        <w:rPr>
          <w:rFonts w:cs="Arial"/>
          <w:szCs w:val="24"/>
        </w:rPr>
        <w:t xml:space="preserve">people. </w:t>
      </w:r>
    </w:p>
    <w:p w14:paraId="7AAECF4A" w14:textId="1FAED9CE" w:rsidR="00A8048F" w:rsidRPr="0043704E" w:rsidRDefault="00A8048F" w:rsidP="00A8048F">
      <w:pPr>
        <w:pStyle w:val="NoSpacing"/>
        <w:spacing w:before="5" w:after="5" w:line="360" w:lineRule="auto"/>
        <w:jc w:val="both"/>
        <w:rPr>
          <w:rFonts w:cs="Arial"/>
          <w:szCs w:val="24"/>
        </w:rPr>
      </w:pPr>
    </w:p>
    <w:p w14:paraId="4A41227B" w14:textId="51AC4E74" w:rsidR="00423EFD" w:rsidRDefault="00423EFD" w:rsidP="00A8048F">
      <w:pPr>
        <w:pStyle w:val="NoSpacing"/>
        <w:numPr>
          <w:ilvl w:val="0"/>
          <w:numId w:val="12"/>
        </w:numPr>
        <w:spacing w:before="5" w:after="5" w:line="360" w:lineRule="auto"/>
        <w:jc w:val="both"/>
        <w:rPr>
          <w:rFonts w:cs="Arial"/>
          <w:szCs w:val="24"/>
        </w:rPr>
      </w:pPr>
      <w:r>
        <w:rPr>
          <w:rFonts w:cs="Arial"/>
          <w:szCs w:val="24"/>
        </w:rPr>
        <w:t xml:space="preserve">HARPS also may also present a heightened risk for disabled passengers - </w:t>
      </w:r>
      <w:r w:rsidRPr="00423EFD">
        <w:rPr>
          <w:rFonts w:cs="Arial"/>
          <w:szCs w:val="24"/>
        </w:rPr>
        <w:t>the absence of a driver or staff member may exacerbate a disabled person’s existing in</w:t>
      </w:r>
      <w:r w:rsidR="007012ED">
        <w:rPr>
          <w:rFonts w:cs="Arial"/>
          <w:szCs w:val="24"/>
        </w:rPr>
        <w:t>s</w:t>
      </w:r>
      <w:r w:rsidRPr="00423EFD">
        <w:rPr>
          <w:rFonts w:cs="Arial"/>
          <w:szCs w:val="24"/>
        </w:rPr>
        <w:t>ecurities when travelling on public transport.</w:t>
      </w:r>
    </w:p>
    <w:p w14:paraId="5A4A9AAC" w14:textId="6504808B" w:rsidR="00A8048F" w:rsidRDefault="00A8048F" w:rsidP="00A8048F">
      <w:pPr>
        <w:pStyle w:val="NoSpacing"/>
        <w:spacing w:before="5" w:after="5" w:line="360" w:lineRule="auto"/>
        <w:jc w:val="both"/>
        <w:rPr>
          <w:rFonts w:cs="Arial"/>
          <w:szCs w:val="24"/>
        </w:rPr>
      </w:pPr>
    </w:p>
    <w:p w14:paraId="6BE30850" w14:textId="483F0323" w:rsidR="0085799B" w:rsidRPr="00C145DE" w:rsidRDefault="003C1D20" w:rsidP="00A8048F">
      <w:pPr>
        <w:pStyle w:val="NoSpacing"/>
        <w:numPr>
          <w:ilvl w:val="0"/>
          <w:numId w:val="12"/>
        </w:numPr>
        <w:spacing w:before="5" w:after="5" w:line="360" w:lineRule="auto"/>
        <w:jc w:val="both"/>
        <w:rPr>
          <w:rFonts w:cs="Arial"/>
          <w:szCs w:val="24"/>
        </w:rPr>
      </w:pPr>
      <w:r>
        <w:rPr>
          <w:rFonts w:cs="Arial"/>
          <w:szCs w:val="24"/>
        </w:rPr>
        <w:t xml:space="preserve">As such </w:t>
      </w:r>
      <w:r w:rsidR="00595CAF" w:rsidRPr="0043704E">
        <w:rPr>
          <w:rFonts w:cs="Arial"/>
          <w:szCs w:val="24"/>
        </w:rPr>
        <w:t>we think that there is a need for specific obligation on HARPS operators</w:t>
      </w:r>
      <w:r w:rsidR="00CE7D38" w:rsidRPr="0043704E">
        <w:rPr>
          <w:rFonts w:cs="Arial"/>
          <w:szCs w:val="24"/>
        </w:rPr>
        <w:t xml:space="preserve"> to address this issue</w:t>
      </w:r>
      <w:r w:rsidR="00595CAF" w:rsidRPr="0043704E">
        <w:rPr>
          <w:rFonts w:cs="Arial"/>
          <w:szCs w:val="24"/>
        </w:rPr>
        <w:t>.</w:t>
      </w:r>
      <w:r w:rsidR="002867B9" w:rsidRPr="0043704E">
        <w:rPr>
          <w:rFonts w:cs="Arial"/>
          <w:szCs w:val="24"/>
        </w:rPr>
        <w:t xml:space="preserve"> </w:t>
      </w:r>
      <w:r w:rsidR="00423EFD" w:rsidRPr="00423EFD">
        <w:rPr>
          <w:rFonts w:cs="Arial"/>
          <w:b/>
          <w:szCs w:val="24"/>
        </w:rPr>
        <w:t>We, therefore, support this proposal.</w:t>
      </w:r>
    </w:p>
    <w:p w14:paraId="34683566" w14:textId="5414B9D2" w:rsidR="00C145DE" w:rsidRPr="0043704E" w:rsidRDefault="00C145DE" w:rsidP="00C145DE">
      <w:pPr>
        <w:pStyle w:val="NoSpacing"/>
        <w:spacing w:before="5" w:after="5" w:line="360" w:lineRule="auto"/>
        <w:jc w:val="both"/>
        <w:rPr>
          <w:rFonts w:cs="Arial"/>
          <w:szCs w:val="24"/>
        </w:rPr>
      </w:pPr>
    </w:p>
    <w:p w14:paraId="360FF0EA" w14:textId="386EF280" w:rsidR="002867B9" w:rsidRDefault="00423EFD" w:rsidP="00A8048F">
      <w:pPr>
        <w:pStyle w:val="NoSpacing"/>
        <w:numPr>
          <w:ilvl w:val="0"/>
          <w:numId w:val="12"/>
        </w:numPr>
        <w:spacing w:before="5" w:after="5" w:line="360" w:lineRule="auto"/>
        <w:jc w:val="both"/>
        <w:rPr>
          <w:rFonts w:cs="Arial"/>
          <w:szCs w:val="24"/>
        </w:rPr>
      </w:pPr>
      <w:r>
        <w:rPr>
          <w:rFonts w:cs="Arial"/>
          <w:szCs w:val="24"/>
        </w:rPr>
        <w:lastRenderedPageBreak/>
        <w:t xml:space="preserve">HARPS, </w:t>
      </w:r>
      <w:r w:rsidR="002867B9" w:rsidRPr="0043704E">
        <w:rPr>
          <w:rFonts w:cs="Arial"/>
          <w:szCs w:val="24"/>
        </w:rPr>
        <w:t xml:space="preserve">if designed correctly, </w:t>
      </w:r>
      <w:r w:rsidR="002B1A98" w:rsidRPr="0043704E">
        <w:rPr>
          <w:rFonts w:cs="Arial"/>
          <w:szCs w:val="24"/>
        </w:rPr>
        <w:t xml:space="preserve">present an opportunity to reconsider the role of </w:t>
      </w:r>
      <w:r w:rsidR="002867B9" w:rsidRPr="0043704E">
        <w:rPr>
          <w:rFonts w:cs="Arial"/>
          <w:szCs w:val="24"/>
        </w:rPr>
        <w:t>human supervision if, for example, human assistants can remotely monitor and respond to po</w:t>
      </w:r>
      <w:r w:rsidR="0085799B" w:rsidRPr="0043704E">
        <w:rPr>
          <w:rFonts w:cs="Arial"/>
          <w:szCs w:val="24"/>
        </w:rPr>
        <w:t xml:space="preserve">tentially dangerous situations. Panic buttons or alarms could be </w:t>
      </w:r>
      <w:r w:rsidR="00CE7D38" w:rsidRPr="0043704E">
        <w:rPr>
          <w:rFonts w:cs="Arial"/>
          <w:szCs w:val="24"/>
        </w:rPr>
        <w:t xml:space="preserve">mandated </w:t>
      </w:r>
      <w:r w:rsidR="0085799B" w:rsidRPr="0043704E">
        <w:rPr>
          <w:rFonts w:cs="Arial"/>
          <w:szCs w:val="24"/>
        </w:rPr>
        <w:t xml:space="preserve">to allow for safe and discrete exits from the vehicles if </w:t>
      </w:r>
      <w:r w:rsidR="006F53CB">
        <w:rPr>
          <w:rFonts w:cs="Arial"/>
          <w:szCs w:val="24"/>
        </w:rPr>
        <w:t>a</w:t>
      </w:r>
      <w:r w:rsidR="006F53CB" w:rsidRPr="0043704E">
        <w:rPr>
          <w:rFonts w:cs="Arial"/>
          <w:szCs w:val="24"/>
        </w:rPr>
        <w:t xml:space="preserve"> </w:t>
      </w:r>
      <w:r w:rsidR="0085799B" w:rsidRPr="0043704E">
        <w:rPr>
          <w:rFonts w:cs="Arial"/>
          <w:szCs w:val="24"/>
        </w:rPr>
        <w:t xml:space="preserve">passenger feels threatened. </w:t>
      </w:r>
    </w:p>
    <w:p w14:paraId="1359DAF7" w14:textId="77777777" w:rsidR="00A8048F" w:rsidRDefault="00A8048F" w:rsidP="00A8048F">
      <w:pPr>
        <w:pStyle w:val="NoSpacing"/>
        <w:spacing w:before="5" w:after="5" w:line="360" w:lineRule="auto"/>
        <w:ind w:left="360"/>
        <w:jc w:val="both"/>
        <w:rPr>
          <w:rFonts w:cs="Arial"/>
          <w:szCs w:val="24"/>
        </w:rPr>
      </w:pPr>
    </w:p>
    <w:p w14:paraId="7A51CED0" w14:textId="27163C08" w:rsidR="00336FA7" w:rsidRDefault="00336FA7" w:rsidP="00A8048F">
      <w:pPr>
        <w:pStyle w:val="NoSpacing"/>
        <w:numPr>
          <w:ilvl w:val="0"/>
          <w:numId w:val="12"/>
        </w:numPr>
        <w:spacing w:before="5" w:after="5" w:line="360" w:lineRule="auto"/>
        <w:jc w:val="both"/>
        <w:rPr>
          <w:rFonts w:cs="Arial"/>
          <w:szCs w:val="24"/>
        </w:rPr>
      </w:pPr>
      <w:r>
        <w:rPr>
          <w:rFonts w:cs="Arial"/>
          <w:szCs w:val="24"/>
        </w:rPr>
        <w:t>These ideas should not be conceived of as a new obligation on operators – many operators are already required to take action to reduce incidents of harassment or crime on their services. For example, currently the bus franchises issued by the UK’s largest transport operator, Transport for London, require the operator to have functioning CCTV and alarm systems during all operational times.</w:t>
      </w:r>
      <w:r>
        <w:rPr>
          <w:rStyle w:val="FootnoteReference"/>
          <w:rFonts w:cs="Arial"/>
          <w:szCs w:val="24"/>
        </w:rPr>
        <w:footnoteReference w:id="46"/>
      </w:r>
      <w:r w:rsidR="002D5308">
        <w:rPr>
          <w:rFonts w:cs="Arial"/>
          <w:szCs w:val="24"/>
        </w:rPr>
        <w:t xml:space="preserve"> Furthermore, all bodies related to transport are, of course, already subject to the provisions in the EA 2010 governing harassment and the PSED (if they a</w:t>
      </w:r>
      <w:r w:rsidR="00A8048F">
        <w:rPr>
          <w:rFonts w:cs="Arial"/>
          <w:szCs w:val="24"/>
        </w:rPr>
        <w:t>r</w:t>
      </w:r>
      <w:r w:rsidR="002D5308">
        <w:rPr>
          <w:rFonts w:cs="Arial"/>
          <w:szCs w:val="24"/>
        </w:rPr>
        <w:t>e exercising a public function)</w:t>
      </w:r>
      <w:r w:rsidR="00A8048F">
        <w:rPr>
          <w:rFonts w:cs="Arial"/>
          <w:szCs w:val="24"/>
        </w:rPr>
        <w:t>.</w:t>
      </w:r>
    </w:p>
    <w:p w14:paraId="266310A8" w14:textId="1D44DEE1" w:rsidR="00A8048F" w:rsidRPr="0043704E" w:rsidRDefault="00A8048F" w:rsidP="00A8048F">
      <w:pPr>
        <w:pStyle w:val="NoSpacing"/>
        <w:spacing w:before="5" w:after="5" w:line="360" w:lineRule="auto"/>
        <w:jc w:val="both"/>
        <w:rPr>
          <w:rFonts w:cs="Arial"/>
          <w:szCs w:val="24"/>
        </w:rPr>
      </w:pPr>
    </w:p>
    <w:p w14:paraId="48B06E6E" w14:textId="574DECE3" w:rsidR="00336FA7" w:rsidRDefault="00361E54" w:rsidP="00A8048F">
      <w:pPr>
        <w:pStyle w:val="NoSpacing"/>
        <w:numPr>
          <w:ilvl w:val="0"/>
          <w:numId w:val="12"/>
        </w:numPr>
        <w:spacing w:before="5" w:after="5" w:line="360" w:lineRule="auto"/>
        <w:jc w:val="both"/>
        <w:rPr>
          <w:rFonts w:cs="Arial"/>
          <w:szCs w:val="24"/>
        </w:rPr>
      </w:pPr>
      <w:r w:rsidRPr="0043704E">
        <w:rPr>
          <w:rFonts w:cs="Arial"/>
          <w:szCs w:val="24"/>
        </w:rPr>
        <w:t>We</w:t>
      </w:r>
      <w:r w:rsidR="005C08F6" w:rsidRPr="0043704E">
        <w:rPr>
          <w:rFonts w:cs="Arial"/>
          <w:szCs w:val="24"/>
        </w:rPr>
        <w:t xml:space="preserve"> think</w:t>
      </w:r>
      <w:r w:rsidR="00336FA7">
        <w:rPr>
          <w:rFonts w:cs="Arial"/>
          <w:szCs w:val="24"/>
        </w:rPr>
        <w:t xml:space="preserve">, therefore, </w:t>
      </w:r>
      <w:r w:rsidR="005C08F6" w:rsidRPr="0043704E">
        <w:rPr>
          <w:rFonts w:cs="Arial"/>
          <w:szCs w:val="24"/>
        </w:rPr>
        <w:t xml:space="preserve">that comprehensive minimum accessibility standards should include obligations </w:t>
      </w:r>
      <w:r w:rsidR="002867B9" w:rsidRPr="0043704E">
        <w:rPr>
          <w:rFonts w:cs="Arial"/>
          <w:szCs w:val="24"/>
        </w:rPr>
        <w:t xml:space="preserve">on HARPS operators </w:t>
      </w:r>
      <w:r w:rsidR="00CE7D38" w:rsidRPr="0043704E">
        <w:rPr>
          <w:rFonts w:cs="Arial"/>
          <w:szCs w:val="24"/>
        </w:rPr>
        <w:t>to</w:t>
      </w:r>
      <w:r w:rsidR="00F2681E" w:rsidRPr="0043704E">
        <w:rPr>
          <w:rFonts w:cs="Arial"/>
          <w:szCs w:val="24"/>
        </w:rPr>
        <w:t xml:space="preserve"> take</w:t>
      </w:r>
      <w:r w:rsidR="00CE7D38" w:rsidRPr="0043704E">
        <w:rPr>
          <w:rFonts w:cs="Arial"/>
          <w:szCs w:val="24"/>
        </w:rPr>
        <w:t xml:space="preserve"> reasonable </w:t>
      </w:r>
      <w:r w:rsidR="00F2681E" w:rsidRPr="0043704E">
        <w:rPr>
          <w:rFonts w:cs="Arial"/>
          <w:szCs w:val="24"/>
        </w:rPr>
        <w:t>steps to</w:t>
      </w:r>
      <w:r w:rsidR="005C08F6" w:rsidRPr="0043704E">
        <w:rPr>
          <w:rFonts w:cs="Arial"/>
          <w:szCs w:val="24"/>
        </w:rPr>
        <w:t xml:space="preserve"> minimise the risk of harassment, assault or abuse to all passengers. </w:t>
      </w:r>
    </w:p>
    <w:p w14:paraId="638597AE" w14:textId="70DD0F1F" w:rsidR="00A8048F" w:rsidRDefault="00A8048F" w:rsidP="00A8048F">
      <w:pPr>
        <w:pStyle w:val="NoSpacing"/>
        <w:spacing w:before="5" w:after="5" w:line="360" w:lineRule="auto"/>
        <w:jc w:val="both"/>
        <w:rPr>
          <w:rFonts w:cs="Arial"/>
          <w:szCs w:val="24"/>
        </w:rPr>
      </w:pPr>
    </w:p>
    <w:p w14:paraId="2603C3F2" w14:textId="27557117" w:rsidR="005C08F6" w:rsidRDefault="0022272A" w:rsidP="00A8048F">
      <w:pPr>
        <w:pStyle w:val="NoSpacing"/>
        <w:numPr>
          <w:ilvl w:val="0"/>
          <w:numId w:val="12"/>
        </w:numPr>
        <w:spacing w:before="5" w:after="5" w:line="360" w:lineRule="auto"/>
        <w:jc w:val="both"/>
        <w:rPr>
          <w:rFonts w:cs="Arial"/>
          <w:szCs w:val="24"/>
        </w:rPr>
      </w:pPr>
      <w:r w:rsidRPr="0043704E">
        <w:rPr>
          <w:rFonts w:cs="Arial"/>
          <w:szCs w:val="24"/>
        </w:rPr>
        <w:t xml:space="preserve">The concept of </w:t>
      </w:r>
      <w:r w:rsidR="002867B9" w:rsidRPr="0043704E">
        <w:rPr>
          <w:rFonts w:cs="Arial"/>
          <w:szCs w:val="24"/>
        </w:rPr>
        <w:t>‘</w:t>
      </w:r>
      <w:r w:rsidRPr="0043704E">
        <w:rPr>
          <w:rFonts w:cs="Arial"/>
          <w:szCs w:val="24"/>
        </w:rPr>
        <w:t>reasonableness</w:t>
      </w:r>
      <w:r w:rsidR="002867B9" w:rsidRPr="0043704E">
        <w:rPr>
          <w:rFonts w:cs="Arial"/>
          <w:szCs w:val="24"/>
        </w:rPr>
        <w:t>’</w:t>
      </w:r>
      <w:r w:rsidRPr="0043704E">
        <w:rPr>
          <w:rFonts w:cs="Arial"/>
          <w:szCs w:val="24"/>
        </w:rPr>
        <w:t xml:space="preserve"> is well understood in the law, </w:t>
      </w:r>
      <w:r w:rsidR="007A00B6" w:rsidRPr="0043704E">
        <w:rPr>
          <w:rFonts w:cs="Arial"/>
          <w:szCs w:val="24"/>
        </w:rPr>
        <w:t xml:space="preserve">and we agree that the concept can be </w:t>
      </w:r>
      <w:r w:rsidRPr="0043704E">
        <w:rPr>
          <w:rFonts w:cs="Arial"/>
          <w:szCs w:val="24"/>
        </w:rPr>
        <w:t xml:space="preserve">supported by additional guidance. </w:t>
      </w:r>
      <w:r w:rsidR="002867B9" w:rsidRPr="0043704E">
        <w:rPr>
          <w:rFonts w:cs="Arial"/>
          <w:szCs w:val="24"/>
        </w:rPr>
        <w:t xml:space="preserve"> </w:t>
      </w:r>
      <w:r w:rsidR="002B1A98" w:rsidRPr="0043704E">
        <w:rPr>
          <w:rFonts w:cs="Arial"/>
          <w:szCs w:val="24"/>
        </w:rPr>
        <w:t xml:space="preserve">We would </w:t>
      </w:r>
      <w:r w:rsidR="00CE7D38" w:rsidRPr="0043704E">
        <w:rPr>
          <w:rFonts w:cs="Arial"/>
          <w:szCs w:val="24"/>
        </w:rPr>
        <w:t>emphasise</w:t>
      </w:r>
      <w:r w:rsidR="002B1A98" w:rsidRPr="0043704E">
        <w:rPr>
          <w:rFonts w:cs="Arial"/>
          <w:szCs w:val="24"/>
        </w:rPr>
        <w:t xml:space="preserve"> that the guidance </w:t>
      </w:r>
      <w:r w:rsidR="002867B9" w:rsidRPr="0043704E">
        <w:rPr>
          <w:rFonts w:cs="Arial"/>
          <w:szCs w:val="24"/>
        </w:rPr>
        <w:t xml:space="preserve">will </w:t>
      </w:r>
      <w:r w:rsidR="006F53CB">
        <w:rPr>
          <w:rFonts w:cs="Arial"/>
          <w:szCs w:val="24"/>
        </w:rPr>
        <w:t>need to take account of</w:t>
      </w:r>
      <w:r w:rsidR="006F53CB" w:rsidRPr="0043704E">
        <w:rPr>
          <w:rFonts w:cs="Arial"/>
          <w:szCs w:val="24"/>
        </w:rPr>
        <w:t xml:space="preserve"> </w:t>
      </w:r>
      <w:r w:rsidR="002867B9" w:rsidRPr="0043704E">
        <w:rPr>
          <w:rFonts w:cs="Arial"/>
          <w:szCs w:val="24"/>
        </w:rPr>
        <w:t xml:space="preserve">various factors, including </w:t>
      </w:r>
      <w:r w:rsidR="00F2681E" w:rsidRPr="0043704E">
        <w:rPr>
          <w:rFonts w:cs="Arial"/>
          <w:szCs w:val="24"/>
        </w:rPr>
        <w:t xml:space="preserve">the PSED outlined above, which would require them to have due regard to the effect of any guidance on people with different protected characteristics. </w:t>
      </w:r>
    </w:p>
    <w:p w14:paraId="13E05381" w14:textId="5CA179C0" w:rsidR="00A8048F" w:rsidRDefault="00A8048F" w:rsidP="00A8048F">
      <w:pPr>
        <w:pStyle w:val="NoSpacing"/>
        <w:spacing w:before="5" w:after="5" w:line="360" w:lineRule="auto"/>
        <w:jc w:val="both"/>
        <w:rPr>
          <w:rFonts w:cs="Arial"/>
          <w:szCs w:val="24"/>
        </w:rPr>
      </w:pPr>
    </w:p>
    <w:p w14:paraId="4E4D25AF" w14:textId="1A444612" w:rsidR="0043704E" w:rsidRPr="0043704E" w:rsidRDefault="0043704E" w:rsidP="00A8048F">
      <w:pPr>
        <w:pStyle w:val="Heading2"/>
        <w:spacing w:before="5" w:after="5" w:line="360" w:lineRule="auto"/>
        <w:jc w:val="both"/>
        <w:rPr>
          <w:rFonts w:ascii="Arial" w:hAnsi="Arial" w:cs="Arial"/>
          <w:b/>
          <w:color w:val="auto"/>
        </w:rPr>
      </w:pPr>
      <w:bookmarkStart w:id="56" w:name="_Toc30601893"/>
      <w:bookmarkStart w:id="57" w:name="_Toc30662639"/>
      <w:r>
        <w:rPr>
          <w:rFonts w:ascii="Arial" w:hAnsi="Arial" w:cs="Arial"/>
          <w:b/>
          <w:color w:val="auto"/>
        </w:rPr>
        <w:t>Consultation Question 25</w:t>
      </w:r>
      <w:bookmarkEnd w:id="56"/>
      <w:bookmarkEnd w:id="57"/>
    </w:p>
    <w:tbl>
      <w:tblPr>
        <w:tblStyle w:val="TableGrid"/>
        <w:tblW w:w="0" w:type="auto"/>
        <w:tblLook w:val="04A0" w:firstRow="1" w:lastRow="0" w:firstColumn="1" w:lastColumn="0" w:noHBand="0" w:noVBand="1"/>
        <w:tblCaption w:val="Consultation Question 25"/>
        <w:tblDescription w:val="We provisionally propose that the protections against discrimination and the duties to make reasonable adjustments that apply to land transport service providers under section 29 of the Equality Act 2010 should be extended to operators of HARPS. Do you agree?"/>
      </w:tblPr>
      <w:tblGrid>
        <w:gridCol w:w="9016"/>
      </w:tblGrid>
      <w:tr w:rsidR="00E32945" w:rsidRPr="0043704E" w14:paraId="6B0AB8C7" w14:textId="77777777" w:rsidTr="00D45D4F">
        <w:trPr>
          <w:tblHeader/>
        </w:trPr>
        <w:tc>
          <w:tcPr>
            <w:tcW w:w="9016" w:type="dxa"/>
          </w:tcPr>
          <w:p w14:paraId="53792EF1" w14:textId="6ADBF00D" w:rsidR="00E32945" w:rsidRPr="0043704E" w:rsidRDefault="00E32945" w:rsidP="00A8048F">
            <w:pPr>
              <w:pStyle w:val="NoSpacing"/>
              <w:spacing w:before="5" w:after="5" w:line="360" w:lineRule="auto"/>
              <w:jc w:val="both"/>
              <w:rPr>
                <w:rFonts w:cs="Arial"/>
                <w:i/>
                <w:szCs w:val="24"/>
              </w:rPr>
            </w:pPr>
            <w:r w:rsidRPr="0043704E">
              <w:rPr>
                <w:rFonts w:cs="Arial"/>
                <w:i/>
                <w:sz w:val="26"/>
                <w:szCs w:val="26"/>
              </w:rPr>
              <w:t>We provisionally propose that the protections against discrimination and the duties to make reasonable adjustments that apply to land transport service providers under section 29 of the Equality Act 2010 should be extended to operators of HARPS. Do you agree?</w:t>
            </w:r>
          </w:p>
        </w:tc>
      </w:tr>
    </w:tbl>
    <w:p w14:paraId="7C764DAB" w14:textId="77777777" w:rsidR="00C145DE" w:rsidRDefault="00C145DE" w:rsidP="00C145DE">
      <w:pPr>
        <w:pStyle w:val="mainbodycopy"/>
        <w:spacing w:before="5" w:after="5"/>
        <w:ind w:left="357"/>
        <w:jc w:val="both"/>
      </w:pPr>
    </w:p>
    <w:p w14:paraId="596F9A8D" w14:textId="555D6EF3" w:rsidR="00B41098" w:rsidRPr="0043704E" w:rsidRDefault="00B41098" w:rsidP="00A8048F">
      <w:pPr>
        <w:pStyle w:val="mainbodycopy"/>
        <w:numPr>
          <w:ilvl w:val="0"/>
          <w:numId w:val="12"/>
        </w:numPr>
        <w:spacing w:before="5" w:after="5"/>
        <w:ind w:left="357" w:hanging="357"/>
        <w:jc w:val="both"/>
      </w:pPr>
      <w:r w:rsidRPr="0043704E">
        <w:t xml:space="preserve">Section 29 of the EA 2010 currently </w:t>
      </w:r>
      <w:r w:rsidR="003D4B08">
        <w:t>applies</w:t>
      </w:r>
      <w:r w:rsidR="003D4B08" w:rsidRPr="0043704E">
        <w:t xml:space="preserve"> </w:t>
      </w:r>
      <w:r w:rsidRPr="0043704E">
        <w:t>various dut</w:t>
      </w:r>
      <w:r w:rsidR="00EC4744" w:rsidRPr="0043704E">
        <w:t xml:space="preserve">ies to “service providers.” These </w:t>
      </w:r>
      <w:r w:rsidRPr="0043704E">
        <w:t>dut</w:t>
      </w:r>
      <w:r w:rsidR="007012ED">
        <w:t>i</w:t>
      </w:r>
      <w:r w:rsidRPr="0043704E">
        <w:t>es are:</w:t>
      </w:r>
    </w:p>
    <w:p w14:paraId="03976A26" w14:textId="02BF2126" w:rsidR="00B41098" w:rsidRPr="0043704E" w:rsidRDefault="00B41098" w:rsidP="00A8048F">
      <w:pPr>
        <w:pStyle w:val="mainbodycopy"/>
        <w:numPr>
          <w:ilvl w:val="1"/>
          <w:numId w:val="12"/>
        </w:numPr>
        <w:spacing w:before="5" w:after="5"/>
        <w:ind w:left="1077" w:hanging="357"/>
        <w:jc w:val="both"/>
      </w:pPr>
      <w:r w:rsidRPr="0043704E">
        <w:t>A duty not to discriminate in providing a service;</w:t>
      </w:r>
      <w:r w:rsidR="008C7FCD" w:rsidRPr="0043704E">
        <w:rPr>
          <w:rStyle w:val="FootnoteReference"/>
        </w:rPr>
        <w:footnoteReference w:id="47"/>
      </w:r>
    </w:p>
    <w:p w14:paraId="1BC8BBB3" w14:textId="5BAEBF49" w:rsidR="00B41098" w:rsidRPr="0043704E" w:rsidRDefault="00B41098" w:rsidP="00A8048F">
      <w:pPr>
        <w:pStyle w:val="mainbodycopy"/>
        <w:numPr>
          <w:ilvl w:val="1"/>
          <w:numId w:val="12"/>
        </w:numPr>
        <w:spacing w:before="5" w:after="5"/>
        <w:ind w:left="1077" w:hanging="357"/>
        <w:jc w:val="both"/>
      </w:pPr>
      <w:r w:rsidRPr="0043704E">
        <w:t>A duty not to harass in providing a service; and</w:t>
      </w:r>
    </w:p>
    <w:p w14:paraId="69592C4B" w14:textId="26DFF63A" w:rsidR="008E37B9" w:rsidRDefault="008E37B9" w:rsidP="00A8048F">
      <w:pPr>
        <w:pStyle w:val="mainbodycopy"/>
        <w:numPr>
          <w:ilvl w:val="1"/>
          <w:numId w:val="12"/>
        </w:numPr>
        <w:spacing w:before="5" w:after="5"/>
        <w:ind w:left="1077" w:hanging="357"/>
        <w:jc w:val="both"/>
      </w:pPr>
      <w:r w:rsidRPr="0043704E">
        <w:t>A duty not to victimise in providing a service.</w:t>
      </w:r>
    </w:p>
    <w:p w14:paraId="78F5DA38" w14:textId="77777777" w:rsidR="00A8048F" w:rsidRPr="0043704E" w:rsidRDefault="00A8048F" w:rsidP="00A8048F">
      <w:pPr>
        <w:pStyle w:val="mainbodycopy"/>
        <w:spacing w:before="5" w:after="5"/>
        <w:ind w:left="1077"/>
        <w:jc w:val="both"/>
      </w:pPr>
    </w:p>
    <w:p w14:paraId="1300B029" w14:textId="554CEFE1" w:rsidR="005B0018" w:rsidRDefault="005B0018" w:rsidP="00A8048F">
      <w:pPr>
        <w:pStyle w:val="NoSpacing"/>
        <w:numPr>
          <w:ilvl w:val="0"/>
          <w:numId w:val="12"/>
        </w:numPr>
        <w:spacing w:before="5" w:after="5" w:line="360" w:lineRule="auto"/>
        <w:jc w:val="both"/>
        <w:rPr>
          <w:rFonts w:cs="Arial"/>
          <w:szCs w:val="24"/>
        </w:rPr>
      </w:pPr>
      <w:r w:rsidRPr="0043704E">
        <w:rPr>
          <w:rFonts w:cs="Arial"/>
          <w:szCs w:val="24"/>
        </w:rPr>
        <w:t>These duties are at the heart of</w:t>
      </w:r>
      <w:r w:rsidR="008C7FCD" w:rsidRPr="0043704E">
        <w:rPr>
          <w:rFonts w:cs="Arial"/>
          <w:szCs w:val="24"/>
        </w:rPr>
        <w:t xml:space="preserve"> the protections of the EA 2010</w:t>
      </w:r>
      <w:r w:rsidR="00F2681E" w:rsidRPr="0043704E">
        <w:rPr>
          <w:rFonts w:cs="Arial"/>
          <w:szCs w:val="24"/>
        </w:rPr>
        <w:t>.T</w:t>
      </w:r>
      <w:r w:rsidR="00D07E63" w:rsidRPr="0043704E">
        <w:rPr>
          <w:rFonts w:cs="Arial"/>
          <w:szCs w:val="24"/>
        </w:rPr>
        <w:t xml:space="preserve">heir </w:t>
      </w:r>
      <w:r w:rsidR="003D4B08">
        <w:rPr>
          <w:rFonts w:cs="Arial"/>
          <w:szCs w:val="24"/>
        </w:rPr>
        <w:t>application</w:t>
      </w:r>
      <w:r w:rsidR="003D4B08" w:rsidRPr="0043704E">
        <w:rPr>
          <w:rFonts w:cs="Arial"/>
          <w:szCs w:val="24"/>
        </w:rPr>
        <w:t xml:space="preserve"> </w:t>
      </w:r>
      <w:r w:rsidR="00D07E63" w:rsidRPr="0043704E">
        <w:rPr>
          <w:rFonts w:cs="Arial"/>
          <w:szCs w:val="24"/>
        </w:rPr>
        <w:t xml:space="preserve">to </w:t>
      </w:r>
      <w:r w:rsidR="001770DE">
        <w:rPr>
          <w:rFonts w:cs="Arial"/>
          <w:szCs w:val="24"/>
        </w:rPr>
        <w:t>“</w:t>
      </w:r>
      <w:r w:rsidR="00D07E63" w:rsidRPr="0043704E">
        <w:rPr>
          <w:rFonts w:cs="Arial"/>
          <w:szCs w:val="24"/>
        </w:rPr>
        <w:t>service providers</w:t>
      </w:r>
      <w:r w:rsidR="001770DE">
        <w:rPr>
          <w:rFonts w:cs="Arial"/>
          <w:szCs w:val="24"/>
        </w:rPr>
        <w:t>”</w:t>
      </w:r>
      <w:r w:rsidR="00EC4744" w:rsidRPr="0043704E">
        <w:rPr>
          <w:rFonts w:cs="Arial"/>
          <w:szCs w:val="24"/>
        </w:rPr>
        <w:t xml:space="preserve"> (</w:t>
      </w:r>
      <w:r w:rsidR="003D4B08">
        <w:rPr>
          <w:rFonts w:cs="Arial"/>
          <w:szCs w:val="24"/>
        </w:rPr>
        <w:t>whether public,</w:t>
      </w:r>
      <w:r w:rsidR="00EC4744" w:rsidRPr="0043704E">
        <w:rPr>
          <w:rFonts w:cs="Arial"/>
          <w:szCs w:val="24"/>
        </w:rPr>
        <w:t xml:space="preserve"> private </w:t>
      </w:r>
      <w:r w:rsidR="003D4B08">
        <w:rPr>
          <w:rFonts w:cs="Arial"/>
          <w:szCs w:val="24"/>
        </w:rPr>
        <w:t xml:space="preserve">or voluntary </w:t>
      </w:r>
      <w:r w:rsidR="00EC4744" w:rsidRPr="0043704E">
        <w:rPr>
          <w:rFonts w:cs="Arial"/>
          <w:szCs w:val="24"/>
        </w:rPr>
        <w:t>sector)</w:t>
      </w:r>
      <w:r w:rsidR="00D07E63" w:rsidRPr="0043704E">
        <w:rPr>
          <w:rFonts w:cs="Arial"/>
          <w:szCs w:val="24"/>
        </w:rPr>
        <w:t xml:space="preserve"> </w:t>
      </w:r>
      <w:r w:rsidR="002D5308">
        <w:rPr>
          <w:rFonts w:cs="Arial"/>
          <w:szCs w:val="24"/>
        </w:rPr>
        <w:t>mirrors that</w:t>
      </w:r>
      <w:r w:rsidR="00C145DE">
        <w:rPr>
          <w:rFonts w:cs="Arial"/>
          <w:szCs w:val="24"/>
        </w:rPr>
        <w:t xml:space="preserve"> of</w:t>
      </w:r>
      <w:r w:rsidR="008C7FCD" w:rsidRPr="0043704E">
        <w:rPr>
          <w:rFonts w:cs="Arial"/>
          <w:szCs w:val="24"/>
        </w:rPr>
        <w:t xml:space="preserve"> the pre-existing legislation</w:t>
      </w:r>
      <w:r w:rsidR="002D5308">
        <w:rPr>
          <w:rFonts w:cs="Arial"/>
          <w:szCs w:val="24"/>
        </w:rPr>
        <w:t xml:space="preserve"> (the Disability Discrimination Act 1995).</w:t>
      </w:r>
    </w:p>
    <w:p w14:paraId="21B711BF" w14:textId="77777777" w:rsidR="00A8048F" w:rsidRPr="0043704E" w:rsidRDefault="00A8048F" w:rsidP="00A8048F">
      <w:pPr>
        <w:pStyle w:val="NoSpacing"/>
        <w:spacing w:before="5" w:after="5" w:line="360" w:lineRule="auto"/>
        <w:ind w:left="360"/>
        <w:jc w:val="both"/>
        <w:rPr>
          <w:rFonts w:cs="Arial"/>
          <w:szCs w:val="24"/>
        </w:rPr>
      </w:pPr>
    </w:p>
    <w:p w14:paraId="06984BF7" w14:textId="2057FAFD" w:rsidR="005445F0" w:rsidRDefault="005B0018" w:rsidP="00A8048F">
      <w:pPr>
        <w:pStyle w:val="NoSpacing"/>
        <w:numPr>
          <w:ilvl w:val="0"/>
          <w:numId w:val="12"/>
        </w:numPr>
        <w:spacing w:before="5" w:after="5" w:line="360" w:lineRule="auto"/>
        <w:jc w:val="both"/>
        <w:rPr>
          <w:rFonts w:cs="Arial"/>
          <w:szCs w:val="24"/>
        </w:rPr>
      </w:pPr>
      <w:r w:rsidRPr="0043704E">
        <w:rPr>
          <w:rFonts w:cs="Arial"/>
          <w:szCs w:val="24"/>
        </w:rPr>
        <w:t>A “service provider” is a person who is concerned with the provision of a service to the public, or a section of the public, for payment or not.</w:t>
      </w:r>
      <w:r w:rsidRPr="0043704E">
        <w:rPr>
          <w:rStyle w:val="FootnoteReference"/>
          <w:rFonts w:cs="Arial"/>
          <w:szCs w:val="24"/>
        </w:rPr>
        <w:footnoteReference w:id="48"/>
      </w:r>
      <w:r w:rsidRPr="0043704E">
        <w:rPr>
          <w:rFonts w:cs="Arial"/>
          <w:szCs w:val="24"/>
        </w:rPr>
        <w:t xml:space="preserve"> On the face of it, an operator of a HARPS would fall within the definition of </w:t>
      </w:r>
      <w:r w:rsidR="008C7FCD" w:rsidRPr="0043704E">
        <w:rPr>
          <w:rFonts w:cs="Arial"/>
          <w:szCs w:val="24"/>
        </w:rPr>
        <w:t xml:space="preserve">a “service provider”, </w:t>
      </w:r>
      <w:r w:rsidRPr="0043704E">
        <w:rPr>
          <w:rFonts w:cs="Arial"/>
          <w:szCs w:val="24"/>
        </w:rPr>
        <w:t xml:space="preserve">and thus be </w:t>
      </w:r>
      <w:r w:rsidR="005445F0" w:rsidRPr="0043704E">
        <w:rPr>
          <w:rFonts w:cs="Arial"/>
          <w:szCs w:val="24"/>
        </w:rPr>
        <w:t>subject to three duties outlined above.</w:t>
      </w:r>
    </w:p>
    <w:p w14:paraId="6A4488C9" w14:textId="64BC73D9" w:rsidR="00A8048F" w:rsidRPr="0043704E" w:rsidRDefault="00A8048F" w:rsidP="00A8048F">
      <w:pPr>
        <w:pStyle w:val="NoSpacing"/>
        <w:spacing w:before="5" w:after="5" w:line="360" w:lineRule="auto"/>
        <w:jc w:val="both"/>
        <w:rPr>
          <w:rFonts w:cs="Arial"/>
          <w:szCs w:val="24"/>
        </w:rPr>
      </w:pPr>
    </w:p>
    <w:p w14:paraId="563F4BAE" w14:textId="0AFDB0E1" w:rsidR="00B41098" w:rsidRPr="0043704E" w:rsidRDefault="005445F0" w:rsidP="00A8048F">
      <w:pPr>
        <w:pStyle w:val="NoSpacing"/>
        <w:numPr>
          <w:ilvl w:val="0"/>
          <w:numId w:val="12"/>
        </w:numPr>
        <w:spacing w:before="5" w:after="5" w:line="360" w:lineRule="auto"/>
        <w:jc w:val="both"/>
        <w:rPr>
          <w:rFonts w:cs="Arial"/>
          <w:szCs w:val="24"/>
        </w:rPr>
      </w:pPr>
      <w:r w:rsidRPr="0043704E">
        <w:rPr>
          <w:rFonts w:cs="Arial"/>
          <w:szCs w:val="24"/>
        </w:rPr>
        <w:t>As the Law Commissions note,</w:t>
      </w:r>
      <w:r w:rsidR="00D07E63" w:rsidRPr="0043704E">
        <w:rPr>
          <w:rFonts w:cs="Arial"/>
          <w:szCs w:val="24"/>
        </w:rPr>
        <w:t xml:space="preserve"> however,</w:t>
      </w:r>
      <w:r w:rsidR="008C7FCD" w:rsidRPr="0043704E">
        <w:rPr>
          <w:rFonts w:cs="Arial"/>
          <w:szCs w:val="24"/>
        </w:rPr>
        <w:t xml:space="preserve"> the prohibition in section 29 of the EA 2010 is subject to the exceptions set out in </w:t>
      </w:r>
      <w:r w:rsidR="003D4B08">
        <w:rPr>
          <w:rFonts w:cs="Arial"/>
          <w:szCs w:val="24"/>
        </w:rPr>
        <w:t>S</w:t>
      </w:r>
      <w:r w:rsidR="003D4B08" w:rsidRPr="0043704E">
        <w:rPr>
          <w:rFonts w:cs="Arial"/>
          <w:szCs w:val="24"/>
        </w:rPr>
        <w:t xml:space="preserve">chedule </w:t>
      </w:r>
      <w:r w:rsidR="008C7FCD" w:rsidRPr="0043704E">
        <w:rPr>
          <w:rFonts w:cs="Arial"/>
          <w:szCs w:val="24"/>
        </w:rPr>
        <w:t>3</w:t>
      </w:r>
      <w:r w:rsidRPr="0043704E">
        <w:rPr>
          <w:rFonts w:cs="Arial"/>
          <w:szCs w:val="24"/>
        </w:rPr>
        <w:t xml:space="preserve"> </w:t>
      </w:r>
      <w:r w:rsidR="003D4B08">
        <w:rPr>
          <w:rFonts w:cs="Arial"/>
          <w:szCs w:val="24"/>
        </w:rPr>
        <w:t>to</w:t>
      </w:r>
      <w:r w:rsidR="003D4B08" w:rsidRPr="0043704E">
        <w:rPr>
          <w:rFonts w:cs="Arial"/>
          <w:szCs w:val="24"/>
        </w:rPr>
        <w:t xml:space="preserve"> </w:t>
      </w:r>
      <w:r w:rsidRPr="0043704E">
        <w:rPr>
          <w:rFonts w:cs="Arial"/>
          <w:szCs w:val="24"/>
        </w:rPr>
        <w:t>the EA 2010</w:t>
      </w:r>
      <w:r w:rsidR="008C7FCD" w:rsidRPr="0043704E">
        <w:rPr>
          <w:rFonts w:cs="Arial"/>
          <w:szCs w:val="24"/>
        </w:rPr>
        <w:t xml:space="preserve">. </w:t>
      </w:r>
    </w:p>
    <w:p w14:paraId="69D41C13" w14:textId="6DC1BDDC" w:rsidR="005445F0" w:rsidRPr="0043704E" w:rsidRDefault="005445F0" w:rsidP="00A8048F">
      <w:pPr>
        <w:pStyle w:val="NoSpacing"/>
        <w:spacing w:before="5" w:after="5" w:line="360" w:lineRule="auto"/>
        <w:ind w:left="720"/>
        <w:jc w:val="both"/>
        <w:rPr>
          <w:rFonts w:cs="Arial"/>
          <w:szCs w:val="24"/>
        </w:rPr>
      </w:pPr>
    </w:p>
    <w:p w14:paraId="1BBBF968" w14:textId="55B80C15" w:rsidR="00873999" w:rsidRDefault="00E27C5B" w:rsidP="00A8048F">
      <w:pPr>
        <w:pStyle w:val="NoSpacing"/>
        <w:numPr>
          <w:ilvl w:val="0"/>
          <w:numId w:val="12"/>
        </w:numPr>
        <w:spacing w:before="5" w:after="5" w:line="360" w:lineRule="auto"/>
        <w:jc w:val="both"/>
        <w:rPr>
          <w:rFonts w:cs="Arial"/>
          <w:szCs w:val="24"/>
        </w:rPr>
      </w:pPr>
      <w:r w:rsidRPr="0043704E">
        <w:rPr>
          <w:rFonts w:cs="Arial"/>
          <w:szCs w:val="24"/>
        </w:rPr>
        <w:t xml:space="preserve">In particular, </w:t>
      </w:r>
      <w:r w:rsidR="003D4B08">
        <w:rPr>
          <w:rFonts w:cs="Arial"/>
          <w:szCs w:val="24"/>
        </w:rPr>
        <w:t>Part 9 of S</w:t>
      </w:r>
      <w:r w:rsidRPr="0043704E">
        <w:rPr>
          <w:rFonts w:cs="Arial"/>
          <w:szCs w:val="24"/>
        </w:rPr>
        <w:t>chedule 3 excludes some</w:t>
      </w:r>
      <w:r w:rsidR="001D6296" w:rsidRPr="0043704E">
        <w:rPr>
          <w:rFonts w:cs="Arial"/>
          <w:szCs w:val="24"/>
        </w:rPr>
        <w:t xml:space="preserve"> service providers of</w:t>
      </w:r>
      <w:r w:rsidRPr="0043704E">
        <w:rPr>
          <w:rFonts w:cs="Arial"/>
          <w:szCs w:val="24"/>
        </w:rPr>
        <w:t xml:space="preserve"> transport services from the</w:t>
      </w:r>
      <w:r w:rsidR="001770DE">
        <w:rPr>
          <w:rFonts w:cs="Arial"/>
          <w:szCs w:val="24"/>
        </w:rPr>
        <w:t>ir duties under section 29 of the EA 2010</w:t>
      </w:r>
      <w:r w:rsidR="001D6296" w:rsidRPr="0043704E">
        <w:rPr>
          <w:rFonts w:cs="Arial"/>
          <w:szCs w:val="24"/>
        </w:rPr>
        <w:t xml:space="preserve">, by stating that section 29 of the EA 2010 does </w:t>
      </w:r>
      <w:r w:rsidR="001D6296" w:rsidRPr="0043704E">
        <w:rPr>
          <w:rFonts w:cs="Arial"/>
          <w:i/>
          <w:szCs w:val="24"/>
        </w:rPr>
        <w:t xml:space="preserve">not </w:t>
      </w:r>
      <w:r w:rsidR="00873999" w:rsidRPr="0043704E">
        <w:rPr>
          <w:rFonts w:cs="Arial"/>
          <w:szCs w:val="24"/>
        </w:rPr>
        <w:t>apply to them in relation to disability.</w:t>
      </w:r>
      <w:r w:rsidR="00873999" w:rsidRPr="0043704E">
        <w:rPr>
          <w:rStyle w:val="FootnoteReference"/>
          <w:rFonts w:cs="Arial"/>
          <w:szCs w:val="24"/>
        </w:rPr>
        <w:footnoteReference w:id="49"/>
      </w:r>
      <w:r w:rsidR="00873999" w:rsidRPr="0043704E">
        <w:rPr>
          <w:rFonts w:cs="Arial"/>
          <w:szCs w:val="24"/>
        </w:rPr>
        <w:t xml:space="preserve"> </w:t>
      </w:r>
    </w:p>
    <w:p w14:paraId="10B47120" w14:textId="66A9C5A1" w:rsidR="00A8048F" w:rsidRPr="0043704E" w:rsidRDefault="00A8048F" w:rsidP="00A8048F">
      <w:pPr>
        <w:pStyle w:val="NoSpacing"/>
        <w:spacing w:before="5" w:after="5" w:line="360" w:lineRule="auto"/>
        <w:jc w:val="both"/>
        <w:rPr>
          <w:rFonts w:cs="Arial"/>
          <w:szCs w:val="24"/>
        </w:rPr>
      </w:pPr>
    </w:p>
    <w:p w14:paraId="71A6C128" w14:textId="03A89D63" w:rsidR="00873999" w:rsidRDefault="001D6296" w:rsidP="00A8048F">
      <w:pPr>
        <w:pStyle w:val="NoSpacing"/>
        <w:numPr>
          <w:ilvl w:val="0"/>
          <w:numId w:val="12"/>
        </w:numPr>
        <w:spacing w:before="5" w:after="5" w:line="360" w:lineRule="auto"/>
        <w:jc w:val="both"/>
        <w:rPr>
          <w:rFonts w:cs="Arial"/>
          <w:szCs w:val="24"/>
        </w:rPr>
      </w:pPr>
      <w:r w:rsidRPr="0043704E">
        <w:rPr>
          <w:rFonts w:cs="Arial"/>
          <w:szCs w:val="24"/>
        </w:rPr>
        <w:t xml:space="preserve">Specifically, </w:t>
      </w:r>
      <w:r w:rsidR="003D4B08">
        <w:rPr>
          <w:rFonts w:cs="Arial"/>
          <w:szCs w:val="24"/>
        </w:rPr>
        <w:t>paragraph 34 of S</w:t>
      </w:r>
      <w:r w:rsidR="003D4B08" w:rsidRPr="0043704E">
        <w:rPr>
          <w:rFonts w:cs="Arial"/>
          <w:szCs w:val="24"/>
        </w:rPr>
        <w:t xml:space="preserve">chedule </w:t>
      </w:r>
      <w:r w:rsidRPr="0043704E">
        <w:rPr>
          <w:rFonts w:cs="Arial"/>
          <w:szCs w:val="24"/>
        </w:rPr>
        <w:t>3</w:t>
      </w:r>
      <w:r w:rsidR="00C145DE">
        <w:rPr>
          <w:rFonts w:cs="Arial"/>
          <w:szCs w:val="24"/>
        </w:rPr>
        <w:t xml:space="preserve"> </w:t>
      </w:r>
      <w:r w:rsidRPr="0043704E">
        <w:rPr>
          <w:rFonts w:cs="Arial"/>
          <w:szCs w:val="24"/>
        </w:rPr>
        <w:t>applies a blanket exemption in relation</w:t>
      </w:r>
      <w:r w:rsidR="00120C2D" w:rsidRPr="0043704E">
        <w:rPr>
          <w:rFonts w:cs="Arial"/>
          <w:szCs w:val="24"/>
        </w:rPr>
        <w:t xml:space="preserve"> to</w:t>
      </w:r>
      <w:r w:rsidRPr="0043704E">
        <w:rPr>
          <w:rFonts w:cs="Arial"/>
          <w:szCs w:val="24"/>
        </w:rPr>
        <w:t xml:space="preserve"> “transporting people by land,”</w:t>
      </w:r>
      <w:r w:rsidR="00873999" w:rsidRPr="0043704E">
        <w:rPr>
          <w:rStyle w:val="FootnoteReference"/>
          <w:rFonts w:cs="Arial"/>
          <w:szCs w:val="24"/>
        </w:rPr>
        <w:footnoteReference w:id="50"/>
      </w:r>
      <w:r w:rsidRPr="0043704E">
        <w:rPr>
          <w:rFonts w:cs="Arial"/>
          <w:szCs w:val="24"/>
        </w:rPr>
        <w:t xml:space="preserve"> unless the vehicle concerned is expressly listed. </w:t>
      </w:r>
    </w:p>
    <w:p w14:paraId="75B01F3B" w14:textId="747ED231" w:rsidR="00A8048F" w:rsidRPr="0043704E" w:rsidRDefault="00A8048F" w:rsidP="00A8048F">
      <w:pPr>
        <w:pStyle w:val="NoSpacing"/>
        <w:spacing w:before="5" w:after="5" w:line="360" w:lineRule="auto"/>
        <w:jc w:val="both"/>
        <w:rPr>
          <w:rFonts w:cs="Arial"/>
          <w:szCs w:val="24"/>
        </w:rPr>
      </w:pPr>
    </w:p>
    <w:p w14:paraId="408863B6" w14:textId="05CBB3C9" w:rsidR="001D6296" w:rsidRDefault="001D6296" w:rsidP="00A8048F">
      <w:pPr>
        <w:pStyle w:val="NoSpacing"/>
        <w:numPr>
          <w:ilvl w:val="0"/>
          <w:numId w:val="12"/>
        </w:numPr>
        <w:spacing w:before="5" w:after="5" w:line="360" w:lineRule="auto"/>
        <w:jc w:val="both"/>
        <w:rPr>
          <w:rFonts w:cs="Arial"/>
          <w:szCs w:val="24"/>
        </w:rPr>
      </w:pPr>
      <w:r w:rsidRPr="0043704E">
        <w:rPr>
          <w:rFonts w:cs="Arial"/>
          <w:szCs w:val="24"/>
        </w:rPr>
        <w:lastRenderedPageBreak/>
        <w:t xml:space="preserve">As the Law Commissions note, HARPS are not currently listed. Without being </w:t>
      </w:r>
      <w:r w:rsidR="00873999" w:rsidRPr="0043704E">
        <w:rPr>
          <w:rFonts w:cs="Arial"/>
          <w:szCs w:val="24"/>
        </w:rPr>
        <w:t xml:space="preserve">listed, </w:t>
      </w:r>
      <w:r w:rsidR="00EC4744" w:rsidRPr="0043704E">
        <w:rPr>
          <w:rFonts w:cs="Arial"/>
          <w:szCs w:val="24"/>
        </w:rPr>
        <w:t xml:space="preserve">we </w:t>
      </w:r>
      <w:r w:rsidR="001770DE">
        <w:rPr>
          <w:rFonts w:cs="Arial"/>
          <w:szCs w:val="24"/>
        </w:rPr>
        <w:t>agree</w:t>
      </w:r>
      <w:r w:rsidR="00EC4744" w:rsidRPr="0043704E">
        <w:rPr>
          <w:rFonts w:cs="Arial"/>
          <w:szCs w:val="24"/>
        </w:rPr>
        <w:t xml:space="preserve"> that </w:t>
      </w:r>
      <w:r w:rsidR="00873999" w:rsidRPr="0043704E">
        <w:rPr>
          <w:rFonts w:cs="Arial"/>
          <w:szCs w:val="24"/>
        </w:rPr>
        <w:t>HAR</w:t>
      </w:r>
      <w:r w:rsidR="001770DE">
        <w:rPr>
          <w:rFonts w:cs="Arial"/>
          <w:szCs w:val="24"/>
        </w:rPr>
        <w:t xml:space="preserve">PS operators would </w:t>
      </w:r>
      <w:r w:rsidR="001D167C">
        <w:rPr>
          <w:rFonts w:cs="Arial"/>
          <w:szCs w:val="24"/>
        </w:rPr>
        <w:t xml:space="preserve">technically </w:t>
      </w:r>
      <w:r w:rsidR="00873999" w:rsidRPr="0043704E">
        <w:rPr>
          <w:rFonts w:cs="Arial"/>
          <w:szCs w:val="24"/>
        </w:rPr>
        <w:t>be exempt from section 29, EA 2010</w:t>
      </w:r>
      <w:r w:rsidR="00EC4744" w:rsidRPr="0043704E">
        <w:rPr>
          <w:rFonts w:cs="Arial"/>
          <w:szCs w:val="24"/>
        </w:rPr>
        <w:t>,</w:t>
      </w:r>
      <w:r w:rsidR="00873999" w:rsidRPr="0043704E">
        <w:rPr>
          <w:rFonts w:cs="Arial"/>
          <w:szCs w:val="24"/>
        </w:rPr>
        <w:t xml:space="preserve"> so far as it relates to disability discrimination. </w:t>
      </w:r>
    </w:p>
    <w:p w14:paraId="72BCEA80" w14:textId="77777777" w:rsidR="00A8048F" w:rsidRPr="0043704E" w:rsidRDefault="00A8048F" w:rsidP="00A8048F">
      <w:pPr>
        <w:pStyle w:val="NoSpacing"/>
        <w:spacing w:before="5" w:after="5" w:line="360" w:lineRule="auto"/>
        <w:ind w:left="360"/>
        <w:jc w:val="both"/>
        <w:rPr>
          <w:rFonts w:cs="Arial"/>
          <w:szCs w:val="24"/>
        </w:rPr>
      </w:pPr>
    </w:p>
    <w:p w14:paraId="0E44D127" w14:textId="60BCED0B" w:rsidR="006056BC" w:rsidRDefault="001D6296" w:rsidP="00A8048F">
      <w:pPr>
        <w:pStyle w:val="NoSpacing"/>
        <w:numPr>
          <w:ilvl w:val="0"/>
          <w:numId w:val="12"/>
        </w:numPr>
        <w:spacing w:before="5" w:after="5" w:line="360" w:lineRule="auto"/>
        <w:jc w:val="both"/>
        <w:rPr>
          <w:rFonts w:cs="Arial"/>
          <w:szCs w:val="24"/>
        </w:rPr>
      </w:pPr>
      <w:r w:rsidRPr="0043704E">
        <w:rPr>
          <w:rFonts w:cs="Arial"/>
          <w:szCs w:val="24"/>
        </w:rPr>
        <w:t>We cannot see any reason why HARPS sho</w:t>
      </w:r>
      <w:r w:rsidR="00FC6219" w:rsidRPr="0043704E">
        <w:rPr>
          <w:rFonts w:cs="Arial"/>
          <w:szCs w:val="24"/>
        </w:rPr>
        <w:t xml:space="preserve">uld not be included in the list and, therefore, required not to discriminate </w:t>
      </w:r>
      <w:r w:rsidR="00120C2D" w:rsidRPr="0043704E">
        <w:rPr>
          <w:rFonts w:cs="Arial"/>
          <w:szCs w:val="24"/>
        </w:rPr>
        <w:t xml:space="preserve">against </w:t>
      </w:r>
      <w:r w:rsidR="00FC6219" w:rsidRPr="0043704E">
        <w:rPr>
          <w:rFonts w:cs="Arial"/>
          <w:szCs w:val="24"/>
        </w:rPr>
        <w:t>their users on the basis of disability.</w:t>
      </w:r>
      <w:r w:rsidRPr="0043704E">
        <w:rPr>
          <w:rFonts w:cs="Arial"/>
          <w:szCs w:val="24"/>
        </w:rPr>
        <w:t xml:space="preserve"> The list is already comprehensive in terms of its </w:t>
      </w:r>
      <w:r w:rsidR="00EC4744" w:rsidRPr="0043704E">
        <w:rPr>
          <w:rFonts w:cs="Arial"/>
          <w:szCs w:val="24"/>
        </w:rPr>
        <w:t>coverage of land-based vehicles</w:t>
      </w:r>
      <w:r w:rsidR="00DC73D1" w:rsidRPr="0043704E">
        <w:rPr>
          <w:rFonts w:cs="Arial"/>
          <w:szCs w:val="24"/>
        </w:rPr>
        <w:t xml:space="preserve"> – for example, it </w:t>
      </w:r>
      <w:r w:rsidR="00EC4744" w:rsidRPr="0043704E">
        <w:rPr>
          <w:rFonts w:cs="Arial"/>
          <w:szCs w:val="24"/>
        </w:rPr>
        <w:t>already includes</w:t>
      </w:r>
      <w:r w:rsidRPr="0043704E">
        <w:rPr>
          <w:rFonts w:cs="Arial"/>
          <w:szCs w:val="24"/>
        </w:rPr>
        <w:t xml:space="preserve"> public service vehicles (e.g. buses),</w:t>
      </w:r>
      <w:r w:rsidR="00993238" w:rsidRPr="0043704E">
        <w:rPr>
          <w:rStyle w:val="FootnoteReference"/>
          <w:rFonts w:cs="Arial"/>
          <w:szCs w:val="24"/>
        </w:rPr>
        <w:footnoteReference w:id="51"/>
      </w:r>
      <w:r w:rsidRPr="0043704E">
        <w:rPr>
          <w:rFonts w:cs="Arial"/>
          <w:szCs w:val="24"/>
        </w:rPr>
        <w:t xml:space="preserve"> </w:t>
      </w:r>
      <w:r w:rsidR="00993238" w:rsidRPr="0043704E">
        <w:rPr>
          <w:rFonts w:cs="Arial"/>
          <w:szCs w:val="24"/>
        </w:rPr>
        <w:t>private hire vehicles</w:t>
      </w:r>
      <w:r w:rsidR="00993238" w:rsidRPr="0043704E">
        <w:rPr>
          <w:rStyle w:val="FootnoteReference"/>
          <w:rFonts w:cs="Arial"/>
          <w:szCs w:val="24"/>
        </w:rPr>
        <w:footnoteReference w:id="52"/>
      </w:r>
      <w:r w:rsidR="00993238" w:rsidRPr="0043704E">
        <w:rPr>
          <w:rFonts w:cs="Arial"/>
          <w:szCs w:val="24"/>
        </w:rPr>
        <w:t xml:space="preserve"> and </w:t>
      </w:r>
      <w:r w:rsidRPr="0043704E">
        <w:rPr>
          <w:rFonts w:cs="Arial"/>
          <w:szCs w:val="24"/>
        </w:rPr>
        <w:t>taxis</w:t>
      </w:r>
      <w:r w:rsidR="00993238" w:rsidRPr="0043704E">
        <w:rPr>
          <w:rFonts w:cs="Arial"/>
          <w:szCs w:val="24"/>
        </w:rPr>
        <w:t>.</w:t>
      </w:r>
      <w:r w:rsidR="00993238" w:rsidRPr="0043704E">
        <w:rPr>
          <w:rStyle w:val="FootnoteReference"/>
          <w:rFonts w:cs="Arial"/>
          <w:szCs w:val="24"/>
        </w:rPr>
        <w:footnoteReference w:id="53"/>
      </w:r>
      <w:r w:rsidRPr="0043704E">
        <w:rPr>
          <w:rFonts w:cs="Arial"/>
          <w:szCs w:val="24"/>
        </w:rPr>
        <w:t xml:space="preserve"> </w:t>
      </w:r>
      <w:r w:rsidR="001770DE">
        <w:rPr>
          <w:rFonts w:cs="Arial"/>
          <w:szCs w:val="24"/>
        </w:rPr>
        <w:t>T</w:t>
      </w:r>
      <w:r w:rsidR="00D07E63" w:rsidRPr="0043704E">
        <w:rPr>
          <w:rFonts w:cs="Arial"/>
          <w:szCs w:val="24"/>
        </w:rPr>
        <w:t xml:space="preserve">he omission of HARPS </w:t>
      </w:r>
      <w:r w:rsidR="00FC6219" w:rsidRPr="0043704E">
        <w:rPr>
          <w:rFonts w:cs="Arial"/>
          <w:szCs w:val="24"/>
        </w:rPr>
        <w:t xml:space="preserve">from the list </w:t>
      </w:r>
      <w:r w:rsidR="002D5308">
        <w:rPr>
          <w:rFonts w:cs="Arial"/>
          <w:szCs w:val="24"/>
        </w:rPr>
        <w:t xml:space="preserve">presumably </w:t>
      </w:r>
      <w:r w:rsidR="002D5308" w:rsidRPr="0043704E">
        <w:rPr>
          <w:rFonts w:cs="Arial"/>
          <w:szCs w:val="24"/>
        </w:rPr>
        <w:t>reflects</w:t>
      </w:r>
      <w:r w:rsidR="00D07E63" w:rsidRPr="0043704E">
        <w:rPr>
          <w:rFonts w:cs="Arial"/>
          <w:szCs w:val="24"/>
        </w:rPr>
        <w:t xml:space="preserve"> the time at which the legislation was passed (nearly a decade ago), when </w:t>
      </w:r>
      <w:r w:rsidR="00EC4744" w:rsidRPr="0043704E">
        <w:rPr>
          <w:rFonts w:cs="Arial"/>
          <w:szCs w:val="24"/>
        </w:rPr>
        <w:t xml:space="preserve">an awareness and </w:t>
      </w:r>
      <w:r w:rsidR="00FC6219" w:rsidRPr="0043704E">
        <w:rPr>
          <w:rFonts w:cs="Arial"/>
          <w:szCs w:val="24"/>
        </w:rPr>
        <w:t xml:space="preserve">discussion of these types of vehicles had not yet </w:t>
      </w:r>
      <w:r w:rsidR="00EC4744" w:rsidRPr="0043704E">
        <w:rPr>
          <w:rFonts w:cs="Arial"/>
          <w:szCs w:val="24"/>
        </w:rPr>
        <w:t>begun.</w:t>
      </w:r>
    </w:p>
    <w:p w14:paraId="4ADE9C95" w14:textId="1F30A80E" w:rsidR="00A8048F" w:rsidRPr="0043704E" w:rsidRDefault="00A8048F" w:rsidP="00A8048F">
      <w:pPr>
        <w:pStyle w:val="NoSpacing"/>
        <w:spacing w:before="5" w:after="5" w:line="360" w:lineRule="auto"/>
        <w:jc w:val="both"/>
        <w:rPr>
          <w:rFonts w:cs="Arial"/>
          <w:szCs w:val="24"/>
        </w:rPr>
      </w:pPr>
    </w:p>
    <w:p w14:paraId="490C6A48" w14:textId="620FEBEE" w:rsidR="006056BC" w:rsidRDefault="00EC4744" w:rsidP="00A8048F">
      <w:pPr>
        <w:pStyle w:val="NoSpacing"/>
        <w:numPr>
          <w:ilvl w:val="0"/>
          <w:numId w:val="12"/>
        </w:numPr>
        <w:spacing w:before="5" w:after="5" w:line="360" w:lineRule="auto"/>
        <w:jc w:val="both"/>
        <w:rPr>
          <w:rFonts w:cs="Arial"/>
          <w:szCs w:val="24"/>
        </w:rPr>
      </w:pPr>
      <w:r w:rsidRPr="0043704E">
        <w:rPr>
          <w:rFonts w:cs="Arial"/>
          <w:szCs w:val="24"/>
        </w:rPr>
        <w:t>In particular, w</w:t>
      </w:r>
      <w:r w:rsidR="006056BC" w:rsidRPr="0043704E">
        <w:rPr>
          <w:rFonts w:cs="Arial"/>
          <w:szCs w:val="24"/>
        </w:rPr>
        <w:t xml:space="preserve">e think it would be wrong for what the </w:t>
      </w:r>
      <w:r w:rsidR="00F2681E" w:rsidRPr="0043704E">
        <w:rPr>
          <w:rFonts w:cs="Arial"/>
          <w:szCs w:val="24"/>
        </w:rPr>
        <w:t xml:space="preserve">UK </w:t>
      </w:r>
      <w:r w:rsidR="006056BC" w:rsidRPr="0043704E">
        <w:rPr>
          <w:rFonts w:cs="Arial"/>
          <w:szCs w:val="24"/>
        </w:rPr>
        <w:t>Government rightly said was the “cornerstone of protection” for disabled people (namely the duty to make reasonable adjustments) not to apply to this ne</w:t>
      </w:r>
      <w:r w:rsidR="00336146" w:rsidRPr="0043704E">
        <w:rPr>
          <w:rFonts w:cs="Arial"/>
          <w:szCs w:val="24"/>
        </w:rPr>
        <w:t xml:space="preserve">w mode </w:t>
      </w:r>
      <w:r w:rsidR="006056BC" w:rsidRPr="0043704E">
        <w:rPr>
          <w:rFonts w:cs="Arial"/>
          <w:szCs w:val="24"/>
        </w:rPr>
        <w:t>of transport without a clear and compelling justification.</w:t>
      </w:r>
      <w:r w:rsidR="00A8048F" w:rsidRPr="00A8048F">
        <w:rPr>
          <w:rStyle w:val="FootnoteReference"/>
          <w:rFonts w:cs="Arial"/>
          <w:szCs w:val="24"/>
        </w:rPr>
        <w:t xml:space="preserve"> </w:t>
      </w:r>
      <w:r w:rsidR="00A8048F" w:rsidRPr="0043704E">
        <w:rPr>
          <w:rStyle w:val="FootnoteReference"/>
          <w:rFonts w:cs="Arial"/>
          <w:szCs w:val="24"/>
        </w:rPr>
        <w:footnoteReference w:id="54"/>
      </w:r>
    </w:p>
    <w:p w14:paraId="5AF337FB" w14:textId="2EA9ED0B" w:rsidR="00A8048F" w:rsidRPr="0043704E" w:rsidRDefault="00A8048F" w:rsidP="00A8048F">
      <w:pPr>
        <w:pStyle w:val="NoSpacing"/>
        <w:spacing w:before="5" w:after="5" w:line="360" w:lineRule="auto"/>
        <w:jc w:val="both"/>
        <w:rPr>
          <w:rFonts w:cs="Arial"/>
          <w:szCs w:val="24"/>
        </w:rPr>
      </w:pPr>
    </w:p>
    <w:p w14:paraId="54620F68" w14:textId="2946BDC8" w:rsidR="00525EFF" w:rsidRDefault="001D6296" w:rsidP="00A8048F">
      <w:pPr>
        <w:pStyle w:val="NoSpacing"/>
        <w:numPr>
          <w:ilvl w:val="0"/>
          <w:numId w:val="12"/>
        </w:numPr>
        <w:spacing w:before="5" w:after="5" w:line="360" w:lineRule="auto"/>
        <w:jc w:val="both"/>
        <w:rPr>
          <w:rFonts w:cs="Arial"/>
          <w:szCs w:val="24"/>
        </w:rPr>
      </w:pPr>
      <w:r w:rsidRPr="0043704E">
        <w:rPr>
          <w:rFonts w:cs="Arial"/>
          <w:szCs w:val="24"/>
        </w:rPr>
        <w:t>Indeed the principal justification</w:t>
      </w:r>
      <w:r w:rsidR="008F1185" w:rsidRPr="0043704E">
        <w:rPr>
          <w:rFonts w:cs="Arial"/>
          <w:szCs w:val="24"/>
        </w:rPr>
        <w:t>s</w:t>
      </w:r>
      <w:r w:rsidRPr="0043704E">
        <w:rPr>
          <w:rFonts w:cs="Arial"/>
          <w:szCs w:val="24"/>
        </w:rPr>
        <w:t xml:space="preserve"> </w:t>
      </w:r>
      <w:r w:rsidR="006056BC" w:rsidRPr="0043704E">
        <w:rPr>
          <w:rFonts w:cs="Arial"/>
          <w:szCs w:val="24"/>
        </w:rPr>
        <w:t xml:space="preserve">advanced to date </w:t>
      </w:r>
      <w:r w:rsidRPr="0043704E">
        <w:rPr>
          <w:rFonts w:cs="Arial"/>
          <w:szCs w:val="24"/>
        </w:rPr>
        <w:t xml:space="preserve">for exempting </w:t>
      </w:r>
      <w:r w:rsidR="00336146" w:rsidRPr="0043704E">
        <w:rPr>
          <w:rFonts w:cs="Arial"/>
          <w:szCs w:val="24"/>
        </w:rPr>
        <w:t xml:space="preserve">certain </w:t>
      </w:r>
      <w:r w:rsidRPr="0043704E">
        <w:rPr>
          <w:rFonts w:cs="Arial"/>
          <w:szCs w:val="24"/>
        </w:rPr>
        <w:t>modes of transport from the duties of</w:t>
      </w:r>
      <w:r w:rsidR="00336146" w:rsidRPr="0043704E">
        <w:rPr>
          <w:rFonts w:cs="Arial"/>
          <w:szCs w:val="24"/>
        </w:rPr>
        <w:t xml:space="preserve"> section 29 of</w:t>
      </w:r>
      <w:r w:rsidRPr="0043704E">
        <w:rPr>
          <w:rFonts w:cs="Arial"/>
          <w:szCs w:val="24"/>
        </w:rPr>
        <w:t xml:space="preserve"> the E</w:t>
      </w:r>
      <w:r w:rsidR="006056BC" w:rsidRPr="0043704E">
        <w:rPr>
          <w:rFonts w:cs="Arial"/>
          <w:szCs w:val="24"/>
        </w:rPr>
        <w:t>A 2010</w:t>
      </w:r>
      <w:r w:rsidR="00336146" w:rsidRPr="0043704E">
        <w:rPr>
          <w:rFonts w:cs="Arial"/>
          <w:szCs w:val="24"/>
        </w:rPr>
        <w:t xml:space="preserve"> insofar as they apply to disability</w:t>
      </w:r>
      <w:r w:rsidR="006056BC" w:rsidRPr="0043704E">
        <w:rPr>
          <w:rFonts w:cs="Arial"/>
          <w:szCs w:val="24"/>
        </w:rPr>
        <w:t xml:space="preserve"> </w:t>
      </w:r>
      <w:r w:rsidR="001770DE">
        <w:rPr>
          <w:rFonts w:cs="Arial"/>
          <w:szCs w:val="24"/>
        </w:rPr>
        <w:t>do not apply</w:t>
      </w:r>
      <w:r w:rsidR="008F1185" w:rsidRPr="0043704E">
        <w:rPr>
          <w:rFonts w:cs="Arial"/>
          <w:szCs w:val="24"/>
        </w:rPr>
        <w:t xml:space="preserve"> to HARPS. </w:t>
      </w:r>
      <w:r w:rsidRPr="0043704E">
        <w:rPr>
          <w:rFonts w:cs="Arial"/>
          <w:szCs w:val="24"/>
        </w:rPr>
        <w:t>For example, t</w:t>
      </w:r>
      <w:r w:rsidR="00525EFF" w:rsidRPr="0043704E">
        <w:rPr>
          <w:rFonts w:cs="Arial"/>
          <w:szCs w:val="24"/>
        </w:rPr>
        <w:t xml:space="preserve">he exception in relation to transport by air, provided by </w:t>
      </w:r>
      <w:r w:rsidR="00A47F04">
        <w:rPr>
          <w:rFonts w:cs="Arial"/>
          <w:szCs w:val="24"/>
        </w:rPr>
        <w:t>paragraph 33 of S</w:t>
      </w:r>
      <w:r w:rsidR="00A47F04" w:rsidRPr="0043704E">
        <w:rPr>
          <w:rFonts w:cs="Arial"/>
          <w:szCs w:val="24"/>
        </w:rPr>
        <w:t xml:space="preserve">chedule </w:t>
      </w:r>
      <w:r w:rsidR="00525EFF" w:rsidRPr="0043704E">
        <w:rPr>
          <w:rFonts w:cs="Arial"/>
          <w:szCs w:val="24"/>
        </w:rPr>
        <w:t xml:space="preserve">3, was justified by the </w:t>
      </w:r>
      <w:r w:rsidR="00F2681E" w:rsidRPr="0043704E">
        <w:rPr>
          <w:rFonts w:cs="Arial"/>
          <w:szCs w:val="24"/>
        </w:rPr>
        <w:t xml:space="preserve">UK </w:t>
      </w:r>
      <w:r w:rsidR="00525EFF" w:rsidRPr="0043704E">
        <w:rPr>
          <w:rFonts w:cs="Arial"/>
          <w:szCs w:val="24"/>
        </w:rPr>
        <w:t>Government at the time on the basis that such services:</w:t>
      </w:r>
    </w:p>
    <w:p w14:paraId="19EB5A61" w14:textId="320F9607" w:rsidR="00A8048F" w:rsidRPr="0043704E" w:rsidRDefault="00A8048F" w:rsidP="00A8048F">
      <w:pPr>
        <w:pStyle w:val="NoSpacing"/>
        <w:spacing w:before="5" w:after="5" w:line="360" w:lineRule="auto"/>
        <w:jc w:val="both"/>
        <w:rPr>
          <w:rFonts w:cs="Arial"/>
          <w:szCs w:val="24"/>
        </w:rPr>
      </w:pPr>
    </w:p>
    <w:p w14:paraId="3DC29CA3" w14:textId="17E86E53" w:rsidR="00E27C5B" w:rsidRDefault="00525EFF" w:rsidP="00A8048F">
      <w:pPr>
        <w:pStyle w:val="NoSpacing"/>
        <w:spacing w:before="5" w:after="5" w:line="360" w:lineRule="auto"/>
        <w:ind w:left="720"/>
        <w:jc w:val="both"/>
        <w:rPr>
          <w:rFonts w:cs="Arial"/>
          <w:szCs w:val="24"/>
        </w:rPr>
      </w:pPr>
      <w:r w:rsidRPr="0043704E">
        <w:rPr>
          <w:rFonts w:cs="Arial"/>
          <w:szCs w:val="24"/>
        </w:rPr>
        <w:t>… are already subject to various international agreements … the predominantly international nature of air … travel has resulted in the view that it is best for any duties in this area to be as provided for under those agreements, rather than by importing separate, and possibly different, domestic duties.</w:t>
      </w:r>
      <w:r w:rsidRPr="0043704E">
        <w:rPr>
          <w:rStyle w:val="FootnoteReference"/>
          <w:rFonts w:cs="Arial"/>
          <w:szCs w:val="24"/>
        </w:rPr>
        <w:footnoteReference w:id="55"/>
      </w:r>
      <w:r w:rsidRPr="0043704E">
        <w:rPr>
          <w:rFonts w:cs="Arial"/>
          <w:szCs w:val="24"/>
        </w:rPr>
        <w:t xml:space="preserve"> </w:t>
      </w:r>
    </w:p>
    <w:p w14:paraId="4ADD2877" w14:textId="77777777" w:rsidR="00A8048F" w:rsidRPr="0043704E" w:rsidRDefault="00A8048F" w:rsidP="00A8048F">
      <w:pPr>
        <w:pStyle w:val="NoSpacing"/>
        <w:spacing w:before="5" w:after="5" w:line="360" w:lineRule="auto"/>
        <w:ind w:left="720"/>
        <w:jc w:val="both"/>
        <w:rPr>
          <w:rFonts w:cs="Arial"/>
          <w:szCs w:val="24"/>
        </w:rPr>
      </w:pPr>
    </w:p>
    <w:p w14:paraId="6B33266E" w14:textId="3B0BA672" w:rsidR="00336146" w:rsidRDefault="00336146" w:rsidP="00A8048F">
      <w:pPr>
        <w:pStyle w:val="NoSpacing"/>
        <w:numPr>
          <w:ilvl w:val="0"/>
          <w:numId w:val="12"/>
        </w:numPr>
        <w:spacing w:before="5" w:after="5" w:line="360" w:lineRule="auto"/>
        <w:jc w:val="both"/>
        <w:rPr>
          <w:rFonts w:cs="Arial"/>
          <w:szCs w:val="24"/>
        </w:rPr>
      </w:pPr>
      <w:r w:rsidRPr="0043704E">
        <w:rPr>
          <w:rFonts w:cs="Arial"/>
          <w:szCs w:val="24"/>
        </w:rPr>
        <w:lastRenderedPageBreak/>
        <w:t xml:space="preserve">Regardless of whether or not we </w:t>
      </w:r>
      <w:r w:rsidR="00EC4744" w:rsidRPr="0043704E">
        <w:rPr>
          <w:rFonts w:cs="Arial"/>
          <w:szCs w:val="24"/>
        </w:rPr>
        <w:t>think that this justification remains</w:t>
      </w:r>
      <w:r w:rsidRPr="0043704E">
        <w:rPr>
          <w:rFonts w:cs="Arial"/>
          <w:szCs w:val="24"/>
        </w:rPr>
        <w:t xml:space="preserve"> valid, it clearly does not apply to HARPS. </w:t>
      </w:r>
    </w:p>
    <w:p w14:paraId="48FD2906" w14:textId="77777777" w:rsidR="00A8048F" w:rsidRPr="0043704E" w:rsidRDefault="00A8048F" w:rsidP="00A8048F">
      <w:pPr>
        <w:pStyle w:val="NoSpacing"/>
        <w:spacing w:before="5" w:after="5" w:line="360" w:lineRule="auto"/>
        <w:ind w:left="360"/>
        <w:jc w:val="both"/>
        <w:rPr>
          <w:rFonts w:cs="Arial"/>
          <w:szCs w:val="24"/>
        </w:rPr>
      </w:pPr>
    </w:p>
    <w:p w14:paraId="19198321" w14:textId="2BA02AE8" w:rsidR="001D6296" w:rsidRPr="00A8048F" w:rsidRDefault="00993238" w:rsidP="00A8048F">
      <w:pPr>
        <w:pStyle w:val="NoSpacing"/>
        <w:numPr>
          <w:ilvl w:val="0"/>
          <w:numId w:val="12"/>
        </w:numPr>
        <w:spacing w:before="5" w:after="5" w:line="360" w:lineRule="auto"/>
        <w:jc w:val="both"/>
        <w:rPr>
          <w:rFonts w:cs="Arial"/>
          <w:b/>
          <w:szCs w:val="24"/>
        </w:rPr>
      </w:pPr>
      <w:r w:rsidRPr="0043704E">
        <w:rPr>
          <w:rFonts w:cs="Arial"/>
          <w:b/>
          <w:szCs w:val="24"/>
        </w:rPr>
        <w:t>We</w:t>
      </w:r>
      <w:r w:rsidR="00336146" w:rsidRPr="0043704E">
        <w:rPr>
          <w:rFonts w:cs="Arial"/>
          <w:b/>
          <w:szCs w:val="24"/>
        </w:rPr>
        <w:t>, therefore, express our support for the Law Commissions’ provisional proposal.</w:t>
      </w:r>
      <w:r w:rsidRPr="0043704E">
        <w:rPr>
          <w:rFonts w:cs="Arial"/>
          <w:b/>
          <w:szCs w:val="24"/>
        </w:rPr>
        <w:t xml:space="preserve"> </w:t>
      </w:r>
      <w:r w:rsidR="00A34CA5" w:rsidRPr="0043704E">
        <w:rPr>
          <w:rFonts w:cs="Arial"/>
          <w:szCs w:val="24"/>
        </w:rPr>
        <w:t xml:space="preserve">Ensuring that section 29 of the EA 2010 </w:t>
      </w:r>
      <w:r w:rsidR="00A47F04">
        <w:rPr>
          <w:rFonts w:cs="Arial"/>
          <w:szCs w:val="24"/>
        </w:rPr>
        <w:t>applies</w:t>
      </w:r>
      <w:r w:rsidR="00A34CA5" w:rsidRPr="0043704E">
        <w:rPr>
          <w:rFonts w:cs="Arial"/>
          <w:szCs w:val="24"/>
        </w:rPr>
        <w:t xml:space="preserve"> to HARPS operators from the very start is absolutely crucial. Not only does this mean </w:t>
      </w:r>
      <w:r w:rsidR="00A47F04">
        <w:rPr>
          <w:rFonts w:cs="Arial"/>
          <w:szCs w:val="24"/>
        </w:rPr>
        <w:t>immediate</w:t>
      </w:r>
      <w:r w:rsidR="00A47F04" w:rsidRPr="0043704E">
        <w:rPr>
          <w:rFonts w:cs="Arial"/>
          <w:szCs w:val="24"/>
        </w:rPr>
        <w:t xml:space="preserve"> </w:t>
      </w:r>
      <w:r w:rsidR="00A34CA5" w:rsidRPr="0043704E">
        <w:rPr>
          <w:rFonts w:cs="Arial"/>
          <w:szCs w:val="24"/>
        </w:rPr>
        <w:t xml:space="preserve">benefits and protections for disabled people, but it is far more efficient than trying to change the regulatory framework later down the line. </w:t>
      </w:r>
    </w:p>
    <w:p w14:paraId="3A9ABDE1" w14:textId="57BEE5F5" w:rsidR="00A8048F" w:rsidRPr="0043704E" w:rsidRDefault="00A8048F" w:rsidP="00A8048F">
      <w:pPr>
        <w:pStyle w:val="NoSpacing"/>
        <w:spacing w:before="5" w:after="5" w:line="360" w:lineRule="auto"/>
        <w:jc w:val="both"/>
        <w:rPr>
          <w:rFonts w:cs="Arial"/>
          <w:b/>
          <w:szCs w:val="24"/>
        </w:rPr>
      </w:pPr>
    </w:p>
    <w:p w14:paraId="584BFB13" w14:textId="3B63CD63" w:rsidR="005445F0" w:rsidRDefault="005445F0" w:rsidP="00A8048F">
      <w:pPr>
        <w:pStyle w:val="mainbodycopy"/>
        <w:numPr>
          <w:ilvl w:val="0"/>
          <w:numId w:val="12"/>
        </w:numPr>
        <w:spacing w:before="5" w:after="5"/>
        <w:jc w:val="both"/>
      </w:pPr>
      <w:r w:rsidRPr="0043704E">
        <w:t xml:space="preserve">The power to </w:t>
      </w:r>
      <w:r w:rsidR="00424999" w:rsidRPr="0043704E">
        <w:t>“add, v</w:t>
      </w:r>
      <w:r w:rsidR="00DC73D1" w:rsidRPr="0043704E">
        <w:t>a</w:t>
      </w:r>
      <w:r w:rsidR="00424999" w:rsidRPr="0043704E">
        <w:t>ry or omit” an exceptio</w:t>
      </w:r>
      <w:r w:rsidR="00336146" w:rsidRPr="0043704E">
        <w:t xml:space="preserve">n to section 29 is granted to the relevant </w:t>
      </w:r>
      <w:r w:rsidR="00424999" w:rsidRPr="0043704E">
        <w:t xml:space="preserve">Minister under </w:t>
      </w:r>
      <w:r w:rsidR="00A47F04">
        <w:t>paragraph 35 of S</w:t>
      </w:r>
      <w:r w:rsidR="00424999" w:rsidRPr="0043704E">
        <w:t>chedule 3</w:t>
      </w:r>
      <w:r w:rsidR="00C145DE">
        <w:t xml:space="preserve"> </w:t>
      </w:r>
      <w:r w:rsidR="00A47F04">
        <w:t>to</w:t>
      </w:r>
      <w:r w:rsidR="00424999" w:rsidRPr="0043704E">
        <w:t xml:space="preserve"> the EA 2010.</w:t>
      </w:r>
      <w:r w:rsidR="0067274E" w:rsidRPr="0043704E">
        <w:rPr>
          <w:rStyle w:val="FootnoteReference"/>
        </w:rPr>
        <w:footnoteReference w:id="56"/>
      </w:r>
      <w:r w:rsidR="00424999" w:rsidRPr="0043704E">
        <w:t xml:space="preserve"> </w:t>
      </w:r>
      <w:r w:rsidR="00336146" w:rsidRPr="0043704E">
        <w:t>We note that t</w:t>
      </w:r>
      <w:r w:rsidR="00424999" w:rsidRPr="0043704E">
        <w:t>he Minister would be required to consult with the Commission before making an</w:t>
      </w:r>
      <w:r w:rsidR="00BF43CD" w:rsidRPr="0043704E">
        <w:t>y amendment,</w:t>
      </w:r>
      <w:r w:rsidR="00424999" w:rsidRPr="0043704E">
        <w:t xml:space="preserve"> giving us further opportunity to </w:t>
      </w:r>
      <w:r w:rsidR="00993238" w:rsidRPr="0043704E">
        <w:t xml:space="preserve">input into any reform </w:t>
      </w:r>
      <w:r w:rsidR="00424999" w:rsidRPr="0043704E">
        <w:t>later down the line.</w:t>
      </w:r>
      <w:r w:rsidR="00424999" w:rsidRPr="0043704E">
        <w:rPr>
          <w:rStyle w:val="FootnoteReference"/>
        </w:rPr>
        <w:footnoteReference w:id="57"/>
      </w:r>
    </w:p>
    <w:p w14:paraId="48C90003" w14:textId="4E5DDAE3" w:rsidR="00A8048F" w:rsidRPr="0043704E" w:rsidRDefault="00A8048F" w:rsidP="00A8048F">
      <w:pPr>
        <w:pStyle w:val="mainbodycopy"/>
        <w:spacing w:before="5" w:after="5"/>
        <w:jc w:val="both"/>
      </w:pPr>
    </w:p>
    <w:p w14:paraId="2DD75716" w14:textId="3E16C524" w:rsidR="00A8048F" w:rsidRPr="0043704E" w:rsidRDefault="00534219" w:rsidP="00A8048F">
      <w:pPr>
        <w:pStyle w:val="mainbodycopy"/>
        <w:numPr>
          <w:ilvl w:val="0"/>
          <w:numId w:val="12"/>
        </w:numPr>
        <w:spacing w:before="5" w:after="5"/>
        <w:jc w:val="both"/>
      </w:pPr>
      <w:r w:rsidRPr="0043704E">
        <w:t xml:space="preserve">If section 29 </w:t>
      </w:r>
      <w:r w:rsidR="00AB699D" w:rsidRPr="0043704E">
        <w:t xml:space="preserve">of the EA 2010 </w:t>
      </w:r>
      <w:r w:rsidR="0098058B" w:rsidRPr="0043704E">
        <w:t xml:space="preserve">is, in effect, extended through an amendment to paragraph 34 </w:t>
      </w:r>
      <w:r w:rsidR="00A47F04">
        <w:t xml:space="preserve">of Schedule 3 </w:t>
      </w:r>
      <w:r w:rsidR="0098058B" w:rsidRPr="0043704E">
        <w:t>as set out above</w:t>
      </w:r>
      <w:r w:rsidRPr="0043704E">
        <w:t xml:space="preserve">, we think that </w:t>
      </w:r>
      <w:r w:rsidR="00A47F04">
        <w:t>the following</w:t>
      </w:r>
      <w:r w:rsidR="00A47F04" w:rsidRPr="0043704E">
        <w:t xml:space="preserve"> </w:t>
      </w:r>
      <w:r w:rsidRPr="0043704E">
        <w:t>questions</w:t>
      </w:r>
      <w:r w:rsidR="00BF43CD" w:rsidRPr="0043704E">
        <w:t xml:space="preserve"> </w:t>
      </w:r>
      <w:r w:rsidR="0067274E" w:rsidRPr="0043704E">
        <w:t xml:space="preserve">will </w:t>
      </w:r>
      <w:r w:rsidR="00C145DE">
        <w:t xml:space="preserve">also </w:t>
      </w:r>
      <w:r w:rsidR="0067274E" w:rsidRPr="0043704E">
        <w:t>need to be considered once we have greater knowledge of how a HARPS provider will operate:</w:t>
      </w:r>
    </w:p>
    <w:p w14:paraId="2ACD3B5E" w14:textId="067D53DF" w:rsidR="0067274E" w:rsidRPr="0043704E" w:rsidRDefault="0067274E" w:rsidP="00A8048F">
      <w:pPr>
        <w:pStyle w:val="mainbodycopy"/>
        <w:numPr>
          <w:ilvl w:val="1"/>
          <w:numId w:val="12"/>
        </w:numPr>
        <w:spacing w:before="5" w:after="5"/>
        <w:jc w:val="both"/>
      </w:pPr>
      <w:r w:rsidRPr="0043704E">
        <w:t xml:space="preserve">Whether amendments to Schedule 2 </w:t>
      </w:r>
      <w:r w:rsidR="00A47F04">
        <w:t>to</w:t>
      </w:r>
      <w:r w:rsidR="00A47F04" w:rsidRPr="0043704E">
        <w:t xml:space="preserve"> </w:t>
      </w:r>
      <w:r w:rsidRPr="0043704E">
        <w:t>the EA 2010 are necessary.</w:t>
      </w:r>
      <w:r w:rsidRPr="0043704E">
        <w:rPr>
          <w:rStyle w:val="FootnoteReference"/>
        </w:rPr>
        <w:footnoteReference w:id="58"/>
      </w:r>
      <w:r w:rsidRPr="0043704E">
        <w:t xml:space="preserve"> Schedule 2 sets out the precise circumstances in which the duty to make reasonable adjustments applies to </w:t>
      </w:r>
      <w:r w:rsidR="00993238" w:rsidRPr="0043704E">
        <w:t xml:space="preserve">certain forms of </w:t>
      </w:r>
      <w:r w:rsidRPr="0043704E">
        <w:t>service providers</w:t>
      </w:r>
      <w:r w:rsidR="00C75B54" w:rsidRPr="0043704E">
        <w:t>, for example whether they are required to make physical adjustments to their vehicles.</w:t>
      </w:r>
      <w:r w:rsidRPr="0043704E">
        <w:t xml:space="preserve"> </w:t>
      </w:r>
      <w:r w:rsidR="00A47F04">
        <w:t xml:space="preserve">Paragraph 3 of </w:t>
      </w:r>
      <w:r w:rsidRPr="0043704E">
        <w:t>Schedule 2 currently covers transport</w:t>
      </w:r>
      <w:r w:rsidR="00E27C5B" w:rsidRPr="0043704E">
        <w:t>;</w:t>
      </w:r>
      <w:r w:rsidRPr="0043704E">
        <w:rPr>
          <w:rStyle w:val="FootnoteReference"/>
        </w:rPr>
        <w:footnoteReference w:id="59"/>
      </w:r>
      <w:r w:rsidRPr="0043704E">
        <w:t xml:space="preserve"> and</w:t>
      </w:r>
    </w:p>
    <w:p w14:paraId="320C33E3" w14:textId="3B4898BA" w:rsidR="00424999" w:rsidRDefault="0067274E" w:rsidP="00A8048F">
      <w:pPr>
        <w:pStyle w:val="mainbodycopy"/>
        <w:numPr>
          <w:ilvl w:val="1"/>
          <w:numId w:val="12"/>
        </w:numPr>
        <w:spacing w:before="5" w:after="5"/>
        <w:jc w:val="both"/>
      </w:pPr>
      <w:r w:rsidRPr="0043704E">
        <w:t xml:space="preserve">Whether there is a </w:t>
      </w:r>
      <w:r w:rsidR="00424999" w:rsidRPr="0043704E">
        <w:t>need for more specific provisions which relate</w:t>
      </w:r>
      <w:r w:rsidRPr="0043704E">
        <w:t xml:space="preserve"> </w:t>
      </w:r>
      <w:r w:rsidR="00485B6F" w:rsidRPr="0043704E">
        <w:t xml:space="preserve">to </w:t>
      </w:r>
      <w:r w:rsidRPr="0043704E">
        <w:t xml:space="preserve">HARPS and their </w:t>
      </w:r>
      <w:r w:rsidR="00424999" w:rsidRPr="0043704E">
        <w:t xml:space="preserve">provision for disabled people, </w:t>
      </w:r>
      <w:r w:rsidR="000E15DB" w:rsidRPr="0043704E">
        <w:t xml:space="preserve">perhaps </w:t>
      </w:r>
      <w:r w:rsidR="00424999" w:rsidRPr="0043704E">
        <w:t>similar to the sections covering transport currently in the EA 2010.</w:t>
      </w:r>
      <w:r w:rsidR="00424999" w:rsidRPr="0043704E">
        <w:rPr>
          <w:rStyle w:val="FootnoteReference"/>
        </w:rPr>
        <w:footnoteReference w:id="60"/>
      </w:r>
      <w:r w:rsidR="00C75B54" w:rsidRPr="0043704E">
        <w:t xml:space="preserve"> For example, existing provisions which prevent a taxi or private hire operator from </w:t>
      </w:r>
      <w:r w:rsidR="00C75B54" w:rsidRPr="0043704E">
        <w:lastRenderedPageBreak/>
        <w:t>charg</w:t>
      </w:r>
      <w:r w:rsidR="00FE6898" w:rsidRPr="0043704E">
        <w:t>ing</w:t>
      </w:r>
      <w:r w:rsidR="00C75B54" w:rsidRPr="0043704E">
        <w:t xml:space="preserve"> a disabled person more to travel with their assistance dog may need to be extended to apply to a HARPS vehicle.</w:t>
      </w:r>
    </w:p>
    <w:p w14:paraId="6B17E1D2" w14:textId="77777777" w:rsidR="00A8048F" w:rsidRPr="0043704E" w:rsidRDefault="00A8048F" w:rsidP="00A8048F">
      <w:pPr>
        <w:pStyle w:val="mainbodycopy"/>
        <w:spacing w:before="5" w:after="5"/>
        <w:ind w:left="1080"/>
        <w:jc w:val="both"/>
      </w:pPr>
    </w:p>
    <w:p w14:paraId="01426526" w14:textId="44A2A8CD" w:rsidR="00755E93" w:rsidRDefault="00755E93" w:rsidP="00A8048F">
      <w:pPr>
        <w:pStyle w:val="mainbodycopy"/>
        <w:numPr>
          <w:ilvl w:val="0"/>
          <w:numId w:val="12"/>
        </w:numPr>
        <w:spacing w:before="5" w:after="5"/>
        <w:ind w:left="0" w:firstLine="0"/>
        <w:jc w:val="both"/>
      </w:pPr>
      <w:r w:rsidRPr="0043704E">
        <w:t xml:space="preserve">Without further information on the operating model of HARPS, the Commission does not express a view on these two questions at this stage. We simply </w:t>
      </w:r>
      <w:r w:rsidR="00534219" w:rsidRPr="0043704E">
        <w:t xml:space="preserve">wanted to flag them to the Law Commissions and to </w:t>
      </w:r>
      <w:r w:rsidRPr="0043704E">
        <w:t>note that any</w:t>
      </w:r>
      <w:r w:rsidR="00993238" w:rsidRPr="0043704E">
        <w:t xml:space="preserve"> future</w:t>
      </w:r>
      <w:r w:rsidRPr="0043704E">
        <w:t xml:space="preserve"> discussions of these</w:t>
      </w:r>
      <w:r w:rsidR="00993238" w:rsidRPr="0043704E">
        <w:t xml:space="preserve"> questions should involve the Commission</w:t>
      </w:r>
      <w:r w:rsidRPr="0043704E">
        <w:t xml:space="preserve"> from the outset.</w:t>
      </w:r>
    </w:p>
    <w:p w14:paraId="2F32A182" w14:textId="77777777" w:rsidR="00A8048F" w:rsidRPr="0043704E" w:rsidRDefault="00A8048F" w:rsidP="00A8048F">
      <w:pPr>
        <w:pStyle w:val="mainbodycopy"/>
        <w:spacing w:before="5" w:after="5"/>
        <w:jc w:val="both"/>
      </w:pPr>
    </w:p>
    <w:p w14:paraId="562F8F4F" w14:textId="5D0ACD40" w:rsidR="0043704E" w:rsidRPr="0043704E" w:rsidRDefault="0043704E" w:rsidP="00A8048F">
      <w:pPr>
        <w:pStyle w:val="Heading2"/>
        <w:spacing w:before="5" w:after="5" w:line="360" w:lineRule="auto"/>
        <w:jc w:val="both"/>
        <w:rPr>
          <w:rFonts w:ascii="Arial" w:hAnsi="Arial" w:cs="Arial"/>
          <w:b/>
          <w:color w:val="auto"/>
        </w:rPr>
      </w:pPr>
      <w:bookmarkStart w:id="58" w:name="_Toc30601894"/>
      <w:bookmarkStart w:id="59" w:name="_Toc30662640"/>
      <w:r>
        <w:rPr>
          <w:rFonts w:ascii="Arial" w:hAnsi="Arial" w:cs="Arial"/>
          <w:b/>
          <w:color w:val="auto"/>
        </w:rPr>
        <w:t>Consultation Question 27</w:t>
      </w:r>
      <w:bookmarkEnd w:id="58"/>
      <w:bookmarkEnd w:id="59"/>
    </w:p>
    <w:tbl>
      <w:tblPr>
        <w:tblStyle w:val="TableGrid"/>
        <w:tblW w:w="0" w:type="auto"/>
        <w:tblLook w:val="04A0" w:firstRow="1" w:lastRow="0" w:firstColumn="1" w:lastColumn="0" w:noHBand="0" w:noVBand="1"/>
        <w:tblCaption w:val="Consultation Question 27"/>
        <w:tblDescription w:val="We seek views on whether national minimum standards of accessibility for HARPS should be developed and what standards should cover"/>
      </w:tblPr>
      <w:tblGrid>
        <w:gridCol w:w="9016"/>
      </w:tblGrid>
      <w:tr w:rsidR="00E32945" w:rsidRPr="0043704E" w14:paraId="5A5F3B1D" w14:textId="77777777" w:rsidTr="00D45D4F">
        <w:trPr>
          <w:tblHeader/>
        </w:trPr>
        <w:tc>
          <w:tcPr>
            <w:tcW w:w="9016" w:type="dxa"/>
          </w:tcPr>
          <w:p w14:paraId="7A3B920F" w14:textId="0728E339" w:rsidR="00E32945" w:rsidRPr="0043704E" w:rsidRDefault="00E32945" w:rsidP="00A8048F">
            <w:pPr>
              <w:pStyle w:val="NoSpacing"/>
              <w:spacing w:before="5" w:after="5" w:line="360" w:lineRule="auto"/>
              <w:jc w:val="both"/>
              <w:rPr>
                <w:rFonts w:cs="Arial"/>
                <w:i/>
                <w:szCs w:val="24"/>
              </w:rPr>
            </w:pPr>
            <w:r w:rsidRPr="0043704E">
              <w:rPr>
                <w:rFonts w:cs="Arial"/>
                <w:i/>
                <w:sz w:val="26"/>
                <w:szCs w:val="26"/>
              </w:rPr>
              <w:t>We seek views on whether national minimum standards of accessibility for HARPS should be developed and what standards should cover</w:t>
            </w:r>
          </w:p>
        </w:tc>
      </w:tr>
    </w:tbl>
    <w:p w14:paraId="365930E9" w14:textId="77777777" w:rsidR="00A8048F" w:rsidRDefault="00A8048F" w:rsidP="00A8048F">
      <w:pPr>
        <w:pStyle w:val="NoSpacing"/>
        <w:spacing w:before="5" w:after="5" w:line="360" w:lineRule="auto"/>
        <w:jc w:val="both"/>
        <w:rPr>
          <w:rFonts w:cs="Arial"/>
          <w:szCs w:val="24"/>
          <w:u w:val="single"/>
        </w:rPr>
      </w:pPr>
    </w:p>
    <w:p w14:paraId="7088059C" w14:textId="4A49D982" w:rsidR="007A00B6" w:rsidRDefault="00596A4A" w:rsidP="00A8048F">
      <w:pPr>
        <w:pStyle w:val="NoSpacing"/>
        <w:spacing w:before="5" w:after="5" w:line="360" w:lineRule="auto"/>
        <w:jc w:val="both"/>
        <w:rPr>
          <w:rFonts w:cs="Arial"/>
          <w:szCs w:val="24"/>
          <w:u w:val="single"/>
        </w:rPr>
      </w:pPr>
      <w:r w:rsidRPr="0043704E">
        <w:rPr>
          <w:rFonts w:cs="Arial"/>
          <w:szCs w:val="24"/>
          <w:u w:val="single"/>
        </w:rPr>
        <w:t>The need for n</w:t>
      </w:r>
      <w:r w:rsidR="003911D0" w:rsidRPr="0043704E">
        <w:rPr>
          <w:rFonts w:cs="Arial"/>
          <w:szCs w:val="24"/>
          <w:u w:val="single"/>
        </w:rPr>
        <w:t>ational minimum standards</w:t>
      </w:r>
    </w:p>
    <w:p w14:paraId="0E2A20ED" w14:textId="77777777" w:rsidR="00A8048F" w:rsidRPr="0043704E" w:rsidRDefault="00A8048F" w:rsidP="00A8048F">
      <w:pPr>
        <w:pStyle w:val="NoSpacing"/>
        <w:spacing w:before="5" w:after="5" w:line="360" w:lineRule="auto"/>
        <w:jc w:val="both"/>
        <w:rPr>
          <w:rFonts w:cs="Arial"/>
          <w:szCs w:val="24"/>
          <w:u w:val="single"/>
        </w:rPr>
      </w:pPr>
    </w:p>
    <w:p w14:paraId="13AAEC80" w14:textId="55F95626" w:rsidR="006D21D5" w:rsidRDefault="003821DC" w:rsidP="00A8048F">
      <w:pPr>
        <w:pStyle w:val="NoSpacing"/>
        <w:numPr>
          <w:ilvl w:val="0"/>
          <w:numId w:val="12"/>
        </w:numPr>
        <w:spacing w:before="5" w:after="5" w:line="360" w:lineRule="auto"/>
        <w:jc w:val="both"/>
        <w:rPr>
          <w:rFonts w:cs="Arial"/>
          <w:szCs w:val="24"/>
        </w:rPr>
      </w:pPr>
      <w:r w:rsidRPr="0043704E">
        <w:rPr>
          <w:rFonts w:cs="Arial"/>
          <w:b/>
          <w:szCs w:val="24"/>
        </w:rPr>
        <w:t>We support this proposal.</w:t>
      </w:r>
      <w:r w:rsidRPr="0043704E">
        <w:rPr>
          <w:rFonts w:cs="Arial"/>
          <w:szCs w:val="24"/>
        </w:rPr>
        <w:t xml:space="preserve"> </w:t>
      </w:r>
      <w:r w:rsidR="00F036B4">
        <w:rPr>
          <w:rFonts w:cs="Arial"/>
          <w:szCs w:val="24"/>
        </w:rPr>
        <w:t xml:space="preserve"> Accessing t</w:t>
      </w:r>
      <w:r w:rsidR="00FD6692" w:rsidRPr="0043704E">
        <w:rPr>
          <w:rFonts w:cs="Arial"/>
          <w:szCs w:val="24"/>
        </w:rPr>
        <w:t>ransport presents one of the greatest challenges to disabled people; not only th</w:t>
      </w:r>
      <w:r w:rsidR="00142832" w:rsidRPr="0043704E">
        <w:rPr>
          <w:rFonts w:cs="Arial"/>
          <w:szCs w:val="24"/>
        </w:rPr>
        <w:t>ose with mobility impairments. Th</w:t>
      </w:r>
      <w:r w:rsidR="00FD6692" w:rsidRPr="0043704E">
        <w:rPr>
          <w:rFonts w:cs="Arial"/>
          <w:szCs w:val="24"/>
        </w:rPr>
        <w:t>ose with visi</w:t>
      </w:r>
      <w:r w:rsidR="00142832" w:rsidRPr="0043704E">
        <w:rPr>
          <w:rFonts w:cs="Arial"/>
          <w:szCs w:val="24"/>
        </w:rPr>
        <w:t xml:space="preserve">on and hearing impairments, as well as </w:t>
      </w:r>
      <w:r w:rsidR="00FD6692" w:rsidRPr="0043704E">
        <w:rPr>
          <w:rFonts w:cs="Arial"/>
          <w:szCs w:val="24"/>
        </w:rPr>
        <w:t xml:space="preserve">mental health conditions, can </w:t>
      </w:r>
      <w:r w:rsidR="00142832" w:rsidRPr="0043704E">
        <w:rPr>
          <w:rFonts w:cs="Arial"/>
          <w:szCs w:val="24"/>
        </w:rPr>
        <w:t xml:space="preserve">also </w:t>
      </w:r>
      <w:r w:rsidR="00FD6692" w:rsidRPr="0043704E">
        <w:rPr>
          <w:rFonts w:cs="Arial"/>
          <w:szCs w:val="24"/>
        </w:rPr>
        <w:t xml:space="preserve">experience </w:t>
      </w:r>
      <w:r w:rsidR="00791111" w:rsidRPr="0043704E">
        <w:rPr>
          <w:rFonts w:cs="Arial"/>
          <w:szCs w:val="24"/>
        </w:rPr>
        <w:t>barriers to accessing transport.</w:t>
      </w:r>
      <w:r w:rsidR="00791111" w:rsidRPr="0043704E">
        <w:rPr>
          <w:rStyle w:val="FootnoteReference"/>
          <w:rFonts w:cs="Arial"/>
          <w:szCs w:val="24"/>
        </w:rPr>
        <w:footnoteReference w:id="61"/>
      </w:r>
    </w:p>
    <w:p w14:paraId="596ADC4D" w14:textId="77777777" w:rsidR="00A8048F" w:rsidRPr="0043704E" w:rsidRDefault="00A8048F" w:rsidP="00A8048F">
      <w:pPr>
        <w:pStyle w:val="NoSpacing"/>
        <w:spacing w:before="5" w:after="5" w:line="360" w:lineRule="auto"/>
        <w:ind w:left="360"/>
        <w:jc w:val="both"/>
        <w:rPr>
          <w:rFonts w:cs="Arial"/>
          <w:szCs w:val="24"/>
        </w:rPr>
      </w:pPr>
    </w:p>
    <w:p w14:paraId="059751A6" w14:textId="4E2E98C7" w:rsidR="006D21D5" w:rsidRDefault="00F47376" w:rsidP="00A8048F">
      <w:pPr>
        <w:pStyle w:val="NoSpacing"/>
        <w:numPr>
          <w:ilvl w:val="0"/>
          <w:numId w:val="12"/>
        </w:numPr>
        <w:spacing w:before="5" w:after="5" w:line="360" w:lineRule="auto"/>
        <w:jc w:val="both"/>
        <w:rPr>
          <w:rFonts w:cs="Arial"/>
          <w:szCs w:val="24"/>
        </w:rPr>
      </w:pPr>
      <w:r w:rsidRPr="0043704E">
        <w:rPr>
          <w:rFonts w:cs="Arial"/>
          <w:szCs w:val="24"/>
        </w:rPr>
        <w:t xml:space="preserve">In </w:t>
      </w:r>
      <w:r w:rsidR="00F036B4">
        <w:rPr>
          <w:rFonts w:cs="Arial"/>
          <w:szCs w:val="24"/>
        </w:rPr>
        <w:t xml:space="preserve">a </w:t>
      </w:r>
      <w:r w:rsidRPr="0043704E">
        <w:rPr>
          <w:rFonts w:cs="Arial"/>
          <w:szCs w:val="24"/>
        </w:rPr>
        <w:t>2017 Commission report</w:t>
      </w:r>
      <w:r w:rsidR="00F036B4">
        <w:rPr>
          <w:rFonts w:cs="Arial"/>
          <w:szCs w:val="24"/>
        </w:rPr>
        <w:t xml:space="preserve"> on</w:t>
      </w:r>
      <w:r w:rsidRPr="0043704E">
        <w:rPr>
          <w:rFonts w:cs="Arial"/>
          <w:szCs w:val="24"/>
        </w:rPr>
        <w:t xml:space="preserve"> being disabled in Britain</w:t>
      </w:r>
      <w:r w:rsidR="00F036B4">
        <w:rPr>
          <w:rFonts w:cs="Arial"/>
          <w:szCs w:val="24"/>
        </w:rPr>
        <w:t>, we wrote that</w:t>
      </w:r>
      <w:r w:rsidRPr="0043704E">
        <w:rPr>
          <w:rFonts w:cs="Arial"/>
          <w:szCs w:val="24"/>
        </w:rPr>
        <w:t>:</w:t>
      </w:r>
    </w:p>
    <w:p w14:paraId="6CA7E34E" w14:textId="3A92C16A" w:rsidR="00A8048F" w:rsidRPr="0043704E" w:rsidRDefault="00A8048F" w:rsidP="00A8048F">
      <w:pPr>
        <w:pStyle w:val="NoSpacing"/>
        <w:spacing w:before="5" w:after="5" w:line="360" w:lineRule="auto"/>
        <w:jc w:val="both"/>
        <w:rPr>
          <w:rFonts w:cs="Arial"/>
          <w:szCs w:val="24"/>
        </w:rPr>
      </w:pPr>
    </w:p>
    <w:p w14:paraId="79A4F40A" w14:textId="03B95374" w:rsidR="00947EC4" w:rsidRDefault="00F47376" w:rsidP="00A8048F">
      <w:pPr>
        <w:pStyle w:val="NoSpacing"/>
        <w:spacing w:before="5" w:after="5" w:line="360" w:lineRule="auto"/>
        <w:ind w:left="720"/>
        <w:jc w:val="both"/>
        <w:rPr>
          <w:rFonts w:cs="Arial"/>
          <w:szCs w:val="24"/>
        </w:rPr>
      </w:pPr>
      <w:r w:rsidRPr="0043704E">
        <w:rPr>
          <w:rFonts w:cs="Arial"/>
          <w:szCs w:val="24"/>
        </w:rPr>
        <w:t>Access to transport is an important part of independent living and participation in family and community. Transport options for disabled people are very limited because of the need to use only transport forms that are accessible, and these tend to be expensive. Disabled people report feeling ‘trapped’ by these high costs and limited options.</w:t>
      </w:r>
      <w:r w:rsidR="00947EC4" w:rsidRPr="0043704E">
        <w:rPr>
          <w:rStyle w:val="FootnoteReference"/>
          <w:rFonts w:cs="Arial"/>
          <w:szCs w:val="24"/>
        </w:rPr>
        <w:footnoteReference w:id="62"/>
      </w:r>
    </w:p>
    <w:p w14:paraId="77C33439" w14:textId="77777777" w:rsidR="00A8048F" w:rsidRPr="0043704E" w:rsidRDefault="00A8048F" w:rsidP="00A8048F">
      <w:pPr>
        <w:pStyle w:val="NoSpacing"/>
        <w:spacing w:before="5" w:after="5" w:line="360" w:lineRule="auto"/>
        <w:ind w:left="720"/>
        <w:jc w:val="both"/>
        <w:rPr>
          <w:rFonts w:cs="Arial"/>
          <w:szCs w:val="24"/>
        </w:rPr>
      </w:pPr>
    </w:p>
    <w:p w14:paraId="00109DAF" w14:textId="60856B33" w:rsidR="004104D2" w:rsidRDefault="004104D2" w:rsidP="00A8048F">
      <w:pPr>
        <w:pStyle w:val="NoSpacing"/>
        <w:numPr>
          <w:ilvl w:val="0"/>
          <w:numId w:val="12"/>
        </w:numPr>
        <w:spacing w:before="5" w:after="5" w:line="360" w:lineRule="auto"/>
        <w:jc w:val="both"/>
        <w:rPr>
          <w:rFonts w:cs="Arial"/>
          <w:szCs w:val="24"/>
        </w:rPr>
      </w:pPr>
      <w:r w:rsidRPr="0043704E">
        <w:rPr>
          <w:rFonts w:cs="Arial"/>
          <w:szCs w:val="24"/>
        </w:rPr>
        <w:t xml:space="preserve">Unsurprisingly, therefore, the most recent statistics published by the </w:t>
      </w:r>
      <w:r w:rsidR="00F2681E" w:rsidRPr="0043704E">
        <w:rPr>
          <w:rFonts w:cs="Arial"/>
          <w:szCs w:val="24"/>
        </w:rPr>
        <w:t xml:space="preserve">UK </w:t>
      </w:r>
      <w:r w:rsidRPr="0043704E">
        <w:rPr>
          <w:rFonts w:cs="Arial"/>
          <w:szCs w:val="24"/>
        </w:rPr>
        <w:t xml:space="preserve">Government </w:t>
      </w:r>
      <w:r w:rsidR="00F2681E" w:rsidRPr="0043704E">
        <w:rPr>
          <w:rFonts w:cs="Arial"/>
          <w:szCs w:val="24"/>
        </w:rPr>
        <w:t xml:space="preserve">for England </w:t>
      </w:r>
      <w:r w:rsidR="00A8048F">
        <w:rPr>
          <w:rFonts w:cs="Arial"/>
          <w:szCs w:val="24"/>
        </w:rPr>
        <w:t>show that:</w:t>
      </w:r>
    </w:p>
    <w:p w14:paraId="796E6322" w14:textId="77777777" w:rsidR="00A8048F" w:rsidRPr="0043704E" w:rsidRDefault="00A8048F" w:rsidP="00A8048F">
      <w:pPr>
        <w:pStyle w:val="NoSpacing"/>
        <w:spacing w:before="5" w:after="5" w:line="360" w:lineRule="auto"/>
        <w:ind w:left="360"/>
        <w:jc w:val="both"/>
        <w:rPr>
          <w:rFonts w:cs="Arial"/>
          <w:szCs w:val="24"/>
        </w:rPr>
      </w:pPr>
    </w:p>
    <w:p w14:paraId="673AAD71" w14:textId="026BB941" w:rsidR="004104D2" w:rsidRDefault="004104D2" w:rsidP="00A8048F">
      <w:pPr>
        <w:pStyle w:val="NoSpacing"/>
        <w:spacing w:before="5" w:after="5" w:line="360" w:lineRule="auto"/>
        <w:ind w:left="720"/>
        <w:jc w:val="both"/>
        <w:rPr>
          <w:szCs w:val="24"/>
        </w:rPr>
      </w:pPr>
      <w:r w:rsidRPr="0043704E">
        <w:rPr>
          <w:szCs w:val="24"/>
        </w:rPr>
        <w:t>… in 2018, the average number of trips for people who were affected a lot in their ability to carry out day-to-day activities by a disability or illness was less than 60% of the average for all adults.</w:t>
      </w:r>
      <w:r w:rsidRPr="0043704E">
        <w:rPr>
          <w:rStyle w:val="FootnoteReference"/>
          <w:szCs w:val="24"/>
        </w:rPr>
        <w:footnoteReference w:id="63"/>
      </w:r>
    </w:p>
    <w:p w14:paraId="79AEAA5B" w14:textId="77777777" w:rsidR="00F23118" w:rsidRPr="0043704E" w:rsidRDefault="00F23118" w:rsidP="00A8048F">
      <w:pPr>
        <w:pStyle w:val="NoSpacing"/>
        <w:spacing w:before="5" w:after="5" w:line="360" w:lineRule="auto"/>
        <w:ind w:left="720"/>
        <w:jc w:val="both"/>
        <w:rPr>
          <w:rFonts w:cs="Arial"/>
          <w:szCs w:val="24"/>
        </w:rPr>
      </w:pPr>
    </w:p>
    <w:p w14:paraId="6C9CE39E" w14:textId="29D2F240" w:rsidR="00AB699D" w:rsidRDefault="00AB699D" w:rsidP="00A8048F">
      <w:pPr>
        <w:pStyle w:val="NoSpacing"/>
        <w:numPr>
          <w:ilvl w:val="0"/>
          <w:numId w:val="12"/>
        </w:numPr>
        <w:spacing w:before="5" w:after="5" w:line="360" w:lineRule="auto"/>
        <w:jc w:val="both"/>
        <w:rPr>
          <w:rFonts w:cs="Arial"/>
          <w:szCs w:val="24"/>
        </w:rPr>
      </w:pPr>
      <w:r w:rsidRPr="0043704E">
        <w:rPr>
          <w:rFonts w:cs="Arial"/>
          <w:szCs w:val="24"/>
        </w:rPr>
        <w:t xml:space="preserve">Figures from Transport Scotland show that </w:t>
      </w:r>
      <w:r w:rsidR="00A47F04">
        <w:rPr>
          <w:rFonts w:cs="Arial"/>
          <w:szCs w:val="24"/>
        </w:rPr>
        <w:t xml:space="preserve">disabled </w:t>
      </w:r>
      <w:r w:rsidRPr="0043704E">
        <w:rPr>
          <w:rFonts w:cs="Arial"/>
          <w:szCs w:val="24"/>
        </w:rPr>
        <w:t>people are significantly less likely to have access to a car or van, and are thus more reliant on public transport.</w:t>
      </w:r>
      <w:r w:rsidRPr="0043704E">
        <w:rPr>
          <w:rStyle w:val="FootnoteReference"/>
          <w:rFonts w:cs="Arial"/>
          <w:szCs w:val="24"/>
        </w:rPr>
        <w:footnoteReference w:id="64"/>
      </w:r>
    </w:p>
    <w:p w14:paraId="1CA43B52" w14:textId="77777777" w:rsidR="00A8048F" w:rsidRPr="0043704E" w:rsidRDefault="00A8048F" w:rsidP="00A8048F">
      <w:pPr>
        <w:pStyle w:val="NoSpacing"/>
        <w:spacing w:before="5" w:after="5" w:line="360" w:lineRule="auto"/>
        <w:ind w:left="360"/>
        <w:jc w:val="both"/>
        <w:rPr>
          <w:rFonts w:cs="Arial"/>
          <w:szCs w:val="24"/>
        </w:rPr>
      </w:pPr>
    </w:p>
    <w:p w14:paraId="3D928F9E" w14:textId="15BCBCBC" w:rsidR="008C7FCD" w:rsidRDefault="00F47376" w:rsidP="00A8048F">
      <w:pPr>
        <w:pStyle w:val="NoSpacing"/>
        <w:numPr>
          <w:ilvl w:val="0"/>
          <w:numId w:val="12"/>
        </w:numPr>
        <w:spacing w:before="5" w:after="5" w:line="360" w:lineRule="auto"/>
        <w:jc w:val="both"/>
        <w:rPr>
          <w:rFonts w:cs="Arial"/>
          <w:szCs w:val="24"/>
        </w:rPr>
      </w:pPr>
      <w:r w:rsidRPr="0043704E">
        <w:rPr>
          <w:rFonts w:cs="Arial"/>
          <w:szCs w:val="24"/>
        </w:rPr>
        <w:t>HARPS present an opportunity to introduce a new form of transport that could revolutioni</w:t>
      </w:r>
      <w:r w:rsidR="00437BC1" w:rsidRPr="0043704E">
        <w:rPr>
          <w:rFonts w:cs="Arial"/>
          <w:szCs w:val="24"/>
        </w:rPr>
        <w:t>se the lives of disabled people;</w:t>
      </w:r>
      <w:r w:rsidRPr="0043704E">
        <w:rPr>
          <w:rFonts w:cs="Arial"/>
          <w:szCs w:val="24"/>
        </w:rPr>
        <w:t xml:space="preserve"> presenting disabled people with a new form of </w:t>
      </w:r>
      <w:r w:rsidR="00142832" w:rsidRPr="0043704E">
        <w:rPr>
          <w:rFonts w:cs="Arial"/>
          <w:szCs w:val="24"/>
        </w:rPr>
        <w:t xml:space="preserve">accessible and affordable </w:t>
      </w:r>
      <w:r w:rsidRPr="0043704E">
        <w:rPr>
          <w:rFonts w:cs="Arial"/>
          <w:szCs w:val="24"/>
        </w:rPr>
        <w:t xml:space="preserve">transport. </w:t>
      </w:r>
    </w:p>
    <w:p w14:paraId="04A12D6D" w14:textId="63046A45" w:rsidR="00A8048F" w:rsidRPr="0043704E" w:rsidRDefault="00A8048F" w:rsidP="00A8048F">
      <w:pPr>
        <w:pStyle w:val="NoSpacing"/>
        <w:spacing w:before="5" w:after="5" w:line="360" w:lineRule="auto"/>
        <w:jc w:val="both"/>
        <w:rPr>
          <w:rFonts w:cs="Arial"/>
          <w:szCs w:val="24"/>
        </w:rPr>
      </w:pPr>
    </w:p>
    <w:p w14:paraId="61011190" w14:textId="724FFBB8" w:rsidR="00437BC1" w:rsidRDefault="008C7FCD" w:rsidP="00A8048F">
      <w:pPr>
        <w:pStyle w:val="NoSpacing"/>
        <w:numPr>
          <w:ilvl w:val="0"/>
          <w:numId w:val="12"/>
        </w:numPr>
        <w:spacing w:before="5" w:after="5" w:line="360" w:lineRule="auto"/>
        <w:jc w:val="both"/>
        <w:rPr>
          <w:rFonts w:cs="Arial"/>
          <w:szCs w:val="24"/>
        </w:rPr>
      </w:pPr>
      <w:r w:rsidRPr="0043704E">
        <w:rPr>
          <w:rFonts w:cs="Arial"/>
          <w:szCs w:val="24"/>
        </w:rPr>
        <w:t xml:space="preserve">They also, however, present risks. </w:t>
      </w:r>
      <w:r w:rsidR="00336146" w:rsidRPr="0043704E">
        <w:rPr>
          <w:rFonts w:cs="Arial"/>
          <w:szCs w:val="24"/>
        </w:rPr>
        <w:t>The long, and often h</w:t>
      </w:r>
      <w:r w:rsidRPr="0043704E">
        <w:rPr>
          <w:rFonts w:cs="Arial"/>
          <w:szCs w:val="24"/>
        </w:rPr>
        <w:t xml:space="preserve">ard </w:t>
      </w:r>
      <w:r w:rsidR="00336146" w:rsidRPr="0043704E">
        <w:rPr>
          <w:rFonts w:cs="Arial"/>
          <w:szCs w:val="24"/>
        </w:rPr>
        <w:t>fought,</w:t>
      </w:r>
      <w:r w:rsidRPr="0043704E">
        <w:rPr>
          <w:rFonts w:cs="Arial"/>
          <w:szCs w:val="24"/>
        </w:rPr>
        <w:t xml:space="preserve"> battles for</w:t>
      </w:r>
      <w:r w:rsidR="00994A28" w:rsidRPr="0043704E">
        <w:rPr>
          <w:rFonts w:cs="Arial"/>
          <w:szCs w:val="24"/>
        </w:rPr>
        <w:t xml:space="preserve"> the introduction of mandatory</w:t>
      </w:r>
      <w:r w:rsidRPr="0043704E">
        <w:rPr>
          <w:rFonts w:cs="Arial"/>
          <w:szCs w:val="24"/>
        </w:rPr>
        <w:t xml:space="preserve"> accessibility standards may be undercut by these new technologies. HARPS have the potential to fundamentally change how transport is delivered in this country</w:t>
      </w:r>
      <w:r w:rsidR="00994A28" w:rsidRPr="0043704E">
        <w:rPr>
          <w:rFonts w:cs="Arial"/>
          <w:szCs w:val="24"/>
        </w:rPr>
        <w:t>, without a proper consideration of the needs of disabled and older people.</w:t>
      </w:r>
      <w:r w:rsidRPr="0043704E">
        <w:rPr>
          <w:rFonts w:cs="Arial"/>
          <w:szCs w:val="24"/>
        </w:rPr>
        <w:t xml:space="preserve"> As Baroness Thomas of Winchester </w:t>
      </w:r>
      <w:r w:rsidR="00994A28" w:rsidRPr="0043704E">
        <w:rPr>
          <w:rFonts w:cs="Arial"/>
          <w:szCs w:val="24"/>
        </w:rPr>
        <w:t>neatly put it</w:t>
      </w:r>
      <w:r w:rsidRPr="0043704E">
        <w:rPr>
          <w:rFonts w:cs="Arial"/>
          <w:szCs w:val="24"/>
        </w:rPr>
        <w:t>:</w:t>
      </w:r>
    </w:p>
    <w:p w14:paraId="0178C32D" w14:textId="6C09A315" w:rsidR="00A8048F" w:rsidRPr="0043704E" w:rsidRDefault="00A8048F" w:rsidP="00A8048F">
      <w:pPr>
        <w:pStyle w:val="NoSpacing"/>
        <w:spacing w:before="5" w:after="5" w:line="360" w:lineRule="auto"/>
        <w:jc w:val="both"/>
        <w:rPr>
          <w:rFonts w:cs="Arial"/>
          <w:szCs w:val="24"/>
        </w:rPr>
      </w:pPr>
    </w:p>
    <w:p w14:paraId="6F39727A" w14:textId="11B29643" w:rsidR="008C7FCD" w:rsidRDefault="008C7FCD" w:rsidP="00A8048F">
      <w:pPr>
        <w:pStyle w:val="NoSpacing"/>
        <w:spacing w:before="5" w:after="5" w:line="360" w:lineRule="auto"/>
        <w:ind w:left="720"/>
        <w:jc w:val="both"/>
        <w:rPr>
          <w:rFonts w:cs="Arial"/>
          <w:szCs w:val="24"/>
          <w:shd w:val="clear" w:color="auto" w:fill="FFFFFF"/>
        </w:rPr>
      </w:pPr>
      <w:r w:rsidRPr="0043704E">
        <w:rPr>
          <w:rFonts w:cs="Arial"/>
          <w:szCs w:val="24"/>
          <w:shd w:val="clear" w:color="auto" w:fill="FFFFFF"/>
        </w:rPr>
        <w:t>As for transport, perhaps we will all be riding in driverless cars in 50 years, although I find that a terrifying thought. “Who will help us in and out?</w:t>
      </w:r>
      <w:r w:rsidR="00994A28" w:rsidRPr="0043704E">
        <w:rPr>
          <w:rFonts w:cs="Arial"/>
          <w:szCs w:val="24"/>
          <w:shd w:val="clear" w:color="auto" w:fill="FFFFFF"/>
        </w:rPr>
        <w:t>”</w:t>
      </w:r>
      <w:r w:rsidRPr="0043704E">
        <w:rPr>
          <w:rFonts w:cs="Arial"/>
          <w:szCs w:val="24"/>
          <w:shd w:val="clear" w:color="auto" w:fill="FFFFFF"/>
        </w:rPr>
        <w:t xml:space="preserve"> I wonder.</w:t>
      </w:r>
      <w:r w:rsidR="00994A28" w:rsidRPr="0043704E">
        <w:rPr>
          <w:rStyle w:val="FootnoteReference"/>
          <w:rFonts w:cs="Arial"/>
          <w:szCs w:val="24"/>
          <w:shd w:val="clear" w:color="auto" w:fill="FFFFFF"/>
        </w:rPr>
        <w:footnoteReference w:id="65"/>
      </w:r>
    </w:p>
    <w:p w14:paraId="0B3B3BF8" w14:textId="77777777" w:rsidR="00A8048F" w:rsidRPr="0043704E" w:rsidRDefault="00A8048F" w:rsidP="00A8048F">
      <w:pPr>
        <w:pStyle w:val="NoSpacing"/>
        <w:spacing w:before="5" w:after="5" w:line="360" w:lineRule="auto"/>
        <w:jc w:val="both"/>
        <w:rPr>
          <w:rFonts w:cs="Arial"/>
          <w:szCs w:val="24"/>
          <w:shd w:val="clear" w:color="auto" w:fill="FFFFFF"/>
        </w:rPr>
      </w:pPr>
    </w:p>
    <w:p w14:paraId="749A9188" w14:textId="55B857E3" w:rsidR="002757B0" w:rsidRDefault="00142832" w:rsidP="00A8048F">
      <w:pPr>
        <w:pStyle w:val="NoSpacing"/>
        <w:numPr>
          <w:ilvl w:val="0"/>
          <w:numId w:val="12"/>
        </w:numPr>
        <w:spacing w:before="5" w:after="5" w:line="360" w:lineRule="auto"/>
        <w:jc w:val="both"/>
        <w:rPr>
          <w:rFonts w:cs="Arial"/>
          <w:szCs w:val="24"/>
        </w:rPr>
      </w:pPr>
      <w:r w:rsidRPr="0043704E">
        <w:rPr>
          <w:rFonts w:cs="Arial"/>
          <w:szCs w:val="24"/>
        </w:rPr>
        <w:t>In order for this opportunity to be maximised,</w:t>
      </w:r>
      <w:r w:rsidR="008C7FCD" w:rsidRPr="0043704E">
        <w:rPr>
          <w:rFonts w:cs="Arial"/>
          <w:szCs w:val="24"/>
        </w:rPr>
        <w:t xml:space="preserve"> and the risks to be minimised,</w:t>
      </w:r>
      <w:r w:rsidRPr="0043704E">
        <w:rPr>
          <w:rFonts w:cs="Arial"/>
          <w:szCs w:val="24"/>
        </w:rPr>
        <w:t xml:space="preserve"> </w:t>
      </w:r>
      <w:r w:rsidR="00994A28" w:rsidRPr="0043704E">
        <w:rPr>
          <w:rFonts w:cs="Arial"/>
          <w:szCs w:val="24"/>
        </w:rPr>
        <w:t xml:space="preserve">we think that </w:t>
      </w:r>
      <w:r w:rsidRPr="0043704E">
        <w:rPr>
          <w:rFonts w:cs="Arial"/>
          <w:szCs w:val="24"/>
        </w:rPr>
        <w:t>n</w:t>
      </w:r>
      <w:r w:rsidR="003821DC" w:rsidRPr="0043704E">
        <w:rPr>
          <w:rFonts w:cs="Arial"/>
          <w:szCs w:val="24"/>
        </w:rPr>
        <w:t xml:space="preserve">ational </w:t>
      </w:r>
      <w:r w:rsidR="00547A94" w:rsidRPr="0043704E">
        <w:rPr>
          <w:rFonts w:cs="Arial"/>
          <w:szCs w:val="24"/>
        </w:rPr>
        <w:t>minimum standards on accessibility</w:t>
      </w:r>
      <w:r w:rsidR="00F47376" w:rsidRPr="0043704E">
        <w:rPr>
          <w:rFonts w:cs="Arial"/>
          <w:szCs w:val="24"/>
        </w:rPr>
        <w:t xml:space="preserve"> are </w:t>
      </w:r>
      <w:r w:rsidRPr="0043704E">
        <w:rPr>
          <w:rFonts w:cs="Arial"/>
          <w:szCs w:val="24"/>
        </w:rPr>
        <w:t>essential in order t</w:t>
      </w:r>
      <w:r w:rsidR="00F47376" w:rsidRPr="0043704E">
        <w:rPr>
          <w:rFonts w:cs="Arial"/>
          <w:szCs w:val="24"/>
        </w:rPr>
        <w:t xml:space="preserve">o </w:t>
      </w:r>
      <w:r w:rsidR="00FD6692" w:rsidRPr="0043704E">
        <w:rPr>
          <w:rFonts w:cs="Arial"/>
          <w:szCs w:val="24"/>
        </w:rPr>
        <w:t>embed</w:t>
      </w:r>
      <w:r w:rsidR="00547A94" w:rsidRPr="0043704E">
        <w:rPr>
          <w:rFonts w:cs="Arial"/>
          <w:szCs w:val="24"/>
        </w:rPr>
        <w:t xml:space="preserve"> principles of inclusive desi</w:t>
      </w:r>
      <w:r w:rsidRPr="0043704E">
        <w:rPr>
          <w:rFonts w:cs="Arial"/>
          <w:szCs w:val="24"/>
        </w:rPr>
        <w:t xml:space="preserve">gn throughout the HARPS network. The standards should aim to remove </w:t>
      </w:r>
      <w:r w:rsidR="00547A94" w:rsidRPr="0043704E">
        <w:rPr>
          <w:rFonts w:cs="Arial"/>
          <w:szCs w:val="24"/>
        </w:rPr>
        <w:t xml:space="preserve">the barriers across the whole journey experience for disabled </w:t>
      </w:r>
      <w:r w:rsidR="00F47376" w:rsidRPr="0043704E">
        <w:rPr>
          <w:rFonts w:cs="Arial"/>
          <w:szCs w:val="24"/>
        </w:rPr>
        <w:t>passengers</w:t>
      </w:r>
      <w:r w:rsidR="00547A94" w:rsidRPr="0043704E">
        <w:rPr>
          <w:rFonts w:cs="Arial"/>
          <w:szCs w:val="24"/>
        </w:rPr>
        <w:t xml:space="preserve">. </w:t>
      </w:r>
    </w:p>
    <w:p w14:paraId="1C108478" w14:textId="77777777" w:rsidR="00A8048F" w:rsidRPr="0043704E" w:rsidRDefault="00A8048F" w:rsidP="00A8048F">
      <w:pPr>
        <w:pStyle w:val="NoSpacing"/>
        <w:spacing w:before="5" w:after="5" w:line="360" w:lineRule="auto"/>
        <w:ind w:left="360"/>
        <w:jc w:val="both"/>
        <w:rPr>
          <w:rFonts w:cs="Arial"/>
          <w:szCs w:val="24"/>
        </w:rPr>
      </w:pPr>
    </w:p>
    <w:p w14:paraId="1B9B9A26" w14:textId="7F8DFDF6" w:rsidR="002757B0" w:rsidRDefault="002757B0" w:rsidP="00A8048F">
      <w:pPr>
        <w:pStyle w:val="NoSpacing"/>
        <w:numPr>
          <w:ilvl w:val="0"/>
          <w:numId w:val="12"/>
        </w:numPr>
        <w:spacing w:before="5" w:after="5" w:line="360" w:lineRule="auto"/>
        <w:jc w:val="both"/>
        <w:rPr>
          <w:rFonts w:cs="Arial"/>
          <w:szCs w:val="24"/>
        </w:rPr>
      </w:pPr>
      <w:r w:rsidRPr="0043704E">
        <w:rPr>
          <w:rFonts w:cs="Arial"/>
          <w:szCs w:val="24"/>
        </w:rPr>
        <w:t>Scope have written</w:t>
      </w:r>
      <w:r w:rsidR="00BF43CD" w:rsidRPr="0043704E">
        <w:rPr>
          <w:rFonts w:cs="Arial"/>
          <w:szCs w:val="24"/>
        </w:rPr>
        <w:t xml:space="preserve"> that, in order to reform</w:t>
      </w:r>
      <w:r w:rsidRPr="0043704E">
        <w:rPr>
          <w:rFonts w:cs="Arial"/>
          <w:szCs w:val="24"/>
        </w:rPr>
        <w:t xml:space="preserve"> transport to enable more disabled people to live independent, connected and confident lives: </w:t>
      </w:r>
    </w:p>
    <w:p w14:paraId="0554BD5B" w14:textId="31C84D2B" w:rsidR="00A8048F" w:rsidRPr="0043704E" w:rsidRDefault="00A8048F" w:rsidP="00A8048F">
      <w:pPr>
        <w:pStyle w:val="NoSpacing"/>
        <w:spacing w:before="5" w:after="5" w:line="360" w:lineRule="auto"/>
        <w:jc w:val="both"/>
        <w:rPr>
          <w:rFonts w:cs="Arial"/>
          <w:szCs w:val="24"/>
        </w:rPr>
      </w:pPr>
    </w:p>
    <w:p w14:paraId="00583B99" w14:textId="1A0E84BC" w:rsidR="002757B0" w:rsidRDefault="002757B0" w:rsidP="00A8048F">
      <w:pPr>
        <w:pStyle w:val="NoSpacing"/>
        <w:spacing w:before="5" w:after="5" w:line="360" w:lineRule="auto"/>
        <w:ind w:left="720"/>
        <w:jc w:val="both"/>
        <w:rPr>
          <w:rFonts w:cs="Arial"/>
          <w:szCs w:val="24"/>
        </w:rPr>
      </w:pPr>
      <w:r w:rsidRPr="0043704E">
        <w:rPr>
          <w:rFonts w:cs="Arial"/>
          <w:szCs w:val="24"/>
        </w:rPr>
        <w:lastRenderedPageBreak/>
        <w:t>…w</w:t>
      </w:r>
      <w:r w:rsidRPr="0043704E">
        <w:t>hat is required is a commitment from those running the transport system to putting inclusivity at the forefront of their decisions.”</w:t>
      </w:r>
      <w:r w:rsidRPr="0043704E">
        <w:rPr>
          <w:rStyle w:val="FootnoteReference"/>
        </w:rPr>
        <w:footnoteReference w:id="66"/>
      </w:r>
      <w:r w:rsidRPr="0043704E">
        <w:rPr>
          <w:rFonts w:cs="Arial"/>
          <w:szCs w:val="24"/>
        </w:rPr>
        <w:t xml:space="preserve"> </w:t>
      </w:r>
    </w:p>
    <w:p w14:paraId="3A06DBDE" w14:textId="77777777" w:rsidR="00A8048F" w:rsidRPr="0043704E" w:rsidRDefault="00A8048F" w:rsidP="00A8048F">
      <w:pPr>
        <w:pStyle w:val="NoSpacing"/>
        <w:spacing w:before="5" w:after="5" w:line="360" w:lineRule="auto"/>
        <w:jc w:val="both"/>
        <w:rPr>
          <w:rFonts w:cs="Arial"/>
          <w:szCs w:val="24"/>
        </w:rPr>
      </w:pPr>
    </w:p>
    <w:p w14:paraId="429377D8" w14:textId="6BDCEADF" w:rsidR="00C145DE" w:rsidRPr="00C145DE" w:rsidRDefault="009C54D3" w:rsidP="00C145DE">
      <w:pPr>
        <w:pStyle w:val="NoSpacing"/>
        <w:numPr>
          <w:ilvl w:val="0"/>
          <w:numId w:val="12"/>
        </w:numPr>
        <w:spacing w:before="5" w:after="5" w:line="360" w:lineRule="auto"/>
        <w:jc w:val="both"/>
        <w:rPr>
          <w:rFonts w:cs="Arial"/>
          <w:szCs w:val="24"/>
        </w:rPr>
      </w:pPr>
      <w:r w:rsidRPr="00C145DE">
        <w:rPr>
          <w:rFonts w:cs="Arial"/>
          <w:szCs w:val="24"/>
        </w:rPr>
        <w:t>We think that a</w:t>
      </w:r>
      <w:r w:rsidR="00BF43CD" w:rsidRPr="00C145DE">
        <w:rPr>
          <w:rFonts w:cs="Arial"/>
          <w:szCs w:val="24"/>
        </w:rPr>
        <w:t xml:space="preserve"> requirement</w:t>
      </w:r>
      <w:r w:rsidR="002757B0" w:rsidRPr="00C145DE">
        <w:rPr>
          <w:rFonts w:cs="Arial"/>
          <w:szCs w:val="24"/>
        </w:rPr>
        <w:t xml:space="preserve"> to </w:t>
      </w:r>
      <w:r w:rsidR="00250ED5" w:rsidRPr="00C145DE">
        <w:rPr>
          <w:rFonts w:cs="Arial"/>
          <w:szCs w:val="24"/>
        </w:rPr>
        <w:t xml:space="preserve">introduce </w:t>
      </w:r>
      <w:r w:rsidR="002757B0" w:rsidRPr="00C145DE">
        <w:rPr>
          <w:rFonts w:cs="Arial"/>
          <w:szCs w:val="24"/>
        </w:rPr>
        <w:t xml:space="preserve">accessibility regulations would demonstrate both </w:t>
      </w:r>
      <w:r w:rsidR="00AB699D" w:rsidRPr="00C145DE">
        <w:rPr>
          <w:rFonts w:cs="Arial"/>
          <w:szCs w:val="24"/>
        </w:rPr>
        <w:t xml:space="preserve">governments’ </w:t>
      </w:r>
      <w:r w:rsidR="0043704E" w:rsidRPr="00C145DE">
        <w:rPr>
          <w:rFonts w:cs="Arial"/>
          <w:szCs w:val="24"/>
        </w:rPr>
        <w:t>and industry’s</w:t>
      </w:r>
      <w:r w:rsidR="002757B0" w:rsidRPr="00C145DE">
        <w:rPr>
          <w:rFonts w:cs="Arial"/>
          <w:szCs w:val="24"/>
        </w:rPr>
        <w:t xml:space="preserve"> desire to fulfil this </w:t>
      </w:r>
      <w:r w:rsidR="00BF43CD" w:rsidRPr="00C145DE">
        <w:rPr>
          <w:rFonts w:cs="Arial"/>
          <w:szCs w:val="24"/>
        </w:rPr>
        <w:t>important commitment</w:t>
      </w:r>
      <w:r w:rsidR="00F036B4" w:rsidRPr="00C145DE">
        <w:rPr>
          <w:rFonts w:cs="Arial"/>
          <w:szCs w:val="24"/>
        </w:rPr>
        <w:t xml:space="preserve">, and </w:t>
      </w:r>
      <w:r w:rsidR="00A47F04" w:rsidRPr="00C145DE">
        <w:rPr>
          <w:rFonts w:cs="Arial"/>
          <w:szCs w:val="24"/>
        </w:rPr>
        <w:t>would align with</w:t>
      </w:r>
      <w:r w:rsidR="00C145DE" w:rsidRPr="00C145DE">
        <w:rPr>
          <w:rFonts w:cs="Arial"/>
          <w:szCs w:val="24"/>
        </w:rPr>
        <w:t xml:space="preserve"> the</w:t>
      </w:r>
      <w:r w:rsidR="00C145DE">
        <w:rPr>
          <w:rFonts w:cs="Arial"/>
          <w:szCs w:val="24"/>
        </w:rPr>
        <w:t xml:space="preserve"> </w:t>
      </w:r>
      <w:r w:rsidR="00C145DE" w:rsidRPr="0043704E">
        <w:rPr>
          <w:rFonts w:cs="Arial"/>
          <w:szCs w:val="24"/>
        </w:rPr>
        <w:t>legal obligations under the PSED</w:t>
      </w:r>
      <w:r w:rsidR="00C145DE">
        <w:rPr>
          <w:rFonts w:cs="Arial"/>
          <w:szCs w:val="24"/>
        </w:rPr>
        <w:t xml:space="preserve"> for </w:t>
      </w:r>
      <w:r w:rsidR="00A8048F" w:rsidRPr="00C145DE">
        <w:rPr>
          <w:rFonts w:cs="Arial"/>
          <w:szCs w:val="24"/>
        </w:rPr>
        <w:t>g</w:t>
      </w:r>
      <w:r w:rsidR="002D1792" w:rsidRPr="00C145DE">
        <w:rPr>
          <w:rFonts w:cs="Arial"/>
          <w:szCs w:val="24"/>
        </w:rPr>
        <w:t>overnment</w:t>
      </w:r>
      <w:r w:rsidR="00A8048F" w:rsidRPr="00C145DE">
        <w:rPr>
          <w:rFonts w:cs="Arial"/>
          <w:szCs w:val="24"/>
        </w:rPr>
        <w:t xml:space="preserve">s across Great Britain </w:t>
      </w:r>
    </w:p>
    <w:p w14:paraId="516150CE" w14:textId="77777777" w:rsidR="00C145DE" w:rsidRPr="00C145DE" w:rsidRDefault="00C145DE" w:rsidP="00C145DE">
      <w:pPr>
        <w:pStyle w:val="NoSpacing"/>
        <w:spacing w:before="5" w:after="5" w:line="360" w:lineRule="auto"/>
        <w:ind w:left="360"/>
        <w:jc w:val="both"/>
        <w:rPr>
          <w:rFonts w:cs="Arial"/>
          <w:szCs w:val="24"/>
        </w:rPr>
      </w:pPr>
    </w:p>
    <w:p w14:paraId="5D0EBE45" w14:textId="2C5E9B2B" w:rsidR="007F0623" w:rsidRDefault="007F0623" w:rsidP="00A8048F">
      <w:pPr>
        <w:pStyle w:val="NoSpacing"/>
        <w:numPr>
          <w:ilvl w:val="0"/>
          <w:numId w:val="12"/>
        </w:numPr>
        <w:spacing w:before="5" w:after="5" w:line="360" w:lineRule="auto"/>
        <w:jc w:val="both"/>
        <w:rPr>
          <w:rFonts w:cs="Arial"/>
          <w:szCs w:val="24"/>
        </w:rPr>
      </w:pPr>
      <w:r w:rsidRPr="0043704E">
        <w:rPr>
          <w:rFonts w:cs="Arial"/>
          <w:szCs w:val="24"/>
        </w:rPr>
        <w:t xml:space="preserve">The time to create these standards is now, before the mass roll-out of HARPS, and the associated infrastructure, has begun. As DPTAC rightly note: </w:t>
      </w:r>
    </w:p>
    <w:p w14:paraId="44739D9B" w14:textId="31DF4DCD" w:rsidR="00A8048F" w:rsidRPr="0043704E" w:rsidRDefault="00A8048F" w:rsidP="00A8048F">
      <w:pPr>
        <w:pStyle w:val="NoSpacing"/>
        <w:spacing w:before="5" w:after="5" w:line="360" w:lineRule="auto"/>
        <w:jc w:val="both"/>
        <w:rPr>
          <w:rFonts w:cs="Arial"/>
          <w:szCs w:val="24"/>
        </w:rPr>
      </w:pPr>
    </w:p>
    <w:p w14:paraId="06764C83" w14:textId="0D839994" w:rsidR="00A8048F" w:rsidRDefault="007F0623" w:rsidP="00A8048F">
      <w:pPr>
        <w:pStyle w:val="NoSpacing"/>
        <w:spacing w:before="5" w:after="5" w:line="360" w:lineRule="auto"/>
        <w:ind w:left="720"/>
        <w:jc w:val="both"/>
        <w:rPr>
          <w:rFonts w:cs="Arial"/>
          <w:szCs w:val="24"/>
        </w:rPr>
      </w:pPr>
      <w:r w:rsidRPr="0043704E">
        <w:rPr>
          <w:rFonts w:cs="Arial"/>
          <w:szCs w:val="24"/>
        </w:rPr>
        <w:t>In transport, where infrastructure lasts 100 years and vehicles 20 or more, producing something which excludes disabled people has a lasting negative impact.</w:t>
      </w:r>
      <w:r w:rsidR="00947EC4" w:rsidRPr="0043704E">
        <w:rPr>
          <w:rStyle w:val="FootnoteReference"/>
          <w:rFonts w:cs="Arial"/>
          <w:szCs w:val="24"/>
        </w:rPr>
        <w:footnoteReference w:id="67"/>
      </w:r>
    </w:p>
    <w:p w14:paraId="0CA76E01" w14:textId="77777777" w:rsidR="00A8048F" w:rsidRPr="0043704E" w:rsidRDefault="00A8048F" w:rsidP="00A8048F">
      <w:pPr>
        <w:pStyle w:val="NoSpacing"/>
        <w:spacing w:before="5" w:after="5" w:line="360" w:lineRule="auto"/>
        <w:ind w:left="720"/>
        <w:jc w:val="both"/>
        <w:rPr>
          <w:rFonts w:cs="Arial"/>
          <w:szCs w:val="24"/>
        </w:rPr>
      </w:pPr>
    </w:p>
    <w:p w14:paraId="4AD3E42E" w14:textId="4E83BF64" w:rsidR="00947EC4" w:rsidRDefault="006B2FE1" w:rsidP="00A8048F">
      <w:pPr>
        <w:pStyle w:val="NoSpacing"/>
        <w:numPr>
          <w:ilvl w:val="0"/>
          <w:numId w:val="12"/>
        </w:numPr>
        <w:spacing w:before="5" w:after="5" w:line="360" w:lineRule="auto"/>
        <w:jc w:val="both"/>
        <w:rPr>
          <w:rFonts w:cs="Arial"/>
          <w:szCs w:val="24"/>
        </w:rPr>
      </w:pPr>
      <w:r w:rsidRPr="0043704E">
        <w:rPr>
          <w:rFonts w:cs="Arial"/>
          <w:szCs w:val="24"/>
        </w:rPr>
        <w:t xml:space="preserve">The </w:t>
      </w:r>
      <w:r w:rsidR="00437BC1" w:rsidRPr="0043704E">
        <w:rPr>
          <w:rFonts w:cs="Arial"/>
          <w:szCs w:val="24"/>
        </w:rPr>
        <w:t>obligation of ensuring</w:t>
      </w:r>
      <w:r w:rsidRPr="0043704E">
        <w:rPr>
          <w:rFonts w:cs="Arial"/>
          <w:szCs w:val="24"/>
        </w:rPr>
        <w:t xml:space="preserve"> that </w:t>
      </w:r>
      <w:r w:rsidRPr="0043704E">
        <w:rPr>
          <w:rFonts w:cs="Arial"/>
          <w:i/>
          <w:szCs w:val="24"/>
        </w:rPr>
        <w:t xml:space="preserve">new </w:t>
      </w:r>
      <w:r w:rsidR="00336146" w:rsidRPr="0043704E">
        <w:rPr>
          <w:rFonts w:cs="Arial"/>
          <w:szCs w:val="24"/>
        </w:rPr>
        <w:t>vehicles and infrastructure</w:t>
      </w:r>
      <w:r w:rsidRPr="0043704E">
        <w:rPr>
          <w:rFonts w:cs="Arial"/>
          <w:szCs w:val="24"/>
        </w:rPr>
        <w:t xml:space="preserve"> are accessible </w:t>
      </w:r>
      <w:r w:rsidR="002137C3" w:rsidRPr="0043704E">
        <w:rPr>
          <w:rFonts w:cs="Arial"/>
          <w:szCs w:val="24"/>
        </w:rPr>
        <w:t>(in contrast to retrofitting</w:t>
      </w:r>
      <w:r w:rsidR="00336146" w:rsidRPr="0043704E">
        <w:rPr>
          <w:rFonts w:cs="Arial"/>
          <w:szCs w:val="24"/>
        </w:rPr>
        <w:t xml:space="preserve"> existing vehicles and infrastructure</w:t>
      </w:r>
      <w:r w:rsidR="002137C3" w:rsidRPr="0043704E">
        <w:rPr>
          <w:rFonts w:cs="Arial"/>
          <w:szCs w:val="24"/>
        </w:rPr>
        <w:t xml:space="preserve">) </w:t>
      </w:r>
      <w:r w:rsidRPr="0043704E">
        <w:rPr>
          <w:rFonts w:cs="Arial"/>
          <w:szCs w:val="24"/>
        </w:rPr>
        <w:t>is also</w:t>
      </w:r>
      <w:r w:rsidR="00B51516" w:rsidRPr="0043704E">
        <w:rPr>
          <w:rFonts w:cs="Arial"/>
          <w:szCs w:val="24"/>
        </w:rPr>
        <w:t xml:space="preserve"> required under the UNCRPD. T</w:t>
      </w:r>
      <w:r w:rsidR="007F0623" w:rsidRPr="0043704E">
        <w:rPr>
          <w:rFonts w:cs="Arial"/>
          <w:szCs w:val="24"/>
        </w:rPr>
        <w:t>he CPRD Committee</w:t>
      </w:r>
      <w:r w:rsidR="00B51516" w:rsidRPr="0043704E">
        <w:rPr>
          <w:rFonts w:cs="Arial"/>
          <w:szCs w:val="24"/>
        </w:rPr>
        <w:t xml:space="preserve"> noted that:</w:t>
      </w:r>
    </w:p>
    <w:p w14:paraId="2F522E27" w14:textId="77777777" w:rsidR="00A8048F" w:rsidRPr="0043704E" w:rsidRDefault="00A8048F" w:rsidP="00A8048F">
      <w:pPr>
        <w:pStyle w:val="NoSpacing"/>
        <w:spacing w:before="5" w:after="5" w:line="360" w:lineRule="auto"/>
        <w:ind w:left="360"/>
        <w:jc w:val="both"/>
        <w:rPr>
          <w:rFonts w:cs="Arial"/>
          <w:szCs w:val="24"/>
        </w:rPr>
      </w:pPr>
    </w:p>
    <w:p w14:paraId="6C20C401" w14:textId="70FBA69D" w:rsidR="00947EC4" w:rsidRDefault="006B2FE1" w:rsidP="00A8048F">
      <w:pPr>
        <w:pStyle w:val="NoSpacing"/>
        <w:spacing w:before="5" w:after="5" w:line="360" w:lineRule="auto"/>
        <w:ind w:left="720"/>
        <w:jc w:val="both"/>
        <w:rPr>
          <w:rFonts w:cs="Arial"/>
          <w:szCs w:val="24"/>
        </w:rPr>
      </w:pPr>
      <w:r w:rsidRPr="0043704E">
        <w:rPr>
          <w:rFonts w:cs="Arial"/>
          <w:szCs w:val="24"/>
        </w:rPr>
        <w:t xml:space="preserve">A </w:t>
      </w:r>
      <w:r w:rsidR="007F0623" w:rsidRPr="0043704E">
        <w:rPr>
          <w:rFonts w:cs="Arial"/>
          <w:szCs w:val="24"/>
        </w:rPr>
        <w:t xml:space="preserve">clear distinction should be drawn between </w:t>
      </w:r>
      <w:r w:rsidR="002137C3" w:rsidRPr="0043704E">
        <w:rPr>
          <w:rFonts w:cs="Arial"/>
          <w:szCs w:val="24"/>
        </w:rPr>
        <w:t xml:space="preserve">[(1)] </w:t>
      </w:r>
      <w:r w:rsidR="007F0623" w:rsidRPr="0043704E">
        <w:rPr>
          <w:rFonts w:cs="Arial"/>
          <w:szCs w:val="24"/>
        </w:rPr>
        <w:t xml:space="preserve">the obligation to ensure access </w:t>
      </w:r>
      <w:r w:rsidR="00BF43CD" w:rsidRPr="0043704E">
        <w:rPr>
          <w:rFonts w:cs="Arial"/>
          <w:szCs w:val="24"/>
        </w:rPr>
        <w:t xml:space="preserve">[by disabled people] </w:t>
      </w:r>
      <w:r w:rsidR="007F0623" w:rsidRPr="0043704E">
        <w:rPr>
          <w:rFonts w:cs="Arial"/>
          <w:szCs w:val="24"/>
        </w:rPr>
        <w:t>to all newly designed, built or produced objects, infrastructure, goods, products and services and</w:t>
      </w:r>
      <w:r w:rsidR="002137C3" w:rsidRPr="0043704E">
        <w:rPr>
          <w:rFonts w:cs="Arial"/>
          <w:szCs w:val="24"/>
        </w:rPr>
        <w:t xml:space="preserve"> [(2)]</w:t>
      </w:r>
      <w:r w:rsidR="007F0623" w:rsidRPr="0043704E">
        <w:rPr>
          <w:rFonts w:cs="Arial"/>
          <w:szCs w:val="24"/>
        </w:rPr>
        <w:t xml:space="preserve"> the obligation to remove barriers and ensure access</w:t>
      </w:r>
      <w:r w:rsidR="00BF43CD" w:rsidRPr="0043704E">
        <w:rPr>
          <w:rFonts w:cs="Arial"/>
          <w:szCs w:val="24"/>
        </w:rPr>
        <w:t xml:space="preserve"> [to disabled people]</w:t>
      </w:r>
      <w:r w:rsidR="007F0623" w:rsidRPr="0043704E">
        <w:rPr>
          <w:rFonts w:cs="Arial"/>
          <w:szCs w:val="24"/>
        </w:rPr>
        <w:t xml:space="preserve"> to the existing physical environment and existing transportation, information and communication, and services open to the general public.</w:t>
      </w:r>
      <w:r w:rsidR="006D21D5" w:rsidRPr="0043704E">
        <w:rPr>
          <w:rStyle w:val="FootnoteReference"/>
          <w:rFonts w:cs="Arial"/>
          <w:szCs w:val="24"/>
        </w:rPr>
        <w:footnoteReference w:id="68"/>
      </w:r>
    </w:p>
    <w:p w14:paraId="0133CF19" w14:textId="77777777" w:rsidR="00A8048F" w:rsidRPr="0043704E" w:rsidRDefault="00A8048F" w:rsidP="00A8048F">
      <w:pPr>
        <w:pStyle w:val="NoSpacing"/>
        <w:spacing w:before="5" w:after="5" w:line="360" w:lineRule="auto"/>
        <w:ind w:left="720"/>
        <w:jc w:val="both"/>
        <w:rPr>
          <w:rFonts w:cs="Arial"/>
          <w:szCs w:val="24"/>
        </w:rPr>
      </w:pPr>
    </w:p>
    <w:p w14:paraId="24DED0FE" w14:textId="46C15C09" w:rsidR="006D21D5" w:rsidRPr="00A8048F" w:rsidRDefault="006D21D5" w:rsidP="00A8048F">
      <w:pPr>
        <w:pStyle w:val="NoSpacing"/>
        <w:numPr>
          <w:ilvl w:val="0"/>
          <w:numId w:val="12"/>
        </w:numPr>
        <w:spacing w:before="5" w:after="5" w:line="360" w:lineRule="auto"/>
        <w:jc w:val="both"/>
        <w:rPr>
          <w:rFonts w:cs="Arial"/>
          <w:b/>
          <w:szCs w:val="24"/>
        </w:rPr>
      </w:pPr>
      <w:r w:rsidRPr="0043704E">
        <w:rPr>
          <w:rFonts w:cs="Arial"/>
          <w:szCs w:val="24"/>
        </w:rPr>
        <w:t>We believe that the best way to ensure this</w:t>
      </w:r>
      <w:r w:rsidR="002137C3" w:rsidRPr="0043704E">
        <w:rPr>
          <w:rFonts w:cs="Arial"/>
          <w:szCs w:val="24"/>
        </w:rPr>
        <w:t xml:space="preserve"> </w:t>
      </w:r>
      <w:r w:rsidR="00B51516" w:rsidRPr="0043704E">
        <w:rPr>
          <w:rFonts w:cs="Arial"/>
          <w:szCs w:val="24"/>
        </w:rPr>
        <w:t>obligation</w:t>
      </w:r>
      <w:r w:rsidR="002137C3" w:rsidRPr="0043704E">
        <w:rPr>
          <w:rFonts w:cs="Arial"/>
          <w:szCs w:val="24"/>
        </w:rPr>
        <w:t xml:space="preserve"> is met </w:t>
      </w:r>
      <w:r w:rsidRPr="0043704E">
        <w:rPr>
          <w:rFonts w:cs="Arial"/>
          <w:szCs w:val="24"/>
        </w:rPr>
        <w:t xml:space="preserve">is through </w:t>
      </w:r>
      <w:r w:rsidR="002137C3" w:rsidRPr="0043704E">
        <w:rPr>
          <w:rFonts w:cs="Arial"/>
          <w:szCs w:val="24"/>
        </w:rPr>
        <w:t xml:space="preserve">the adoption </w:t>
      </w:r>
      <w:r w:rsidR="00336146" w:rsidRPr="0043704E">
        <w:rPr>
          <w:rFonts w:cs="Arial"/>
          <w:szCs w:val="24"/>
        </w:rPr>
        <w:t xml:space="preserve">of </w:t>
      </w:r>
      <w:r w:rsidRPr="0043704E">
        <w:rPr>
          <w:rFonts w:cs="Arial"/>
          <w:szCs w:val="24"/>
        </w:rPr>
        <w:t>new national minimum accessibility standards.</w:t>
      </w:r>
      <w:r w:rsidR="00691862" w:rsidRPr="0043704E">
        <w:rPr>
          <w:rFonts w:cs="Arial"/>
          <w:szCs w:val="24"/>
        </w:rPr>
        <w:t xml:space="preserve"> This will ensure uniformity.</w:t>
      </w:r>
      <w:r w:rsidRPr="0043704E">
        <w:rPr>
          <w:rFonts w:cs="Arial"/>
          <w:szCs w:val="24"/>
        </w:rPr>
        <w:t xml:space="preserve"> Indeed</w:t>
      </w:r>
      <w:r w:rsidR="00437BC1" w:rsidRPr="0043704E">
        <w:rPr>
          <w:rFonts w:cs="Arial"/>
          <w:szCs w:val="24"/>
        </w:rPr>
        <w:t>,</w:t>
      </w:r>
      <w:r w:rsidRPr="0043704E">
        <w:rPr>
          <w:rFonts w:cs="Arial"/>
          <w:szCs w:val="24"/>
        </w:rPr>
        <w:t xml:space="preserve"> this </w:t>
      </w:r>
      <w:r w:rsidR="00437BC1" w:rsidRPr="0043704E">
        <w:rPr>
          <w:rFonts w:cs="Arial"/>
          <w:szCs w:val="24"/>
        </w:rPr>
        <w:t xml:space="preserve">is also the </w:t>
      </w:r>
      <w:r w:rsidR="002137C3" w:rsidRPr="0043704E">
        <w:rPr>
          <w:rFonts w:cs="Arial"/>
          <w:szCs w:val="24"/>
        </w:rPr>
        <w:t xml:space="preserve">view </w:t>
      </w:r>
      <w:r w:rsidRPr="0043704E">
        <w:rPr>
          <w:rFonts w:cs="Arial"/>
          <w:szCs w:val="24"/>
        </w:rPr>
        <w:t xml:space="preserve">endorsed by the CRPD Committee: </w:t>
      </w:r>
    </w:p>
    <w:p w14:paraId="02F49A9E" w14:textId="77777777" w:rsidR="00A8048F" w:rsidRPr="0043704E" w:rsidRDefault="00A8048F" w:rsidP="00A8048F">
      <w:pPr>
        <w:pStyle w:val="NoSpacing"/>
        <w:spacing w:before="5" w:after="5" w:line="360" w:lineRule="auto"/>
        <w:ind w:left="360"/>
        <w:jc w:val="both"/>
        <w:rPr>
          <w:rFonts w:cs="Arial"/>
          <w:b/>
          <w:szCs w:val="24"/>
        </w:rPr>
      </w:pPr>
    </w:p>
    <w:p w14:paraId="5B24079F" w14:textId="7ED1974E" w:rsidR="00947EC4" w:rsidRDefault="00003F75" w:rsidP="00A8048F">
      <w:pPr>
        <w:pStyle w:val="NormalWeb"/>
        <w:spacing w:before="5" w:beforeAutospacing="0" w:after="5" w:afterAutospacing="0" w:line="360" w:lineRule="auto"/>
        <w:ind w:left="720"/>
        <w:jc w:val="both"/>
        <w:textAlignment w:val="baseline"/>
        <w:rPr>
          <w:rFonts w:ascii="Arial" w:hAnsi="Arial" w:cs="Arial"/>
        </w:rPr>
      </w:pPr>
      <w:r w:rsidRPr="0043704E">
        <w:rPr>
          <w:rFonts w:ascii="Arial" w:eastAsiaTheme="minorHAnsi" w:hAnsi="Arial" w:cs="Arial"/>
        </w:rPr>
        <w:t>States parties need to set accessibility standards</w:t>
      </w:r>
      <w:r w:rsidRPr="0043704E">
        <w:rPr>
          <w:rFonts w:ascii="Arial" w:hAnsi="Arial" w:cs="Arial"/>
        </w:rPr>
        <w:t xml:space="preserve"> … </w:t>
      </w:r>
      <w:r w:rsidR="006D21D5" w:rsidRPr="0043704E">
        <w:rPr>
          <w:rFonts w:ascii="Arial" w:hAnsi="Arial" w:cs="Arial"/>
        </w:rPr>
        <w:t>It is helpful to mainstream accessibility standards that prescribe various areas that have to be accessible, such as the physical environment in laws on construction and planning, transportation in laws on public aerial, railway, road and water transport, information and communication, and services open to the public …</w:t>
      </w:r>
      <w:r w:rsidR="00994A28" w:rsidRPr="0043704E">
        <w:rPr>
          <w:rFonts w:ascii="Arial" w:hAnsi="Arial" w:cs="Arial"/>
        </w:rPr>
        <w:t xml:space="preserve"> </w:t>
      </w:r>
      <w:r w:rsidR="006D21D5" w:rsidRPr="0043704E">
        <w:rPr>
          <w:rFonts w:ascii="Arial" w:hAnsi="Arial" w:cs="Arial"/>
        </w:rPr>
        <w:t>.</w:t>
      </w:r>
      <w:r w:rsidR="006D21D5" w:rsidRPr="0043704E">
        <w:rPr>
          <w:rStyle w:val="FootnoteReference"/>
          <w:rFonts w:ascii="Arial" w:eastAsia="Calibri" w:hAnsi="Arial" w:cs="Arial"/>
        </w:rPr>
        <w:footnoteReference w:id="69"/>
      </w:r>
    </w:p>
    <w:p w14:paraId="49A695E1" w14:textId="77777777" w:rsidR="00A8048F" w:rsidRPr="0043704E" w:rsidRDefault="00A8048F" w:rsidP="00A8048F">
      <w:pPr>
        <w:pStyle w:val="NormalWeb"/>
        <w:spacing w:before="5" w:beforeAutospacing="0" w:after="5" w:afterAutospacing="0" w:line="360" w:lineRule="auto"/>
        <w:jc w:val="both"/>
        <w:textAlignment w:val="baseline"/>
        <w:rPr>
          <w:rFonts w:ascii="Arial" w:hAnsi="Arial" w:cs="Arial"/>
        </w:rPr>
      </w:pPr>
    </w:p>
    <w:p w14:paraId="3218C8FF" w14:textId="62F0DD0F" w:rsidR="00D67E88" w:rsidRPr="0043704E" w:rsidRDefault="00D67E88" w:rsidP="00A8048F">
      <w:pPr>
        <w:pStyle w:val="NoSpacing"/>
        <w:numPr>
          <w:ilvl w:val="0"/>
          <w:numId w:val="12"/>
        </w:numPr>
        <w:spacing w:before="5" w:after="5" w:line="360" w:lineRule="auto"/>
        <w:jc w:val="both"/>
        <w:rPr>
          <w:rFonts w:cs="Arial"/>
          <w:szCs w:val="24"/>
        </w:rPr>
      </w:pPr>
      <w:r w:rsidRPr="0043704E">
        <w:rPr>
          <w:rFonts w:cs="Arial"/>
          <w:szCs w:val="24"/>
        </w:rPr>
        <w:t xml:space="preserve">We </w:t>
      </w:r>
      <w:r w:rsidR="00A40871" w:rsidRPr="0043704E">
        <w:rPr>
          <w:rFonts w:cs="Arial"/>
          <w:szCs w:val="24"/>
        </w:rPr>
        <w:t>believe that</w:t>
      </w:r>
      <w:r w:rsidRPr="0043704E">
        <w:rPr>
          <w:rFonts w:cs="Arial"/>
          <w:szCs w:val="24"/>
        </w:rPr>
        <w:t xml:space="preserve"> </w:t>
      </w:r>
      <w:r w:rsidR="00DE43CE" w:rsidRPr="0043704E">
        <w:rPr>
          <w:rFonts w:cs="Arial"/>
          <w:szCs w:val="24"/>
        </w:rPr>
        <w:t xml:space="preserve">solely </w:t>
      </w:r>
      <w:r w:rsidRPr="0043704E">
        <w:rPr>
          <w:rFonts w:cs="Arial"/>
          <w:szCs w:val="24"/>
        </w:rPr>
        <w:t xml:space="preserve">relying on the existing reasonable adjustments duty under the EA 2010 is </w:t>
      </w:r>
      <w:r w:rsidRPr="0043704E">
        <w:rPr>
          <w:rFonts w:cs="Arial"/>
          <w:szCs w:val="24"/>
          <w:u w:val="single"/>
        </w:rPr>
        <w:t>not</w:t>
      </w:r>
      <w:r w:rsidRPr="00C145DE">
        <w:rPr>
          <w:rFonts w:cs="Arial"/>
          <w:szCs w:val="24"/>
        </w:rPr>
        <w:t xml:space="preserve"> </w:t>
      </w:r>
      <w:r w:rsidRPr="0043704E">
        <w:rPr>
          <w:rFonts w:cs="Arial"/>
          <w:szCs w:val="24"/>
        </w:rPr>
        <w:t>sufficient to ensure that disabled people have equal access to HARPS</w:t>
      </w:r>
      <w:r w:rsidR="00A40871" w:rsidRPr="0043704E">
        <w:rPr>
          <w:rFonts w:cs="Arial"/>
          <w:szCs w:val="24"/>
        </w:rPr>
        <w:t xml:space="preserve"> for two reasons</w:t>
      </w:r>
      <w:r w:rsidRPr="0043704E">
        <w:rPr>
          <w:rFonts w:cs="Arial"/>
          <w:szCs w:val="24"/>
        </w:rPr>
        <w:t>:</w:t>
      </w:r>
    </w:p>
    <w:p w14:paraId="5C681219" w14:textId="170DE473" w:rsidR="00D67E88" w:rsidRPr="0043704E" w:rsidRDefault="0091520C" w:rsidP="00A8048F">
      <w:pPr>
        <w:pStyle w:val="NoSpacing"/>
        <w:numPr>
          <w:ilvl w:val="1"/>
          <w:numId w:val="12"/>
        </w:numPr>
        <w:spacing w:before="5" w:after="5" w:line="360" w:lineRule="auto"/>
        <w:jc w:val="both"/>
        <w:rPr>
          <w:rFonts w:cs="Arial"/>
          <w:szCs w:val="24"/>
        </w:rPr>
      </w:pPr>
      <w:r>
        <w:rPr>
          <w:rFonts w:cs="Arial"/>
          <w:szCs w:val="24"/>
        </w:rPr>
        <w:t xml:space="preserve">Paragraph 3 of </w:t>
      </w:r>
      <w:r w:rsidR="00D67E88" w:rsidRPr="0043704E">
        <w:rPr>
          <w:rFonts w:cs="Arial"/>
          <w:szCs w:val="24"/>
        </w:rPr>
        <w:t>Schedule 2</w:t>
      </w:r>
      <w:r w:rsidR="00C145DE">
        <w:rPr>
          <w:rFonts w:cs="Arial"/>
          <w:szCs w:val="24"/>
        </w:rPr>
        <w:t xml:space="preserve"> </w:t>
      </w:r>
      <w:r>
        <w:rPr>
          <w:rFonts w:cs="Arial"/>
          <w:szCs w:val="24"/>
        </w:rPr>
        <w:t>to</w:t>
      </w:r>
      <w:r w:rsidR="00D67E88" w:rsidRPr="0043704E">
        <w:rPr>
          <w:rFonts w:cs="Arial"/>
          <w:szCs w:val="24"/>
        </w:rPr>
        <w:t xml:space="preserve"> the EA 2010 states that</w:t>
      </w:r>
      <w:r w:rsidR="00A40871" w:rsidRPr="0043704E">
        <w:rPr>
          <w:rFonts w:cs="Arial"/>
          <w:szCs w:val="24"/>
        </w:rPr>
        <w:t>, in relation to the provision of a service which involves “transporting people by land, air or water,” it is “never reasonable for A [the service provider] to have to take a step which would involve the alteration or removal of a physical feature of a vehicle used in providing the service”</w:t>
      </w:r>
      <w:r w:rsidR="00D67E88" w:rsidRPr="0043704E">
        <w:rPr>
          <w:rFonts w:cs="Arial"/>
          <w:szCs w:val="24"/>
        </w:rPr>
        <w:t>.</w:t>
      </w:r>
      <w:r w:rsidR="00A40871" w:rsidRPr="0043704E">
        <w:rPr>
          <w:rStyle w:val="FootnoteReference"/>
          <w:rFonts w:cs="Arial"/>
          <w:szCs w:val="24"/>
        </w:rPr>
        <w:footnoteReference w:id="70"/>
      </w:r>
      <w:r w:rsidR="00D67E88" w:rsidRPr="0043704E">
        <w:rPr>
          <w:rFonts w:cs="Arial"/>
          <w:szCs w:val="24"/>
        </w:rPr>
        <w:t xml:space="preserve"> </w:t>
      </w:r>
      <w:r w:rsidR="00AC14DC" w:rsidRPr="0043704E">
        <w:rPr>
          <w:rFonts w:cs="Arial"/>
          <w:szCs w:val="24"/>
        </w:rPr>
        <w:t>In other words, in order to secure genuine accessibility, the legislative ‘lever’ needs to be national minimum accessibility standards, rather than reliance on the duty to make reasonable adjustments.</w:t>
      </w:r>
    </w:p>
    <w:p w14:paraId="67284295" w14:textId="5E343303" w:rsidR="00D67E88" w:rsidRDefault="00D67E88" w:rsidP="00A8048F">
      <w:pPr>
        <w:pStyle w:val="NoSpacing"/>
        <w:numPr>
          <w:ilvl w:val="1"/>
          <w:numId w:val="12"/>
        </w:numPr>
        <w:spacing w:before="5" w:after="5" w:line="360" w:lineRule="auto"/>
        <w:jc w:val="both"/>
        <w:rPr>
          <w:rFonts w:cs="Arial"/>
          <w:szCs w:val="24"/>
        </w:rPr>
      </w:pPr>
      <w:r w:rsidRPr="0043704E">
        <w:rPr>
          <w:rFonts w:cs="Arial"/>
          <w:szCs w:val="24"/>
        </w:rPr>
        <w:t xml:space="preserve">In our experience, transport providers do not always understand the concept of reasonable adjustments, </w:t>
      </w:r>
      <w:r w:rsidR="00AC14DC" w:rsidRPr="0043704E">
        <w:rPr>
          <w:rFonts w:cs="Arial"/>
          <w:szCs w:val="24"/>
        </w:rPr>
        <w:t xml:space="preserve">which can lead to inconsistency in </w:t>
      </w:r>
      <w:r w:rsidR="0091520C">
        <w:rPr>
          <w:rFonts w:cs="Arial"/>
          <w:szCs w:val="24"/>
        </w:rPr>
        <w:t>the</w:t>
      </w:r>
      <w:r w:rsidR="0091520C" w:rsidRPr="0043704E">
        <w:rPr>
          <w:rFonts w:cs="Arial"/>
          <w:szCs w:val="24"/>
        </w:rPr>
        <w:t xml:space="preserve"> </w:t>
      </w:r>
      <w:r w:rsidR="00AC14DC" w:rsidRPr="0043704E">
        <w:rPr>
          <w:rFonts w:cs="Arial"/>
          <w:szCs w:val="24"/>
        </w:rPr>
        <w:t>application</w:t>
      </w:r>
      <w:r w:rsidR="0091520C">
        <w:rPr>
          <w:rFonts w:cs="Arial"/>
          <w:szCs w:val="24"/>
        </w:rPr>
        <w:t xml:space="preserve"> of the requirement and</w:t>
      </w:r>
      <w:r w:rsidR="002D5308">
        <w:rPr>
          <w:rFonts w:cs="Arial"/>
          <w:szCs w:val="24"/>
        </w:rPr>
        <w:t>,</w:t>
      </w:r>
      <w:r w:rsidR="0091520C">
        <w:rPr>
          <w:rFonts w:cs="Arial"/>
          <w:szCs w:val="24"/>
        </w:rPr>
        <w:t xml:space="preserve"> therefore</w:t>
      </w:r>
      <w:r w:rsidR="002D5308">
        <w:rPr>
          <w:rFonts w:cs="Arial"/>
          <w:szCs w:val="24"/>
        </w:rPr>
        <w:t>,</w:t>
      </w:r>
      <w:r w:rsidR="0091520C">
        <w:rPr>
          <w:rFonts w:cs="Arial"/>
          <w:szCs w:val="24"/>
        </w:rPr>
        <w:t xml:space="preserve"> uncertainty for disabled passengers in what they can expect</w:t>
      </w:r>
      <w:r w:rsidR="00AC14DC" w:rsidRPr="0043704E">
        <w:rPr>
          <w:rFonts w:cs="Arial"/>
          <w:szCs w:val="24"/>
        </w:rPr>
        <w:t xml:space="preserve">. We think it is better for more clearly defined minimum accessibility standards to be created, </w:t>
      </w:r>
      <w:r w:rsidR="0091520C">
        <w:rPr>
          <w:rFonts w:cs="Arial"/>
          <w:szCs w:val="24"/>
        </w:rPr>
        <w:t xml:space="preserve">for </w:t>
      </w:r>
      <w:r w:rsidR="00AC14DC" w:rsidRPr="0043704E">
        <w:rPr>
          <w:rFonts w:cs="Arial"/>
          <w:szCs w:val="24"/>
        </w:rPr>
        <w:t>which HARPS operators can be more easily held to account.</w:t>
      </w:r>
    </w:p>
    <w:p w14:paraId="1395D821" w14:textId="77777777" w:rsidR="00A8048F" w:rsidRPr="0043704E" w:rsidRDefault="00A8048F" w:rsidP="00A8048F">
      <w:pPr>
        <w:pStyle w:val="NoSpacing"/>
        <w:spacing w:before="5" w:after="5" w:line="360" w:lineRule="auto"/>
        <w:ind w:left="1080"/>
        <w:jc w:val="both"/>
        <w:rPr>
          <w:rFonts w:cs="Arial"/>
          <w:szCs w:val="24"/>
        </w:rPr>
      </w:pPr>
    </w:p>
    <w:p w14:paraId="221BBF29" w14:textId="79FEA35A" w:rsidR="00947EC4" w:rsidRDefault="00D44583" w:rsidP="00A8048F">
      <w:pPr>
        <w:pStyle w:val="NoSpacing"/>
        <w:numPr>
          <w:ilvl w:val="0"/>
          <w:numId w:val="12"/>
        </w:numPr>
        <w:spacing w:before="5" w:after="5" w:line="360" w:lineRule="auto"/>
        <w:jc w:val="both"/>
        <w:rPr>
          <w:rFonts w:cs="Arial"/>
          <w:szCs w:val="24"/>
        </w:rPr>
      </w:pPr>
      <w:r w:rsidRPr="0043704E">
        <w:rPr>
          <w:rFonts w:cs="Arial"/>
          <w:szCs w:val="24"/>
        </w:rPr>
        <w:t xml:space="preserve">The introduction of </w:t>
      </w:r>
      <w:r w:rsidR="006D21D5" w:rsidRPr="0043704E">
        <w:rPr>
          <w:rFonts w:cs="Arial"/>
          <w:szCs w:val="24"/>
        </w:rPr>
        <w:t xml:space="preserve">these new </w:t>
      </w:r>
      <w:r w:rsidRPr="0043704E">
        <w:rPr>
          <w:rFonts w:cs="Arial"/>
          <w:szCs w:val="24"/>
        </w:rPr>
        <w:t>accessib</w:t>
      </w:r>
      <w:r w:rsidR="0091520C">
        <w:rPr>
          <w:rFonts w:cs="Arial"/>
          <w:szCs w:val="24"/>
        </w:rPr>
        <w:t>ility</w:t>
      </w:r>
      <w:r w:rsidRPr="0043704E">
        <w:rPr>
          <w:rFonts w:cs="Arial"/>
          <w:szCs w:val="24"/>
        </w:rPr>
        <w:t xml:space="preserve"> regulations for HARPS should not be seen as an inconvenience for the industry, but rather as an opportunity to benefit all users of their service. As Scope wrote, </w:t>
      </w:r>
    </w:p>
    <w:p w14:paraId="38CDBA58" w14:textId="77777777" w:rsidR="00A8048F" w:rsidRPr="0043704E" w:rsidRDefault="00A8048F" w:rsidP="00A8048F">
      <w:pPr>
        <w:pStyle w:val="NoSpacing"/>
        <w:spacing w:before="5" w:after="5" w:line="360" w:lineRule="auto"/>
        <w:ind w:left="360"/>
        <w:jc w:val="both"/>
        <w:rPr>
          <w:rFonts w:cs="Arial"/>
          <w:szCs w:val="24"/>
        </w:rPr>
      </w:pPr>
    </w:p>
    <w:p w14:paraId="4A45E15E" w14:textId="41FDBE39" w:rsidR="00947EC4" w:rsidRDefault="00D44583" w:rsidP="00A8048F">
      <w:pPr>
        <w:pStyle w:val="NoSpacing"/>
        <w:spacing w:before="5" w:after="5" w:line="360" w:lineRule="auto"/>
        <w:ind w:left="720"/>
        <w:jc w:val="both"/>
        <w:rPr>
          <w:rFonts w:cs="Arial"/>
          <w:szCs w:val="24"/>
        </w:rPr>
      </w:pPr>
      <w:r w:rsidRPr="0043704E">
        <w:rPr>
          <w:rFonts w:cs="Arial"/>
          <w:szCs w:val="24"/>
        </w:rPr>
        <w:lastRenderedPageBreak/>
        <w:t>By building inclusivity into their future designs, operators will be better serving a wider consumer base from the start.”</w:t>
      </w:r>
      <w:r w:rsidR="006D21D5" w:rsidRPr="0043704E">
        <w:rPr>
          <w:rStyle w:val="FootnoteReference"/>
          <w:rFonts w:cs="Arial"/>
          <w:szCs w:val="24"/>
        </w:rPr>
        <w:footnoteReference w:id="71"/>
      </w:r>
    </w:p>
    <w:p w14:paraId="3E7774F6" w14:textId="77777777" w:rsidR="00A8048F" w:rsidRPr="0043704E" w:rsidRDefault="00A8048F" w:rsidP="00A8048F">
      <w:pPr>
        <w:pStyle w:val="NoSpacing"/>
        <w:spacing w:before="5" w:after="5" w:line="360" w:lineRule="auto"/>
        <w:ind w:left="720"/>
        <w:jc w:val="both"/>
        <w:rPr>
          <w:rFonts w:cs="Arial"/>
          <w:szCs w:val="24"/>
        </w:rPr>
      </w:pPr>
    </w:p>
    <w:p w14:paraId="1D08B11E" w14:textId="40371C18" w:rsidR="0022159B" w:rsidRDefault="0022159B" w:rsidP="00A8048F">
      <w:pPr>
        <w:pStyle w:val="NoSpacing"/>
        <w:numPr>
          <w:ilvl w:val="0"/>
          <w:numId w:val="12"/>
        </w:numPr>
        <w:spacing w:before="5" w:after="5" w:line="360" w:lineRule="auto"/>
        <w:jc w:val="both"/>
        <w:rPr>
          <w:rFonts w:cs="Arial"/>
          <w:szCs w:val="24"/>
        </w:rPr>
      </w:pPr>
      <w:r w:rsidRPr="0043704E">
        <w:rPr>
          <w:rFonts w:cs="Arial"/>
          <w:szCs w:val="24"/>
        </w:rPr>
        <w:t>Finally, we believe that regulations, written into legislation, are required, rather than lighter-touch options such as industry guidance in this important area. In the debates on the Bus Services Bill, Baroness Campbell of Surbiton, strongly argued that promises of a guidance document from the Government on accessibility were not enough, and</w:t>
      </w:r>
      <w:r w:rsidR="008077FA" w:rsidRPr="0043704E">
        <w:rPr>
          <w:rFonts w:cs="Arial"/>
          <w:szCs w:val="24"/>
        </w:rPr>
        <w:t xml:space="preserve"> </w:t>
      </w:r>
      <w:r w:rsidR="0091520C">
        <w:rPr>
          <w:rFonts w:cs="Arial"/>
          <w:szCs w:val="24"/>
        </w:rPr>
        <w:t>we share her</w:t>
      </w:r>
      <w:r w:rsidRPr="0043704E">
        <w:rPr>
          <w:rFonts w:cs="Arial"/>
          <w:szCs w:val="24"/>
        </w:rPr>
        <w:t xml:space="preserve"> view:</w:t>
      </w:r>
    </w:p>
    <w:p w14:paraId="1D3D8A68" w14:textId="77777777" w:rsidR="00A8048F" w:rsidRPr="0043704E" w:rsidRDefault="00A8048F" w:rsidP="00A8048F">
      <w:pPr>
        <w:pStyle w:val="NoSpacing"/>
        <w:spacing w:before="5" w:after="5" w:line="360" w:lineRule="auto"/>
        <w:ind w:left="360"/>
        <w:jc w:val="both"/>
        <w:rPr>
          <w:rFonts w:cs="Arial"/>
          <w:szCs w:val="24"/>
        </w:rPr>
      </w:pPr>
    </w:p>
    <w:p w14:paraId="5BC0549C" w14:textId="1D6C8013" w:rsidR="0022159B" w:rsidRDefault="0022159B" w:rsidP="00A8048F">
      <w:pPr>
        <w:pStyle w:val="NoSpacing"/>
        <w:spacing w:before="5" w:after="5" w:line="360" w:lineRule="auto"/>
        <w:ind w:left="720"/>
        <w:jc w:val="both"/>
        <w:rPr>
          <w:rFonts w:cs="Arial"/>
          <w:szCs w:val="24"/>
          <w:shd w:val="clear" w:color="auto" w:fill="FFFFFF"/>
        </w:rPr>
      </w:pPr>
      <w:r w:rsidRPr="0043704E">
        <w:rPr>
          <w:rFonts w:cs="Arial"/>
          <w:szCs w:val="24"/>
          <w:shd w:val="clear" w:color="auto" w:fill="FFFFFF"/>
        </w:rPr>
        <w:t>Guidance without statutory backing or any enforcement behind it can be ignored with impunity—and, let us face it, we have plenty of experience of public services doing just that. Guidance is fine, but we know that it can be left on the shelf and ignored. People may start with good intentions but, in reality, other priorities invariably get in the way.</w:t>
      </w:r>
      <w:r w:rsidRPr="0043704E">
        <w:rPr>
          <w:rStyle w:val="FootnoteReference"/>
          <w:rFonts w:cs="Arial"/>
          <w:szCs w:val="24"/>
          <w:shd w:val="clear" w:color="auto" w:fill="FFFFFF"/>
        </w:rPr>
        <w:footnoteReference w:id="72"/>
      </w:r>
    </w:p>
    <w:p w14:paraId="667A14FE" w14:textId="77777777" w:rsidR="00A8048F" w:rsidRPr="0043704E" w:rsidRDefault="00A8048F" w:rsidP="00A8048F">
      <w:pPr>
        <w:pStyle w:val="NoSpacing"/>
        <w:spacing w:before="5" w:after="5" w:line="360" w:lineRule="auto"/>
        <w:ind w:left="720"/>
        <w:jc w:val="both"/>
        <w:rPr>
          <w:rFonts w:cs="Arial"/>
          <w:szCs w:val="24"/>
        </w:rPr>
      </w:pPr>
    </w:p>
    <w:p w14:paraId="33B5B1E9" w14:textId="14575D8B" w:rsidR="007A00B6" w:rsidRDefault="003911D0" w:rsidP="00A8048F">
      <w:pPr>
        <w:pStyle w:val="NoSpacing"/>
        <w:spacing w:before="5" w:after="5" w:line="360" w:lineRule="auto"/>
        <w:jc w:val="both"/>
        <w:rPr>
          <w:rFonts w:cs="Arial"/>
          <w:szCs w:val="24"/>
          <w:u w:val="single"/>
        </w:rPr>
      </w:pPr>
      <w:r w:rsidRPr="0043704E">
        <w:rPr>
          <w:rFonts w:cs="Arial"/>
          <w:szCs w:val="24"/>
          <w:u w:val="single"/>
        </w:rPr>
        <w:t xml:space="preserve">The content of such regulations </w:t>
      </w:r>
    </w:p>
    <w:p w14:paraId="76AC5863" w14:textId="77777777" w:rsidR="00C145DE" w:rsidRPr="0043704E" w:rsidRDefault="00C145DE" w:rsidP="00A8048F">
      <w:pPr>
        <w:pStyle w:val="NoSpacing"/>
        <w:spacing w:before="5" w:after="5" w:line="360" w:lineRule="auto"/>
        <w:jc w:val="both"/>
        <w:rPr>
          <w:rFonts w:cs="Arial"/>
          <w:szCs w:val="24"/>
          <w:u w:val="single"/>
        </w:rPr>
      </w:pPr>
    </w:p>
    <w:p w14:paraId="2B5A11DE" w14:textId="360B2944" w:rsidR="002137C3" w:rsidRDefault="003911D0" w:rsidP="00A8048F">
      <w:pPr>
        <w:pStyle w:val="NoSpacing"/>
        <w:numPr>
          <w:ilvl w:val="0"/>
          <w:numId w:val="12"/>
        </w:numPr>
        <w:spacing w:before="5" w:after="5" w:line="360" w:lineRule="auto"/>
        <w:jc w:val="both"/>
        <w:rPr>
          <w:rFonts w:cs="Arial"/>
          <w:szCs w:val="24"/>
        </w:rPr>
      </w:pPr>
      <w:r w:rsidRPr="0043704E">
        <w:rPr>
          <w:rFonts w:cs="Arial"/>
          <w:szCs w:val="24"/>
        </w:rPr>
        <w:t>The Commission</w:t>
      </w:r>
      <w:r w:rsidR="00003F75" w:rsidRPr="0043704E">
        <w:rPr>
          <w:rFonts w:cs="Arial"/>
          <w:szCs w:val="24"/>
        </w:rPr>
        <w:t xml:space="preserve"> acknowledges that it</w:t>
      </w:r>
      <w:r w:rsidRPr="0043704E">
        <w:rPr>
          <w:rFonts w:cs="Arial"/>
          <w:szCs w:val="24"/>
        </w:rPr>
        <w:t xml:space="preserve"> is not best placed to suggest the detailed, technical content of t</w:t>
      </w:r>
      <w:r w:rsidR="00D44583" w:rsidRPr="0043704E">
        <w:rPr>
          <w:rFonts w:cs="Arial"/>
          <w:szCs w:val="24"/>
        </w:rPr>
        <w:t>hese regulations. We would, however,</w:t>
      </w:r>
      <w:r w:rsidR="002D347F" w:rsidRPr="0043704E">
        <w:rPr>
          <w:rFonts w:cs="Arial"/>
          <w:szCs w:val="24"/>
        </w:rPr>
        <w:t xml:space="preserve"> emphasis</w:t>
      </w:r>
      <w:r w:rsidR="00134F72" w:rsidRPr="0043704E">
        <w:rPr>
          <w:rFonts w:cs="Arial"/>
          <w:szCs w:val="24"/>
        </w:rPr>
        <w:t>e</w:t>
      </w:r>
      <w:r w:rsidR="002D347F" w:rsidRPr="0043704E">
        <w:rPr>
          <w:rFonts w:cs="Arial"/>
          <w:szCs w:val="24"/>
        </w:rPr>
        <w:t xml:space="preserve"> that </w:t>
      </w:r>
      <w:r w:rsidR="00AB699D" w:rsidRPr="0043704E">
        <w:rPr>
          <w:rFonts w:cs="Arial"/>
          <w:szCs w:val="24"/>
        </w:rPr>
        <w:t xml:space="preserve">any </w:t>
      </w:r>
      <w:r w:rsidR="00547A94" w:rsidRPr="0043704E">
        <w:rPr>
          <w:rFonts w:cs="Arial"/>
          <w:szCs w:val="24"/>
        </w:rPr>
        <w:t>new regulations nee</w:t>
      </w:r>
      <w:r w:rsidR="00DB122F" w:rsidRPr="0043704E">
        <w:rPr>
          <w:rFonts w:cs="Arial"/>
          <w:szCs w:val="24"/>
        </w:rPr>
        <w:t>d to be clear and ambitious</w:t>
      </w:r>
      <w:r w:rsidR="002137C3" w:rsidRPr="0043704E">
        <w:rPr>
          <w:rFonts w:cs="Arial"/>
          <w:szCs w:val="24"/>
        </w:rPr>
        <w:t xml:space="preserve">; </w:t>
      </w:r>
      <w:r w:rsidR="00AC14DC" w:rsidRPr="0043704E">
        <w:rPr>
          <w:rFonts w:cs="Arial"/>
          <w:szCs w:val="24"/>
        </w:rPr>
        <w:t xml:space="preserve">specific (tailored to </w:t>
      </w:r>
      <w:r w:rsidR="00AB699D" w:rsidRPr="0043704E">
        <w:rPr>
          <w:rFonts w:cs="Arial"/>
          <w:szCs w:val="24"/>
        </w:rPr>
        <w:t>HARPS</w:t>
      </w:r>
      <w:r w:rsidR="00AC14DC" w:rsidRPr="0043704E">
        <w:rPr>
          <w:rFonts w:cs="Arial"/>
          <w:szCs w:val="24"/>
        </w:rPr>
        <w:t xml:space="preserve">) </w:t>
      </w:r>
      <w:r w:rsidR="00003F75" w:rsidRPr="0043704E">
        <w:rPr>
          <w:rFonts w:cs="Arial"/>
          <w:szCs w:val="24"/>
        </w:rPr>
        <w:t>and standardi</w:t>
      </w:r>
      <w:r w:rsidR="00AB699D" w:rsidRPr="0043704E">
        <w:rPr>
          <w:rFonts w:cs="Arial"/>
          <w:szCs w:val="24"/>
        </w:rPr>
        <w:t>s</w:t>
      </w:r>
      <w:r w:rsidR="00003F75" w:rsidRPr="0043704E">
        <w:rPr>
          <w:rFonts w:cs="Arial"/>
          <w:szCs w:val="24"/>
        </w:rPr>
        <w:t>ed</w:t>
      </w:r>
      <w:r w:rsidR="00DB122F" w:rsidRPr="0043704E">
        <w:rPr>
          <w:rFonts w:cs="Arial"/>
          <w:szCs w:val="24"/>
        </w:rPr>
        <w:t>. D</w:t>
      </w:r>
      <w:r w:rsidR="00547A94" w:rsidRPr="0043704E">
        <w:rPr>
          <w:rFonts w:cs="Arial"/>
          <w:szCs w:val="24"/>
        </w:rPr>
        <w:t xml:space="preserve">isabled and older </w:t>
      </w:r>
      <w:r w:rsidR="0091520C">
        <w:rPr>
          <w:rFonts w:cs="Arial"/>
          <w:szCs w:val="24"/>
        </w:rPr>
        <w:t>people’s</w:t>
      </w:r>
      <w:r w:rsidR="0091520C" w:rsidRPr="0043704E">
        <w:rPr>
          <w:rFonts w:cs="Arial"/>
          <w:szCs w:val="24"/>
        </w:rPr>
        <w:t xml:space="preserve"> </w:t>
      </w:r>
      <w:r w:rsidR="00547A94" w:rsidRPr="0043704E">
        <w:rPr>
          <w:rFonts w:cs="Arial"/>
          <w:szCs w:val="24"/>
        </w:rPr>
        <w:t>organisations</w:t>
      </w:r>
      <w:r w:rsidR="00003F75" w:rsidRPr="0043704E">
        <w:rPr>
          <w:rFonts w:cs="Arial"/>
          <w:szCs w:val="24"/>
        </w:rPr>
        <w:t xml:space="preserve"> must</w:t>
      </w:r>
      <w:r w:rsidR="00DB122F" w:rsidRPr="0043704E">
        <w:rPr>
          <w:rFonts w:cs="Arial"/>
          <w:szCs w:val="24"/>
        </w:rPr>
        <w:t xml:space="preserve"> be involved from the start to co-design their content</w:t>
      </w:r>
      <w:r w:rsidR="00547A94" w:rsidRPr="0043704E">
        <w:rPr>
          <w:rFonts w:cs="Arial"/>
          <w:szCs w:val="24"/>
        </w:rPr>
        <w:t>.</w:t>
      </w:r>
      <w:r w:rsidRPr="0043704E">
        <w:rPr>
          <w:rStyle w:val="FootnoteReference"/>
          <w:rFonts w:cs="Arial"/>
          <w:szCs w:val="24"/>
        </w:rPr>
        <w:footnoteReference w:id="73"/>
      </w:r>
      <w:r w:rsidR="00003F75" w:rsidRPr="0043704E">
        <w:rPr>
          <w:rFonts w:cs="Arial"/>
          <w:szCs w:val="24"/>
        </w:rPr>
        <w:t xml:space="preserve"> Our view, in this regard, </w:t>
      </w:r>
      <w:r w:rsidR="006B2FE1" w:rsidRPr="0043704E">
        <w:rPr>
          <w:rFonts w:cs="Arial"/>
          <w:szCs w:val="24"/>
        </w:rPr>
        <w:t xml:space="preserve">mirrors that </w:t>
      </w:r>
      <w:r w:rsidR="00D44583" w:rsidRPr="0043704E">
        <w:rPr>
          <w:rFonts w:cs="Arial"/>
          <w:szCs w:val="24"/>
        </w:rPr>
        <w:t>of the C</w:t>
      </w:r>
      <w:r w:rsidR="00003F75" w:rsidRPr="0043704E">
        <w:rPr>
          <w:rFonts w:cs="Arial"/>
          <w:szCs w:val="24"/>
        </w:rPr>
        <w:t>RPD Committee.</w:t>
      </w:r>
      <w:r w:rsidR="00003F75" w:rsidRPr="0043704E">
        <w:rPr>
          <w:rStyle w:val="FootnoteReference"/>
          <w:rFonts w:cs="Arial"/>
          <w:szCs w:val="24"/>
        </w:rPr>
        <w:footnoteReference w:id="74"/>
      </w:r>
      <w:r w:rsidR="007F0623" w:rsidRPr="0043704E">
        <w:rPr>
          <w:rFonts w:cs="Arial"/>
          <w:szCs w:val="24"/>
        </w:rPr>
        <w:t xml:space="preserve"> </w:t>
      </w:r>
    </w:p>
    <w:p w14:paraId="653AD4B7" w14:textId="77777777" w:rsidR="00A8048F" w:rsidRPr="0043704E" w:rsidRDefault="00A8048F" w:rsidP="00A8048F">
      <w:pPr>
        <w:pStyle w:val="NoSpacing"/>
        <w:spacing w:before="5" w:after="5" w:line="360" w:lineRule="auto"/>
        <w:ind w:left="360"/>
        <w:jc w:val="both"/>
        <w:rPr>
          <w:rFonts w:cs="Arial"/>
          <w:szCs w:val="24"/>
        </w:rPr>
      </w:pPr>
    </w:p>
    <w:p w14:paraId="14758556" w14:textId="236B35A9" w:rsidR="00994A28" w:rsidRDefault="00994A28" w:rsidP="00A8048F">
      <w:pPr>
        <w:pStyle w:val="NormalWeb"/>
        <w:numPr>
          <w:ilvl w:val="0"/>
          <w:numId w:val="12"/>
        </w:numPr>
        <w:spacing w:before="5" w:beforeAutospacing="0" w:after="5" w:afterAutospacing="0" w:line="360" w:lineRule="auto"/>
        <w:jc w:val="both"/>
        <w:textAlignment w:val="baseline"/>
        <w:rPr>
          <w:rFonts w:ascii="Arial" w:hAnsi="Arial" w:cs="Arial"/>
        </w:rPr>
      </w:pPr>
      <w:r w:rsidRPr="0043704E">
        <w:rPr>
          <w:rFonts w:ascii="Arial" w:hAnsi="Arial" w:cs="Arial"/>
        </w:rPr>
        <w:t>The aim of such regulations must be to:</w:t>
      </w:r>
    </w:p>
    <w:p w14:paraId="62F65B33" w14:textId="6345D4B2" w:rsidR="00A8048F" w:rsidRPr="0043704E" w:rsidRDefault="00A8048F" w:rsidP="00A8048F">
      <w:pPr>
        <w:pStyle w:val="NormalWeb"/>
        <w:spacing w:before="5" w:beforeAutospacing="0" w:after="5" w:afterAutospacing="0" w:line="360" w:lineRule="auto"/>
        <w:jc w:val="both"/>
        <w:textAlignment w:val="baseline"/>
        <w:rPr>
          <w:rFonts w:ascii="Arial" w:hAnsi="Arial" w:cs="Arial"/>
        </w:rPr>
      </w:pPr>
    </w:p>
    <w:p w14:paraId="4AD80C4F" w14:textId="37805561" w:rsidR="00A8048F" w:rsidRDefault="00994A28" w:rsidP="00A8048F">
      <w:pPr>
        <w:pStyle w:val="NormalWeb"/>
        <w:spacing w:before="5" w:beforeAutospacing="0" w:after="5" w:afterAutospacing="0" w:line="360" w:lineRule="auto"/>
        <w:ind w:left="720"/>
        <w:jc w:val="both"/>
        <w:textAlignment w:val="baseline"/>
        <w:rPr>
          <w:rFonts w:ascii="Arial" w:hAnsi="Arial" w:cs="Arial"/>
        </w:rPr>
      </w:pPr>
      <w:r w:rsidRPr="0043704E">
        <w:rPr>
          <w:rFonts w:ascii="Arial" w:hAnsi="Arial" w:cs="Arial"/>
        </w:rPr>
        <w:lastRenderedPageBreak/>
        <w:t>… contribute to the creation of an unrestricted chain of movement for an individual from one space to another, including movement inside particular spaces, with no barriers. Persons with disabilities and other users should be able to move in barrier-free streets, enter accessible low-floor vehicles, access information and communication, and enter and move inside universally designed buildings, using technical aids and live assistance where necessary.</w:t>
      </w:r>
    </w:p>
    <w:p w14:paraId="515845BA" w14:textId="77777777" w:rsidR="00A8048F" w:rsidRPr="0043704E" w:rsidRDefault="00A8048F" w:rsidP="00A8048F">
      <w:pPr>
        <w:pStyle w:val="NormalWeb"/>
        <w:spacing w:before="5" w:beforeAutospacing="0" w:after="5" w:afterAutospacing="0" w:line="360" w:lineRule="auto"/>
        <w:ind w:left="720"/>
        <w:jc w:val="both"/>
        <w:textAlignment w:val="baseline"/>
        <w:rPr>
          <w:rFonts w:ascii="Arial" w:hAnsi="Arial" w:cs="Arial"/>
        </w:rPr>
      </w:pPr>
    </w:p>
    <w:p w14:paraId="3BD5A9CF" w14:textId="572C301F" w:rsidR="00BA36C6" w:rsidRDefault="006B2FE1" w:rsidP="00A8048F">
      <w:pPr>
        <w:pStyle w:val="NormalWeb"/>
        <w:numPr>
          <w:ilvl w:val="0"/>
          <w:numId w:val="12"/>
        </w:numPr>
        <w:spacing w:before="5" w:beforeAutospacing="0" w:after="5" w:afterAutospacing="0" w:line="360" w:lineRule="auto"/>
        <w:jc w:val="both"/>
        <w:textAlignment w:val="baseline"/>
        <w:rPr>
          <w:rFonts w:ascii="Arial" w:hAnsi="Arial" w:cs="Arial"/>
        </w:rPr>
      </w:pPr>
      <w:r w:rsidRPr="0043704E">
        <w:rPr>
          <w:rFonts w:ascii="Arial" w:hAnsi="Arial" w:cs="Arial"/>
        </w:rPr>
        <w:t>In terms of the content of such regulations,</w:t>
      </w:r>
      <w:r w:rsidR="00003F75" w:rsidRPr="0043704E">
        <w:rPr>
          <w:rFonts w:ascii="Arial" w:hAnsi="Arial" w:cs="Arial"/>
        </w:rPr>
        <w:t xml:space="preserve"> we would</w:t>
      </w:r>
      <w:r w:rsidR="00C261E4" w:rsidRPr="0043704E">
        <w:rPr>
          <w:rFonts w:ascii="Arial" w:hAnsi="Arial" w:cs="Arial"/>
        </w:rPr>
        <w:t xml:space="preserve"> note the value of the</w:t>
      </w:r>
      <w:r w:rsidR="00BF43CD" w:rsidRPr="0043704E">
        <w:rPr>
          <w:rFonts w:ascii="Arial" w:hAnsi="Arial" w:cs="Arial"/>
        </w:rPr>
        <w:t xml:space="preserve"> principles of universal design</w:t>
      </w:r>
      <w:r w:rsidR="00B51516" w:rsidRPr="0043704E">
        <w:rPr>
          <w:rFonts w:ascii="Arial" w:hAnsi="Arial" w:cs="Arial"/>
        </w:rPr>
        <w:t>,</w:t>
      </w:r>
      <w:r w:rsidR="00BF43CD" w:rsidRPr="0043704E">
        <w:rPr>
          <w:rStyle w:val="FootnoteReference"/>
          <w:rFonts w:ascii="Arial" w:hAnsi="Arial" w:cs="Arial"/>
        </w:rPr>
        <w:footnoteReference w:id="75"/>
      </w:r>
      <w:r w:rsidR="00BF43CD" w:rsidRPr="0043704E">
        <w:rPr>
          <w:rFonts w:ascii="Arial" w:hAnsi="Arial" w:cs="Arial"/>
        </w:rPr>
        <w:t xml:space="preserve"> as a useful international standard.</w:t>
      </w:r>
      <w:r w:rsidR="00994A28" w:rsidRPr="0043704E">
        <w:rPr>
          <w:rStyle w:val="FootnoteReference"/>
          <w:rFonts w:ascii="Arial" w:hAnsi="Arial" w:cs="Arial"/>
        </w:rPr>
        <w:footnoteReference w:id="76"/>
      </w:r>
      <w:r w:rsidR="00437BC1" w:rsidRPr="0043704E">
        <w:rPr>
          <w:rFonts w:ascii="Arial" w:hAnsi="Arial" w:cs="Arial"/>
        </w:rPr>
        <w:t xml:space="preserve"> </w:t>
      </w:r>
    </w:p>
    <w:p w14:paraId="553EF1B9" w14:textId="77777777" w:rsidR="00A8048F" w:rsidRPr="0043704E" w:rsidRDefault="00A8048F" w:rsidP="00A8048F">
      <w:pPr>
        <w:pStyle w:val="NormalWeb"/>
        <w:spacing w:before="5" w:beforeAutospacing="0" w:after="5" w:afterAutospacing="0" w:line="360" w:lineRule="auto"/>
        <w:ind w:left="360"/>
        <w:jc w:val="both"/>
        <w:textAlignment w:val="baseline"/>
        <w:rPr>
          <w:rFonts w:ascii="Arial" w:hAnsi="Arial" w:cs="Arial"/>
        </w:rPr>
      </w:pPr>
    </w:p>
    <w:p w14:paraId="0A6720C4" w14:textId="2861B189" w:rsidR="002137C3" w:rsidRDefault="002137C3" w:rsidP="00A8048F">
      <w:pPr>
        <w:pStyle w:val="NoSpacing"/>
        <w:numPr>
          <w:ilvl w:val="0"/>
          <w:numId w:val="12"/>
        </w:numPr>
        <w:spacing w:before="5" w:after="5" w:line="360" w:lineRule="auto"/>
        <w:jc w:val="both"/>
        <w:rPr>
          <w:rFonts w:cs="Arial"/>
          <w:szCs w:val="24"/>
        </w:rPr>
      </w:pPr>
      <w:r w:rsidRPr="0043704E">
        <w:rPr>
          <w:rFonts w:cs="Arial"/>
          <w:szCs w:val="24"/>
        </w:rPr>
        <w:t>We also lend our support to the view of the CRPD Committee that</w:t>
      </w:r>
      <w:r w:rsidR="00B51516" w:rsidRPr="0043704E">
        <w:rPr>
          <w:rFonts w:cs="Arial"/>
          <w:szCs w:val="24"/>
        </w:rPr>
        <w:t xml:space="preserve"> the standards must reflect the broad spectrum of disabilities that exist</w:t>
      </w:r>
      <w:r w:rsidRPr="0043704E">
        <w:rPr>
          <w:rFonts w:cs="Arial"/>
          <w:szCs w:val="24"/>
        </w:rPr>
        <w:t>:</w:t>
      </w:r>
    </w:p>
    <w:p w14:paraId="46E49EF3" w14:textId="04AB2F80" w:rsidR="00A8048F" w:rsidRPr="0043704E" w:rsidRDefault="00A8048F" w:rsidP="00A8048F">
      <w:pPr>
        <w:pStyle w:val="NoSpacing"/>
        <w:spacing w:before="5" w:after="5" w:line="360" w:lineRule="auto"/>
        <w:jc w:val="both"/>
        <w:rPr>
          <w:rFonts w:cs="Arial"/>
          <w:szCs w:val="24"/>
        </w:rPr>
      </w:pPr>
    </w:p>
    <w:p w14:paraId="698DF14C" w14:textId="6B1AF862" w:rsidR="002137C3" w:rsidRDefault="002137C3" w:rsidP="00A8048F">
      <w:pPr>
        <w:pStyle w:val="NoSpacing"/>
        <w:spacing w:before="5" w:after="5" w:line="360" w:lineRule="auto"/>
        <w:ind w:left="720"/>
        <w:jc w:val="both"/>
        <w:rPr>
          <w:szCs w:val="24"/>
        </w:rPr>
      </w:pPr>
      <w:r w:rsidRPr="0043704E">
        <w:rPr>
          <w:szCs w:val="24"/>
        </w:rPr>
        <w:t>When defining accessibility standards, States parties have to take into account the diversity of persons with disabilities and ensure that accessibility is provided to persons of any gender and of all ages and types of disability. Part of the task of encompassing the diversity of persons with disabilities in the provision of accessibility is recognizing that some persons with disabilities need human or animal assistance in order to enjoy full accessibility (such as personal assistance, sign language interpretation, tactile sign language interpretation or guide dogs).</w:t>
      </w:r>
      <w:r w:rsidRPr="0043704E">
        <w:rPr>
          <w:rStyle w:val="FootnoteReference"/>
          <w:szCs w:val="24"/>
        </w:rPr>
        <w:footnoteReference w:id="77"/>
      </w:r>
    </w:p>
    <w:p w14:paraId="04B7B59A" w14:textId="77777777" w:rsidR="00A8048F" w:rsidRPr="0043704E" w:rsidRDefault="00A8048F" w:rsidP="00A8048F">
      <w:pPr>
        <w:pStyle w:val="NoSpacing"/>
        <w:spacing w:before="5" w:after="5" w:line="360" w:lineRule="auto"/>
        <w:jc w:val="both"/>
        <w:rPr>
          <w:szCs w:val="24"/>
        </w:rPr>
      </w:pPr>
    </w:p>
    <w:p w14:paraId="54FD106C" w14:textId="01F9844C" w:rsidR="0078540E" w:rsidRDefault="0091520C" w:rsidP="00A8048F">
      <w:pPr>
        <w:pStyle w:val="NormalWeb"/>
        <w:numPr>
          <w:ilvl w:val="0"/>
          <w:numId w:val="12"/>
        </w:numPr>
        <w:spacing w:before="5" w:beforeAutospacing="0" w:after="5" w:afterAutospacing="0" w:line="360" w:lineRule="auto"/>
        <w:jc w:val="both"/>
        <w:textAlignment w:val="baseline"/>
        <w:rPr>
          <w:rFonts w:ascii="Arial" w:hAnsi="Arial" w:cs="Arial"/>
        </w:rPr>
      </w:pPr>
      <w:r>
        <w:rPr>
          <w:rFonts w:ascii="Arial" w:hAnsi="Arial" w:cs="Arial"/>
        </w:rPr>
        <w:t>It</w:t>
      </w:r>
      <w:r w:rsidR="0078540E" w:rsidRPr="0043704E">
        <w:rPr>
          <w:rFonts w:ascii="Arial" w:hAnsi="Arial" w:cs="Arial"/>
        </w:rPr>
        <w:t xml:space="preserve"> is </w:t>
      </w:r>
      <w:r>
        <w:rPr>
          <w:rFonts w:ascii="Arial" w:hAnsi="Arial" w:cs="Arial"/>
        </w:rPr>
        <w:t>essential</w:t>
      </w:r>
      <w:r w:rsidR="0078540E" w:rsidRPr="0043704E">
        <w:rPr>
          <w:rFonts w:ascii="Arial" w:hAnsi="Arial" w:cs="Arial"/>
        </w:rPr>
        <w:t xml:space="preserve"> for accessibility to be considered more broadly than simply vehicle design. The accessibility of the whole user experience, from first ordering the service right through to the final destination needs to be considered. </w:t>
      </w:r>
      <w:r w:rsidR="002D5308">
        <w:rPr>
          <w:rFonts w:ascii="Arial" w:hAnsi="Arial" w:cs="Arial"/>
        </w:rPr>
        <w:t xml:space="preserve">Roadside infrastructure requires a particular focus considering issues such as audio-visual announcements at bus stops are still a rarity in this country.  </w:t>
      </w:r>
      <w:r w:rsidR="0078540E" w:rsidRPr="0043704E">
        <w:rPr>
          <w:rFonts w:ascii="Arial" w:hAnsi="Arial" w:cs="Arial"/>
        </w:rPr>
        <w:t xml:space="preserve">The Law Commissions have </w:t>
      </w:r>
      <w:r w:rsidR="00C145DE">
        <w:rPr>
          <w:rFonts w:ascii="Arial" w:hAnsi="Arial" w:cs="Arial"/>
        </w:rPr>
        <w:t xml:space="preserve">also </w:t>
      </w:r>
      <w:r w:rsidR="0078540E" w:rsidRPr="0043704E">
        <w:rPr>
          <w:rFonts w:ascii="Arial" w:hAnsi="Arial" w:cs="Arial"/>
        </w:rPr>
        <w:t>already</w:t>
      </w:r>
      <w:r w:rsidR="00C145DE">
        <w:rPr>
          <w:rFonts w:ascii="Arial" w:hAnsi="Arial" w:cs="Arial"/>
        </w:rPr>
        <w:t xml:space="preserve"> rightly</w:t>
      </w:r>
      <w:r w:rsidR="0078540E" w:rsidRPr="0043704E">
        <w:rPr>
          <w:rFonts w:ascii="Arial" w:hAnsi="Arial" w:cs="Arial"/>
        </w:rPr>
        <w:t xml:space="preserve"> flagged the issue of ‘digital exclusion’ if these HARPS vehicles can only be ordered online/through a mobile-based application</w:t>
      </w:r>
      <w:r w:rsidR="002D5308">
        <w:rPr>
          <w:rFonts w:ascii="Arial" w:hAnsi="Arial" w:cs="Arial"/>
        </w:rPr>
        <w:t xml:space="preserve">. They </w:t>
      </w:r>
      <w:r w:rsidR="002D5308">
        <w:rPr>
          <w:rFonts w:ascii="Arial" w:hAnsi="Arial" w:cs="Arial"/>
        </w:rPr>
        <w:lastRenderedPageBreak/>
        <w:t>noted that this</w:t>
      </w:r>
      <w:r w:rsidR="0078540E" w:rsidRPr="0043704E">
        <w:rPr>
          <w:rFonts w:ascii="Arial" w:hAnsi="Arial" w:cs="Arial"/>
        </w:rPr>
        <w:t xml:space="preserve"> has the potential to impact most negatively on disabled and older people</w:t>
      </w:r>
      <w:r w:rsidR="002D5308">
        <w:rPr>
          <w:rFonts w:ascii="Arial" w:hAnsi="Arial" w:cs="Arial"/>
        </w:rPr>
        <w:t>, and we share this concern.</w:t>
      </w:r>
      <w:r w:rsidR="0078540E" w:rsidRPr="0043704E">
        <w:rPr>
          <w:rStyle w:val="FootnoteReference"/>
          <w:rFonts w:ascii="Arial" w:hAnsi="Arial" w:cs="Arial"/>
        </w:rPr>
        <w:footnoteReference w:id="78"/>
      </w:r>
      <w:r w:rsidR="0078540E" w:rsidRPr="0043704E">
        <w:rPr>
          <w:rFonts w:ascii="Arial" w:hAnsi="Arial" w:cs="Arial"/>
        </w:rPr>
        <w:t xml:space="preserve"> </w:t>
      </w:r>
    </w:p>
    <w:p w14:paraId="12003340" w14:textId="77777777" w:rsidR="00A8048F" w:rsidRPr="0043704E" w:rsidRDefault="00A8048F" w:rsidP="00A8048F">
      <w:pPr>
        <w:pStyle w:val="NormalWeb"/>
        <w:spacing w:before="5" w:beforeAutospacing="0" w:after="5" w:afterAutospacing="0" w:line="360" w:lineRule="auto"/>
        <w:ind w:left="360"/>
        <w:jc w:val="both"/>
        <w:textAlignment w:val="baseline"/>
        <w:rPr>
          <w:rFonts w:ascii="Arial" w:hAnsi="Arial" w:cs="Arial"/>
        </w:rPr>
      </w:pPr>
    </w:p>
    <w:p w14:paraId="5D13F10D" w14:textId="676F606C" w:rsidR="00547A94" w:rsidRDefault="00D44583" w:rsidP="00A8048F">
      <w:pPr>
        <w:pStyle w:val="NoSpacing"/>
        <w:numPr>
          <w:ilvl w:val="0"/>
          <w:numId w:val="12"/>
        </w:numPr>
        <w:spacing w:before="5" w:after="5" w:line="360" w:lineRule="auto"/>
        <w:jc w:val="both"/>
        <w:rPr>
          <w:rFonts w:cs="Arial"/>
          <w:szCs w:val="24"/>
        </w:rPr>
      </w:pPr>
      <w:r w:rsidRPr="0043704E">
        <w:rPr>
          <w:rFonts w:cs="Arial"/>
          <w:szCs w:val="24"/>
        </w:rPr>
        <w:t>We suggest</w:t>
      </w:r>
      <w:r w:rsidR="00994A28" w:rsidRPr="0043704E">
        <w:rPr>
          <w:rFonts w:cs="Arial"/>
          <w:szCs w:val="24"/>
        </w:rPr>
        <w:t>, moreover,</w:t>
      </w:r>
      <w:r w:rsidRPr="0043704E">
        <w:rPr>
          <w:rFonts w:cs="Arial"/>
          <w:szCs w:val="24"/>
        </w:rPr>
        <w:t xml:space="preserve"> that any </w:t>
      </w:r>
      <w:r w:rsidR="00994A28" w:rsidRPr="0043704E">
        <w:rPr>
          <w:rFonts w:cs="Arial"/>
          <w:szCs w:val="24"/>
        </w:rPr>
        <w:t xml:space="preserve">associated guidance with </w:t>
      </w:r>
      <w:r w:rsidR="00AB699D" w:rsidRPr="0043704E">
        <w:rPr>
          <w:rFonts w:cs="Arial"/>
          <w:szCs w:val="24"/>
        </w:rPr>
        <w:t>any</w:t>
      </w:r>
      <w:r w:rsidR="00994A28" w:rsidRPr="0043704E">
        <w:rPr>
          <w:rFonts w:cs="Arial"/>
          <w:szCs w:val="24"/>
        </w:rPr>
        <w:t xml:space="preserve"> regulations is issued</w:t>
      </w:r>
      <w:r w:rsidRPr="0043704E">
        <w:rPr>
          <w:rFonts w:cs="Arial"/>
          <w:szCs w:val="24"/>
        </w:rPr>
        <w:t xml:space="preserve"> by </w:t>
      </w:r>
      <w:r w:rsidR="00134F72" w:rsidRPr="0043704E">
        <w:rPr>
          <w:rFonts w:cs="Arial"/>
          <w:szCs w:val="24"/>
        </w:rPr>
        <w:t>an organisation exercising public functions</w:t>
      </w:r>
      <w:r w:rsidR="00994A28" w:rsidRPr="0043704E">
        <w:rPr>
          <w:rFonts w:cs="Arial"/>
          <w:szCs w:val="24"/>
        </w:rPr>
        <w:t xml:space="preserve"> (rather than, for example, an industry working group</w:t>
      </w:r>
      <w:r w:rsidRPr="0043704E">
        <w:rPr>
          <w:rFonts w:cs="Arial"/>
          <w:szCs w:val="24"/>
        </w:rPr>
        <w:t xml:space="preserve">). This will ensure that the requirements of the PSED </w:t>
      </w:r>
      <w:r w:rsidR="00134F72" w:rsidRPr="0043704E">
        <w:rPr>
          <w:rFonts w:cs="Arial"/>
          <w:szCs w:val="24"/>
        </w:rPr>
        <w:t xml:space="preserve">have to be </w:t>
      </w:r>
      <w:r w:rsidR="0091520C">
        <w:rPr>
          <w:rFonts w:cs="Arial"/>
          <w:szCs w:val="24"/>
        </w:rPr>
        <w:t>complied with</w:t>
      </w:r>
      <w:r w:rsidR="00134F72" w:rsidRPr="0043704E">
        <w:rPr>
          <w:rFonts w:cs="Arial"/>
          <w:szCs w:val="24"/>
        </w:rPr>
        <w:t xml:space="preserve"> </w:t>
      </w:r>
      <w:r w:rsidRPr="0043704E">
        <w:rPr>
          <w:rFonts w:cs="Arial"/>
          <w:szCs w:val="24"/>
        </w:rPr>
        <w:t>in designing any</w:t>
      </w:r>
      <w:r w:rsidR="00994A28" w:rsidRPr="0043704E">
        <w:rPr>
          <w:rFonts w:cs="Arial"/>
          <w:szCs w:val="24"/>
        </w:rPr>
        <w:t xml:space="preserve"> such guidance.</w:t>
      </w:r>
    </w:p>
    <w:p w14:paraId="36D2F882" w14:textId="10A9434E" w:rsidR="00A8048F" w:rsidRPr="0043704E" w:rsidRDefault="00A8048F" w:rsidP="00A8048F">
      <w:pPr>
        <w:pStyle w:val="NoSpacing"/>
        <w:spacing w:before="5" w:after="5" w:line="360" w:lineRule="auto"/>
        <w:jc w:val="both"/>
        <w:rPr>
          <w:rFonts w:cs="Arial"/>
          <w:szCs w:val="24"/>
        </w:rPr>
      </w:pPr>
    </w:p>
    <w:p w14:paraId="2DD49057" w14:textId="319A406E" w:rsidR="0022159B" w:rsidRPr="0043704E" w:rsidRDefault="00C261E4" w:rsidP="00A8048F">
      <w:pPr>
        <w:pStyle w:val="NoSpacing"/>
        <w:numPr>
          <w:ilvl w:val="0"/>
          <w:numId w:val="12"/>
        </w:numPr>
        <w:spacing w:before="5" w:after="5" w:line="360" w:lineRule="auto"/>
        <w:jc w:val="both"/>
        <w:rPr>
          <w:rFonts w:cs="Arial"/>
          <w:szCs w:val="24"/>
        </w:rPr>
      </w:pPr>
      <w:r w:rsidRPr="0043704E">
        <w:rPr>
          <w:rFonts w:cs="Arial"/>
          <w:szCs w:val="24"/>
        </w:rPr>
        <w:t>We believe that o</w:t>
      </w:r>
      <w:r w:rsidR="00FD6692" w:rsidRPr="0043704E">
        <w:rPr>
          <w:rFonts w:cs="Arial"/>
          <w:szCs w:val="24"/>
        </w:rPr>
        <w:t>ne lesson to learn from the current system of transport regulation in Great Britain is that a</w:t>
      </w:r>
      <w:r w:rsidR="00547A94" w:rsidRPr="0043704E">
        <w:rPr>
          <w:rFonts w:cs="Arial"/>
          <w:szCs w:val="24"/>
        </w:rPr>
        <w:t xml:space="preserve">ny new </w:t>
      </w:r>
      <w:r w:rsidR="003911D0" w:rsidRPr="0043704E">
        <w:rPr>
          <w:rFonts w:cs="Arial"/>
          <w:szCs w:val="24"/>
        </w:rPr>
        <w:t xml:space="preserve">accessibility </w:t>
      </w:r>
      <w:r w:rsidR="00547A94" w:rsidRPr="0043704E">
        <w:rPr>
          <w:rFonts w:cs="Arial"/>
          <w:szCs w:val="24"/>
        </w:rPr>
        <w:t xml:space="preserve">regulations must </w:t>
      </w:r>
      <w:r w:rsidR="0022159B" w:rsidRPr="0043704E">
        <w:rPr>
          <w:rFonts w:cs="Arial"/>
          <w:szCs w:val="24"/>
        </w:rPr>
        <w:t>have:</w:t>
      </w:r>
    </w:p>
    <w:p w14:paraId="5D93FAB4" w14:textId="3E5F7E93" w:rsidR="0022159B" w:rsidRPr="0043704E" w:rsidRDefault="0022159B" w:rsidP="00A8048F">
      <w:pPr>
        <w:pStyle w:val="NoSpacing"/>
        <w:numPr>
          <w:ilvl w:val="1"/>
          <w:numId w:val="12"/>
        </w:numPr>
        <w:spacing w:before="5" w:after="5" w:line="360" w:lineRule="auto"/>
        <w:jc w:val="both"/>
        <w:rPr>
          <w:rFonts w:cs="Arial"/>
          <w:szCs w:val="24"/>
        </w:rPr>
      </w:pPr>
      <w:r w:rsidRPr="0043704E">
        <w:rPr>
          <w:rFonts w:cs="Arial"/>
          <w:szCs w:val="24"/>
        </w:rPr>
        <w:t>statutory backing;</w:t>
      </w:r>
      <w:r w:rsidR="00D67E88" w:rsidRPr="0043704E">
        <w:rPr>
          <w:rStyle w:val="FootnoteReference"/>
          <w:rFonts w:cs="Arial"/>
          <w:szCs w:val="24"/>
        </w:rPr>
        <w:footnoteReference w:id="79"/>
      </w:r>
    </w:p>
    <w:p w14:paraId="797E4806" w14:textId="77777777" w:rsidR="0022159B" w:rsidRPr="0043704E" w:rsidRDefault="00547A94" w:rsidP="00A8048F">
      <w:pPr>
        <w:pStyle w:val="NoSpacing"/>
        <w:numPr>
          <w:ilvl w:val="1"/>
          <w:numId w:val="12"/>
        </w:numPr>
        <w:spacing w:before="5" w:after="5" w:line="360" w:lineRule="auto"/>
        <w:jc w:val="both"/>
        <w:rPr>
          <w:rFonts w:cs="Arial"/>
          <w:szCs w:val="24"/>
        </w:rPr>
      </w:pPr>
      <w:r w:rsidRPr="0043704E">
        <w:rPr>
          <w:rFonts w:cs="Arial"/>
          <w:szCs w:val="24"/>
        </w:rPr>
        <w:t>clear penalties for failure to adhere</w:t>
      </w:r>
      <w:r w:rsidR="00FD6692" w:rsidRPr="0043704E">
        <w:rPr>
          <w:rFonts w:cs="Arial"/>
          <w:szCs w:val="24"/>
        </w:rPr>
        <w:t xml:space="preserve"> with them</w:t>
      </w:r>
      <w:r w:rsidR="0022159B" w:rsidRPr="0043704E">
        <w:rPr>
          <w:rFonts w:cs="Arial"/>
          <w:szCs w:val="24"/>
        </w:rPr>
        <w:t xml:space="preserve">; and </w:t>
      </w:r>
    </w:p>
    <w:p w14:paraId="2AAA55A8" w14:textId="00B21D7C" w:rsidR="0022159B" w:rsidRDefault="0022159B" w:rsidP="00A8048F">
      <w:pPr>
        <w:pStyle w:val="NoSpacing"/>
        <w:numPr>
          <w:ilvl w:val="1"/>
          <w:numId w:val="12"/>
        </w:numPr>
        <w:spacing w:before="5" w:after="5" w:line="360" w:lineRule="auto"/>
        <w:jc w:val="both"/>
        <w:rPr>
          <w:rFonts w:cs="Arial"/>
          <w:szCs w:val="24"/>
        </w:rPr>
      </w:pPr>
      <w:r w:rsidRPr="0043704E">
        <w:rPr>
          <w:rFonts w:cs="Arial"/>
          <w:szCs w:val="24"/>
        </w:rPr>
        <w:t>the</w:t>
      </w:r>
      <w:r w:rsidR="00547A94" w:rsidRPr="0043704E">
        <w:rPr>
          <w:rFonts w:cs="Arial"/>
          <w:szCs w:val="24"/>
        </w:rPr>
        <w:t xml:space="preserve"> designat</w:t>
      </w:r>
      <w:r w:rsidR="003911D0" w:rsidRPr="0043704E">
        <w:rPr>
          <w:rFonts w:cs="Arial"/>
          <w:szCs w:val="24"/>
        </w:rPr>
        <w:t xml:space="preserve">ion of a </w:t>
      </w:r>
      <w:r w:rsidR="00AB699D" w:rsidRPr="0043704E">
        <w:rPr>
          <w:rFonts w:cs="Arial"/>
          <w:szCs w:val="24"/>
        </w:rPr>
        <w:t xml:space="preserve">national </w:t>
      </w:r>
      <w:r w:rsidR="003911D0" w:rsidRPr="0043704E">
        <w:rPr>
          <w:rFonts w:cs="Arial"/>
          <w:szCs w:val="24"/>
        </w:rPr>
        <w:t>regulatory body</w:t>
      </w:r>
      <w:r w:rsidR="008846D5" w:rsidRPr="0043704E">
        <w:rPr>
          <w:rFonts w:cs="Arial"/>
          <w:szCs w:val="24"/>
        </w:rPr>
        <w:t>(ies)</w:t>
      </w:r>
      <w:r w:rsidR="003911D0" w:rsidRPr="0043704E">
        <w:rPr>
          <w:rFonts w:cs="Arial"/>
          <w:szCs w:val="24"/>
        </w:rPr>
        <w:t xml:space="preserve"> (</w:t>
      </w:r>
      <w:r w:rsidR="002137C3" w:rsidRPr="0043704E">
        <w:rPr>
          <w:rFonts w:cs="Arial"/>
          <w:szCs w:val="24"/>
        </w:rPr>
        <w:t xml:space="preserve">funded through a </w:t>
      </w:r>
      <w:r w:rsidR="003911D0" w:rsidRPr="0043704E">
        <w:rPr>
          <w:rFonts w:cs="Arial"/>
          <w:szCs w:val="24"/>
        </w:rPr>
        <w:t xml:space="preserve">sustainable funding model) </w:t>
      </w:r>
      <w:r w:rsidR="00547A94" w:rsidRPr="0043704E">
        <w:rPr>
          <w:rFonts w:cs="Arial"/>
          <w:szCs w:val="24"/>
        </w:rPr>
        <w:t xml:space="preserve">to </w:t>
      </w:r>
      <w:r w:rsidR="00791111" w:rsidRPr="0043704E">
        <w:rPr>
          <w:rFonts w:cs="Arial"/>
          <w:szCs w:val="24"/>
        </w:rPr>
        <w:t xml:space="preserve">systematically </w:t>
      </w:r>
      <w:r w:rsidR="002137C3" w:rsidRPr="0043704E">
        <w:rPr>
          <w:rFonts w:cs="Arial"/>
          <w:szCs w:val="24"/>
        </w:rPr>
        <w:t xml:space="preserve">deal with passenger complaints; </w:t>
      </w:r>
      <w:r w:rsidR="00FC631F" w:rsidRPr="0043704E">
        <w:rPr>
          <w:rFonts w:cs="Arial"/>
          <w:szCs w:val="24"/>
        </w:rPr>
        <w:t xml:space="preserve">monitor compliance and </w:t>
      </w:r>
      <w:r w:rsidR="00547A94" w:rsidRPr="0043704E">
        <w:rPr>
          <w:rFonts w:cs="Arial"/>
          <w:szCs w:val="24"/>
        </w:rPr>
        <w:t xml:space="preserve">enforce </w:t>
      </w:r>
      <w:r w:rsidR="00FC631F" w:rsidRPr="0043704E">
        <w:rPr>
          <w:rFonts w:cs="Arial"/>
          <w:szCs w:val="24"/>
        </w:rPr>
        <w:t>breaches</w:t>
      </w:r>
      <w:r w:rsidR="00547A94" w:rsidRPr="0043704E">
        <w:rPr>
          <w:rFonts w:cs="Arial"/>
          <w:szCs w:val="24"/>
        </w:rPr>
        <w:t>.</w:t>
      </w:r>
      <w:r w:rsidR="00D44583" w:rsidRPr="0043704E">
        <w:rPr>
          <w:rFonts w:cs="Arial"/>
          <w:szCs w:val="24"/>
        </w:rPr>
        <w:t xml:space="preserve"> </w:t>
      </w:r>
    </w:p>
    <w:p w14:paraId="4C21D2CC" w14:textId="77777777" w:rsidR="00A8048F" w:rsidRPr="0043704E" w:rsidRDefault="00A8048F" w:rsidP="00A8048F">
      <w:pPr>
        <w:pStyle w:val="NoSpacing"/>
        <w:spacing w:before="5" w:after="5" w:line="360" w:lineRule="auto"/>
        <w:ind w:left="1080"/>
        <w:jc w:val="both"/>
        <w:rPr>
          <w:rFonts w:cs="Arial"/>
          <w:szCs w:val="24"/>
        </w:rPr>
      </w:pPr>
    </w:p>
    <w:p w14:paraId="60FDE7E4" w14:textId="6E396B23" w:rsidR="00547A94" w:rsidRDefault="00FD6692" w:rsidP="00A8048F">
      <w:pPr>
        <w:pStyle w:val="NoSpacing"/>
        <w:numPr>
          <w:ilvl w:val="0"/>
          <w:numId w:val="12"/>
        </w:numPr>
        <w:spacing w:before="5" w:after="5" w:line="360" w:lineRule="auto"/>
        <w:jc w:val="both"/>
        <w:rPr>
          <w:rFonts w:cs="Arial"/>
          <w:szCs w:val="24"/>
        </w:rPr>
      </w:pPr>
      <w:r w:rsidRPr="0043704E">
        <w:rPr>
          <w:rFonts w:cs="Arial"/>
          <w:szCs w:val="24"/>
        </w:rPr>
        <w:t xml:space="preserve">Accountability is key. </w:t>
      </w:r>
      <w:r w:rsidR="00547A94" w:rsidRPr="0043704E">
        <w:rPr>
          <w:rFonts w:cs="Arial"/>
          <w:szCs w:val="24"/>
        </w:rPr>
        <w:t>As Scope recently noted</w:t>
      </w:r>
      <w:r w:rsidRPr="0043704E">
        <w:rPr>
          <w:rFonts w:cs="Arial"/>
          <w:szCs w:val="24"/>
        </w:rPr>
        <w:t xml:space="preserve"> on the current system</w:t>
      </w:r>
      <w:r w:rsidR="003911D0" w:rsidRPr="0043704E">
        <w:rPr>
          <w:rFonts w:cs="Arial"/>
          <w:szCs w:val="24"/>
        </w:rPr>
        <w:t xml:space="preserve"> of transport regulation</w:t>
      </w:r>
      <w:r w:rsidR="00547A94" w:rsidRPr="0043704E">
        <w:rPr>
          <w:rFonts w:cs="Arial"/>
          <w:szCs w:val="24"/>
        </w:rPr>
        <w:t>:</w:t>
      </w:r>
    </w:p>
    <w:p w14:paraId="2BD00125" w14:textId="77777777" w:rsidR="00A8048F" w:rsidRPr="0043704E" w:rsidRDefault="00A8048F" w:rsidP="00A8048F">
      <w:pPr>
        <w:pStyle w:val="NoSpacing"/>
        <w:spacing w:before="5" w:after="5" w:line="360" w:lineRule="auto"/>
        <w:ind w:left="360"/>
        <w:jc w:val="both"/>
        <w:rPr>
          <w:rFonts w:cs="Arial"/>
          <w:szCs w:val="24"/>
        </w:rPr>
      </w:pPr>
    </w:p>
    <w:p w14:paraId="6EF8F0AB" w14:textId="3FC64B83" w:rsidR="00DB122F" w:rsidRDefault="00F47376" w:rsidP="00A8048F">
      <w:pPr>
        <w:pStyle w:val="NoSpacing"/>
        <w:spacing w:before="5" w:after="5" w:line="360" w:lineRule="auto"/>
        <w:ind w:left="720"/>
        <w:jc w:val="both"/>
        <w:rPr>
          <w:rFonts w:cs="Arial"/>
          <w:szCs w:val="24"/>
        </w:rPr>
      </w:pPr>
      <w:r w:rsidRPr="0043704E">
        <w:rPr>
          <w:rFonts w:cs="Arial"/>
          <w:szCs w:val="24"/>
        </w:rPr>
        <w:t>F</w:t>
      </w:r>
      <w:r w:rsidR="00547A94" w:rsidRPr="0043704E">
        <w:rPr>
          <w:rFonts w:cs="Arial"/>
          <w:szCs w:val="24"/>
        </w:rPr>
        <w:t>ragmentation means that individual operators are not accountable to a single body, leading to difficulty in enforcing regulations and a lack of clarity as to who passengers should speak to about individual issues</w:t>
      </w:r>
      <w:r w:rsidR="00FD6692" w:rsidRPr="0043704E">
        <w:rPr>
          <w:rFonts w:cs="Arial"/>
          <w:szCs w:val="24"/>
        </w:rPr>
        <w:t>.</w:t>
      </w:r>
      <w:r w:rsidR="00003F75" w:rsidRPr="0043704E">
        <w:rPr>
          <w:rStyle w:val="FootnoteReference"/>
          <w:rFonts w:cs="Arial"/>
          <w:szCs w:val="24"/>
        </w:rPr>
        <w:footnoteReference w:id="80"/>
      </w:r>
    </w:p>
    <w:p w14:paraId="354BB87B" w14:textId="77777777" w:rsidR="00A8048F" w:rsidRPr="0043704E" w:rsidRDefault="00A8048F" w:rsidP="00A8048F">
      <w:pPr>
        <w:pStyle w:val="NoSpacing"/>
        <w:spacing w:before="5" w:after="5" w:line="360" w:lineRule="auto"/>
        <w:ind w:left="720"/>
        <w:jc w:val="both"/>
        <w:rPr>
          <w:rFonts w:cs="Arial"/>
          <w:szCs w:val="24"/>
        </w:rPr>
      </w:pPr>
    </w:p>
    <w:p w14:paraId="27C0F525" w14:textId="031E32DD" w:rsidR="00791111" w:rsidRDefault="00791111" w:rsidP="00A8048F">
      <w:pPr>
        <w:pStyle w:val="NoSpacing"/>
        <w:numPr>
          <w:ilvl w:val="0"/>
          <w:numId w:val="12"/>
        </w:numPr>
        <w:spacing w:before="5" w:after="5" w:line="360" w:lineRule="auto"/>
        <w:jc w:val="both"/>
        <w:rPr>
          <w:rFonts w:cs="Arial"/>
          <w:szCs w:val="24"/>
        </w:rPr>
      </w:pPr>
      <w:r w:rsidRPr="0043704E">
        <w:rPr>
          <w:rFonts w:cs="Arial"/>
          <w:szCs w:val="24"/>
        </w:rPr>
        <w:t>In their evidence to a House of Lords Selec</w:t>
      </w:r>
      <w:r w:rsidR="00D44583" w:rsidRPr="0043704E">
        <w:rPr>
          <w:rFonts w:cs="Arial"/>
          <w:szCs w:val="24"/>
        </w:rPr>
        <w:t>t Committee, DPTAC’s evidence</w:t>
      </w:r>
      <w:r w:rsidRPr="0043704E">
        <w:rPr>
          <w:rFonts w:cs="Arial"/>
          <w:szCs w:val="24"/>
        </w:rPr>
        <w:t xml:space="preserve"> reinforces </w:t>
      </w:r>
      <w:r w:rsidR="00D44583" w:rsidRPr="0043704E">
        <w:rPr>
          <w:rFonts w:cs="Arial"/>
          <w:szCs w:val="24"/>
        </w:rPr>
        <w:t>the</w:t>
      </w:r>
      <w:r w:rsidR="00437BC1" w:rsidRPr="0043704E">
        <w:rPr>
          <w:rFonts w:cs="Arial"/>
          <w:szCs w:val="24"/>
        </w:rPr>
        <w:t xml:space="preserve"> importance of an</w:t>
      </w:r>
      <w:r w:rsidR="00D44583" w:rsidRPr="0043704E">
        <w:rPr>
          <w:rFonts w:cs="Arial"/>
          <w:szCs w:val="24"/>
        </w:rPr>
        <w:t xml:space="preserve"> emphasis on enforcement:</w:t>
      </w:r>
    </w:p>
    <w:p w14:paraId="389201FB" w14:textId="77777777" w:rsidR="00A8048F" w:rsidRPr="0043704E" w:rsidRDefault="00A8048F" w:rsidP="00A8048F">
      <w:pPr>
        <w:pStyle w:val="NoSpacing"/>
        <w:spacing w:before="5" w:after="5" w:line="360" w:lineRule="auto"/>
        <w:ind w:left="360"/>
        <w:jc w:val="both"/>
        <w:rPr>
          <w:rFonts w:cs="Arial"/>
          <w:szCs w:val="24"/>
        </w:rPr>
      </w:pPr>
    </w:p>
    <w:p w14:paraId="4C99DE91" w14:textId="0030F42C" w:rsidR="00D44583" w:rsidRDefault="00D44583" w:rsidP="00A8048F">
      <w:pPr>
        <w:pStyle w:val="NoSpacing"/>
        <w:spacing w:before="5" w:after="5" w:line="360" w:lineRule="auto"/>
        <w:ind w:left="720"/>
        <w:jc w:val="both"/>
        <w:rPr>
          <w:rFonts w:cs="Arial"/>
          <w:szCs w:val="24"/>
        </w:rPr>
      </w:pPr>
      <w:r w:rsidRPr="0043704E">
        <w:rPr>
          <w:rFonts w:cs="Arial"/>
          <w:szCs w:val="24"/>
        </w:rPr>
        <w:lastRenderedPageBreak/>
        <w:t>A</w:t>
      </w:r>
      <w:r w:rsidR="00791111" w:rsidRPr="0043704E">
        <w:rPr>
          <w:rFonts w:cs="Arial"/>
          <w:szCs w:val="24"/>
        </w:rPr>
        <w:t>lthough much of the basic accessibility provision is now in place through the construction requirements for rail and bus …. there is little effort going into making sure that accessibility features are consistently in place and working.</w:t>
      </w:r>
      <w:r w:rsidR="00791111" w:rsidRPr="0043704E">
        <w:rPr>
          <w:rStyle w:val="FootnoteReference"/>
          <w:rFonts w:cs="Arial"/>
          <w:szCs w:val="24"/>
        </w:rPr>
        <w:footnoteReference w:id="81"/>
      </w:r>
    </w:p>
    <w:p w14:paraId="7113DD66" w14:textId="77777777" w:rsidR="00A8048F" w:rsidRPr="0043704E" w:rsidRDefault="00A8048F" w:rsidP="00A8048F">
      <w:pPr>
        <w:pStyle w:val="NoSpacing"/>
        <w:spacing w:before="5" w:after="5" w:line="360" w:lineRule="auto"/>
        <w:jc w:val="both"/>
        <w:rPr>
          <w:rFonts w:cs="Arial"/>
          <w:szCs w:val="24"/>
        </w:rPr>
      </w:pPr>
    </w:p>
    <w:p w14:paraId="1CC7C8A2" w14:textId="481F8D11" w:rsidR="004B612A" w:rsidRPr="00A8048F" w:rsidRDefault="00244FFA" w:rsidP="00A8048F">
      <w:pPr>
        <w:pStyle w:val="NormalWeb"/>
        <w:numPr>
          <w:ilvl w:val="0"/>
          <w:numId w:val="12"/>
        </w:numPr>
        <w:spacing w:before="5" w:beforeAutospacing="0" w:after="5" w:afterAutospacing="0" w:line="360" w:lineRule="auto"/>
        <w:ind w:left="357" w:hanging="357"/>
        <w:jc w:val="both"/>
        <w:textAlignment w:val="baseline"/>
        <w:rPr>
          <w:rFonts w:ascii="Arial" w:hAnsi="Arial" w:cs="Arial"/>
        </w:rPr>
      </w:pPr>
      <w:r w:rsidRPr="0043704E">
        <w:rPr>
          <w:rFonts w:ascii="Arial" w:eastAsia="Calibri" w:hAnsi="Arial" w:cs="Arial"/>
          <w:lang w:eastAsia="en-US"/>
        </w:rPr>
        <w:t>A national system of operating licences</w:t>
      </w:r>
      <w:r w:rsidR="009E7A71" w:rsidRPr="0043704E">
        <w:rPr>
          <w:rFonts w:ascii="Arial" w:eastAsia="Calibri" w:hAnsi="Arial" w:cs="Arial"/>
          <w:lang w:eastAsia="en-US"/>
        </w:rPr>
        <w:t xml:space="preserve"> for HARPS</w:t>
      </w:r>
      <w:r w:rsidRPr="0043704E">
        <w:rPr>
          <w:rFonts w:ascii="Arial" w:eastAsia="Calibri" w:hAnsi="Arial" w:cs="Arial"/>
          <w:lang w:eastAsia="en-US"/>
        </w:rPr>
        <w:t>, as proposed by the Law Commissions and supported by the Commission in our response to Consultation Question 1, above, should support such consistent monitoring and enforcement.</w:t>
      </w:r>
    </w:p>
    <w:sectPr w:rsidR="004B612A" w:rsidRPr="00A804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DF609" w14:textId="77777777" w:rsidR="008E13D6" w:rsidRDefault="008E13D6" w:rsidP="009B4138">
      <w:pPr>
        <w:spacing w:line="240" w:lineRule="auto"/>
      </w:pPr>
      <w:r>
        <w:separator/>
      </w:r>
    </w:p>
  </w:endnote>
  <w:endnote w:type="continuationSeparator" w:id="0">
    <w:p w14:paraId="4BF1EEFA" w14:textId="77777777" w:rsidR="008E13D6" w:rsidRDefault="008E13D6" w:rsidP="009B4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007C" w14:textId="5F897B0B" w:rsidR="00D45D4F" w:rsidRDefault="00D45D4F">
    <w:pPr>
      <w:pStyle w:val="Footer"/>
    </w:pPr>
  </w:p>
  <w:p w14:paraId="5494A976" w14:textId="372B3E7D" w:rsidR="00D45D4F" w:rsidRDefault="00D45D4F">
    <w:pPr>
      <w:pStyle w:val="Footer"/>
    </w:pPr>
    <w:r>
      <w:rPr>
        <w:noProof/>
        <w:sz w:val="16"/>
        <w:szCs w:val="16"/>
        <w:lang w:eastAsia="en-GB"/>
      </w:rPr>
      <w:drawing>
        <wp:inline distT="0" distB="0" distL="0" distR="0" wp14:anchorId="29D232AF" wp14:editId="15B461B1">
          <wp:extent cx="1440493" cy="575310"/>
          <wp:effectExtent l="0" t="0" r="0" b="0"/>
          <wp:docPr id="2" name="Picture 2"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HRC logo r41 g56 b53 (#293835).png"/>
                  <pic:cNvPicPr/>
                </pic:nvPicPr>
                <pic:blipFill rotWithShape="1">
                  <a:blip r:embed="rId1" cstate="print">
                    <a:extLst>
                      <a:ext uri="{28A0092B-C50C-407E-A947-70E740481C1C}">
                        <a14:useLocalDpi xmlns:a14="http://schemas.microsoft.com/office/drawing/2010/main" val="0"/>
                      </a:ext>
                    </a:extLst>
                  </a:blip>
                  <a:srcRect l="7514"/>
                  <a:stretch/>
                </pic:blipFill>
                <pic:spPr bwMode="auto">
                  <a:xfrm>
                    <a:off x="0" y="0"/>
                    <a:ext cx="1440493" cy="5753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EDDA" w14:textId="77777777" w:rsidR="008E13D6" w:rsidRDefault="008E13D6" w:rsidP="009B4138">
      <w:pPr>
        <w:spacing w:line="240" w:lineRule="auto"/>
      </w:pPr>
      <w:r>
        <w:separator/>
      </w:r>
    </w:p>
  </w:footnote>
  <w:footnote w:type="continuationSeparator" w:id="0">
    <w:p w14:paraId="1A19665B" w14:textId="77777777" w:rsidR="008E13D6" w:rsidRDefault="008E13D6" w:rsidP="009B4138">
      <w:pPr>
        <w:spacing w:line="240" w:lineRule="auto"/>
      </w:pPr>
      <w:r>
        <w:continuationSeparator/>
      </w:r>
    </w:p>
  </w:footnote>
  <w:footnote w:id="1">
    <w:p w14:paraId="5577EF61" w14:textId="4F1F5CC9"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1" w:history="1">
        <w:r w:rsidRPr="00C145DE">
          <w:rPr>
            <w:rStyle w:val="Hyperlink"/>
            <w:rFonts w:cs="Arial"/>
          </w:rPr>
          <w:t>Equality and Human Rights Commission, ‘Strategic Plan 2019 to 2022’ p 23.</w:t>
        </w:r>
      </w:hyperlink>
    </w:p>
  </w:footnote>
  <w:footnote w:id="2">
    <w:p w14:paraId="2563FEAF" w14:textId="1C1BF61A" w:rsidR="00D45D4F" w:rsidRPr="00C145DE" w:rsidRDefault="00D45D4F">
      <w:pPr>
        <w:pStyle w:val="FootnoteText"/>
        <w:rPr>
          <w:rFonts w:cs="Arial"/>
        </w:rPr>
      </w:pPr>
      <w:r w:rsidRPr="00C145DE">
        <w:rPr>
          <w:rStyle w:val="FootnoteReference"/>
          <w:rFonts w:cs="Arial"/>
        </w:rPr>
        <w:footnoteRef/>
      </w:r>
      <w:r w:rsidRPr="00C145DE">
        <w:rPr>
          <w:rFonts w:cs="Arial"/>
        </w:rPr>
        <w:t xml:space="preserve"> B Hepple, </w:t>
      </w:r>
      <w:r w:rsidRPr="00C145DE">
        <w:rPr>
          <w:rFonts w:cs="Arial"/>
          <w:i/>
        </w:rPr>
        <w:t>Equality: The New Legal Framework</w:t>
      </w:r>
      <w:r w:rsidRPr="00C145DE">
        <w:rPr>
          <w:rFonts w:cs="Arial"/>
        </w:rPr>
        <w:t xml:space="preserve"> (2011) p 72.</w:t>
      </w:r>
    </w:p>
  </w:footnote>
  <w:footnote w:id="3">
    <w:p w14:paraId="31CCE5A3" w14:textId="16886110"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2" w:history="1">
        <w:r w:rsidRPr="00C145DE">
          <w:rPr>
            <w:rStyle w:val="Hyperlink"/>
            <w:rFonts w:cs="Arial"/>
          </w:rPr>
          <w:t>Law Commission of England and Wales CP No 245; Scottish Law Commission DP No 169, ‘Automated Vehicles: Consultation Paper 2 on Passenger Services and Public Transport’ paras 6.22 to 6.24.</w:t>
        </w:r>
      </w:hyperlink>
    </w:p>
  </w:footnote>
  <w:footnote w:id="4">
    <w:p w14:paraId="4ADD86E5" w14:textId="68C427D6"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3" w:history="1">
        <w:r w:rsidRPr="00C145DE">
          <w:rPr>
            <w:rStyle w:val="Hyperlink"/>
            <w:rFonts w:cs="Arial"/>
          </w:rPr>
          <w:t>Equality Act 2010</w:t>
        </w:r>
      </w:hyperlink>
      <w:r w:rsidRPr="00C145DE">
        <w:rPr>
          <w:rStyle w:val="Hyperlink"/>
          <w:rFonts w:cs="Arial"/>
        </w:rPr>
        <w:t>, s 13.</w:t>
      </w:r>
      <w:r w:rsidRPr="00C145DE">
        <w:rPr>
          <w:rFonts w:cs="Arial"/>
        </w:rPr>
        <w:t xml:space="preserve"> Note that direct discrimination is lawful in relation to the protected characteristic of disability, where a disabled person is treated </w:t>
      </w:r>
      <w:r w:rsidRPr="00C145DE">
        <w:rPr>
          <w:rFonts w:cs="Arial"/>
          <w:i/>
        </w:rPr>
        <w:t xml:space="preserve">more </w:t>
      </w:r>
      <w:r w:rsidRPr="00C145DE">
        <w:rPr>
          <w:rFonts w:cs="Arial"/>
        </w:rPr>
        <w:t>favourably than a non-disabled person</w:t>
      </w:r>
      <w:r>
        <w:rPr>
          <w:rFonts w:cs="Arial"/>
        </w:rPr>
        <w:t>.</w:t>
      </w:r>
    </w:p>
  </w:footnote>
  <w:footnote w:id="5">
    <w:p w14:paraId="13CBB171" w14:textId="1DAC05EE"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4" w:history="1">
        <w:r w:rsidRPr="00C145DE">
          <w:rPr>
            <w:rStyle w:val="Hyperlink"/>
            <w:rFonts w:cs="Arial"/>
          </w:rPr>
          <w:t>Equality Act 2010</w:t>
        </w:r>
      </w:hyperlink>
      <w:r w:rsidRPr="00C145DE">
        <w:rPr>
          <w:rStyle w:val="Hyperlink"/>
          <w:rFonts w:cs="Arial"/>
        </w:rPr>
        <w:t>, s 19.</w:t>
      </w:r>
    </w:p>
  </w:footnote>
  <w:footnote w:id="6">
    <w:p w14:paraId="4B6CC4E8" w14:textId="6624518B"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5" w:history="1">
        <w:r w:rsidRPr="00C145DE">
          <w:rPr>
            <w:rStyle w:val="Hyperlink"/>
            <w:rFonts w:cs="Arial"/>
          </w:rPr>
          <w:t>Equality Act 2010</w:t>
        </w:r>
      </w:hyperlink>
      <w:r w:rsidRPr="00C145DE">
        <w:rPr>
          <w:rStyle w:val="Hyperlink"/>
          <w:rFonts w:cs="Arial"/>
        </w:rPr>
        <w:t>, s 15</w:t>
      </w:r>
      <w:r w:rsidRPr="00C145DE">
        <w:rPr>
          <w:rFonts w:cs="Arial"/>
        </w:rPr>
        <w:t>.</w:t>
      </w:r>
    </w:p>
  </w:footnote>
  <w:footnote w:id="7">
    <w:p w14:paraId="65690205" w14:textId="712AA67D"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6" w:history="1">
        <w:r w:rsidRPr="00C145DE">
          <w:rPr>
            <w:rStyle w:val="Hyperlink"/>
            <w:rFonts w:cs="Arial"/>
          </w:rPr>
          <w:t>Equality Act 2010, s 20</w:t>
        </w:r>
      </w:hyperlink>
      <w:r w:rsidRPr="00C145DE">
        <w:rPr>
          <w:rStyle w:val="Hyperlink"/>
          <w:rFonts w:cs="Arial"/>
        </w:rPr>
        <w:t>.</w:t>
      </w:r>
    </w:p>
  </w:footnote>
  <w:footnote w:id="8">
    <w:p w14:paraId="6B2AA8DC" w14:textId="4CBB6174"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7" w:history="1">
        <w:hyperlink r:id="rId8" w:history="1">
          <w:r w:rsidRPr="00C145DE">
            <w:rPr>
              <w:rStyle w:val="Hyperlink"/>
              <w:rFonts w:cs="Arial"/>
            </w:rPr>
            <w:t xml:space="preserve">Equality and Human Rights Commission, ‘Equality Act 2010 Code of Practice, Services, public functions and associations. Statutory Code of Practice’ para </w:t>
          </w:r>
        </w:hyperlink>
        <w:r w:rsidRPr="00C145DE">
          <w:rPr>
            <w:rStyle w:val="Hyperlink"/>
            <w:rFonts w:cs="Arial"/>
          </w:rPr>
          <w:t>7.4.</w:t>
        </w:r>
      </w:hyperlink>
    </w:p>
  </w:footnote>
  <w:footnote w:id="9">
    <w:p w14:paraId="0B9355B7" w14:textId="16248D11"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9" w:history="1">
        <w:hyperlink r:id="rId10" w:history="1">
          <w:r w:rsidRPr="00C145DE">
            <w:rPr>
              <w:rStyle w:val="Hyperlink"/>
              <w:rFonts w:cs="Arial"/>
            </w:rPr>
            <w:t>Equality and Human Rights Commission, ‘Equality Act 2010 Code of Practice, Services, public functions and associations. Statutory Code of Practice’ para 7.30</w:t>
          </w:r>
        </w:hyperlink>
        <w:r w:rsidRPr="00C145DE">
          <w:rPr>
            <w:rStyle w:val="Hyperlink"/>
            <w:rFonts w:cs="Arial"/>
          </w:rPr>
          <w:t>.</w:t>
        </w:r>
      </w:hyperlink>
    </w:p>
  </w:footnote>
  <w:footnote w:id="10">
    <w:p w14:paraId="69E1C748" w14:textId="4FD1EC93" w:rsidR="00D45D4F" w:rsidRPr="00C145DE" w:rsidRDefault="00D45D4F" w:rsidP="0061775B">
      <w:pPr>
        <w:pStyle w:val="FootnoteText"/>
        <w:rPr>
          <w:rFonts w:cs="Arial"/>
        </w:rPr>
      </w:pPr>
      <w:r w:rsidRPr="00C145DE">
        <w:rPr>
          <w:rStyle w:val="FootnoteReference"/>
          <w:rFonts w:cs="Arial"/>
        </w:rPr>
        <w:footnoteRef/>
      </w:r>
      <w:r w:rsidRPr="00C145DE">
        <w:rPr>
          <w:rFonts w:cs="Arial"/>
        </w:rPr>
        <w:t xml:space="preserve"> </w:t>
      </w:r>
      <w:hyperlink r:id="rId11" w:history="1">
        <w:r w:rsidRPr="00C145DE">
          <w:rPr>
            <w:rStyle w:val="Hyperlink"/>
            <w:rFonts w:cs="Arial"/>
          </w:rPr>
          <w:t>Equality Act 2010</w:t>
        </w:r>
      </w:hyperlink>
      <w:r w:rsidRPr="00C145DE">
        <w:rPr>
          <w:rStyle w:val="Hyperlink"/>
          <w:rFonts w:cs="Arial"/>
        </w:rPr>
        <w:t>, s 149.</w:t>
      </w:r>
      <w:r w:rsidRPr="00C145DE">
        <w:rPr>
          <w:rFonts w:cs="Arial"/>
        </w:rPr>
        <w:t xml:space="preserve"> </w:t>
      </w:r>
    </w:p>
  </w:footnote>
  <w:footnote w:id="11">
    <w:p w14:paraId="7BD46DC9" w14:textId="5A297EA4" w:rsidR="00D45D4F" w:rsidRPr="00C145DE" w:rsidRDefault="00D45D4F" w:rsidP="007E3D6D">
      <w:pPr>
        <w:pStyle w:val="FootnoteText"/>
        <w:rPr>
          <w:rFonts w:cs="Arial"/>
        </w:rPr>
      </w:pPr>
      <w:r w:rsidRPr="00C145DE">
        <w:rPr>
          <w:rStyle w:val="FootnoteReference"/>
          <w:rFonts w:cs="Arial"/>
        </w:rPr>
        <w:footnoteRef/>
      </w:r>
      <w:r w:rsidRPr="00C145DE">
        <w:rPr>
          <w:rFonts w:cs="Arial"/>
        </w:rPr>
        <w:t xml:space="preserve"> For more information and guidance on the Public Sector Equality Duty see: </w:t>
      </w:r>
      <w:r>
        <w:rPr>
          <w:rFonts w:cs="Arial"/>
        </w:rPr>
        <w:t xml:space="preserve">EHRC, </w:t>
      </w:r>
      <w:hyperlink r:id="rId12" w:history="1">
        <w:r w:rsidRPr="00D45D4F">
          <w:rPr>
            <w:rStyle w:val="Hyperlink"/>
            <w:rFonts w:cs="Arial"/>
          </w:rPr>
          <w:t>Guides for public authorities in England, Scotland and Wales.</w:t>
        </w:r>
      </w:hyperlink>
      <w:r w:rsidRPr="00C145DE">
        <w:rPr>
          <w:rFonts w:cs="Arial"/>
        </w:rPr>
        <w:t xml:space="preserve"> </w:t>
      </w:r>
    </w:p>
  </w:footnote>
  <w:footnote w:id="12">
    <w:p w14:paraId="128E7EB5" w14:textId="1BE08AC5" w:rsidR="00D45D4F" w:rsidRPr="00C145DE" w:rsidRDefault="00D45D4F">
      <w:pPr>
        <w:pStyle w:val="FootnoteText"/>
        <w:rPr>
          <w:rFonts w:cs="Arial"/>
        </w:rPr>
      </w:pPr>
      <w:r w:rsidRPr="00C145DE">
        <w:rPr>
          <w:rStyle w:val="FootnoteReference"/>
          <w:rFonts w:cs="Arial"/>
        </w:rPr>
        <w:footnoteRef/>
      </w:r>
      <w:r w:rsidRPr="00C145DE">
        <w:rPr>
          <w:rFonts w:cs="Arial"/>
        </w:rPr>
        <w:t xml:space="preserve"> Throughout this consultation response we have adopted the Law Commissions’ use and definition of the acronym “HARPS.” The Law Commissions’ defined the term as “a service which uses self-driving vehicles to provide journeys to passengers without a human driver or user-in-charge. The vehicle would be able to travel empty or with only passengers on board.” (</w:t>
      </w:r>
      <w:hyperlink r:id="rId13" w:history="1">
        <w:r w:rsidRPr="00C145DE">
          <w:rPr>
            <w:rStyle w:val="Hyperlink"/>
            <w:rFonts w:cs="Arial"/>
          </w:rPr>
          <w:t>Law Commission of England and Wales CP No 245; Scottish Law Commission DP No 169, ‘Automated Vehicles: Consultation Paper 2 on Passenger Services and Public Transport’ p i</w:t>
        </w:r>
      </w:hyperlink>
      <w:r w:rsidRPr="00C145DE">
        <w:rPr>
          <w:rStyle w:val="Hyperlink"/>
          <w:rFonts w:cs="Arial"/>
          <w:color w:val="auto"/>
          <w:u w:val="none"/>
        </w:rPr>
        <w:t>).</w:t>
      </w:r>
    </w:p>
  </w:footnote>
  <w:footnote w:id="13">
    <w:p w14:paraId="4C8B25AE" w14:textId="5B572B06"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r>
        <w:rPr>
          <w:rFonts w:cs="Arial"/>
        </w:rPr>
        <w:t xml:space="preserve">Scottish Government (27 March 2018), </w:t>
      </w:r>
      <w:hyperlink r:id="rId14" w:history="1">
        <w:r w:rsidRPr="00D45D4F">
          <w:rPr>
            <w:rStyle w:val="Hyperlink"/>
            <w:rFonts w:cs="Arial"/>
          </w:rPr>
          <w:t>Fairer Scotland Duty: interim guidance for public bodies.</w:t>
        </w:r>
      </w:hyperlink>
      <w:r>
        <w:rPr>
          <w:rFonts w:cs="Arial"/>
        </w:rPr>
        <w:t xml:space="preserve"> </w:t>
      </w:r>
    </w:p>
  </w:footnote>
  <w:footnote w:id="14">
    <w:p w14:paraId="4CC28CB6" w14:textId="0ACDD597" w:rsidR="00D45D4F" w:rsidRPr="00C145DE" w:rsidRDefault="00D45D4F">
      <w:pPr>
        <w:pStyle w:val="FootnoteText"/>
        <w:rPr>
          <w:rFonts w:cs="Arial"/>
        </w:rPr>
      </w:pPr>
      <w:r w:rsidRPr="00C145DE">
        <w:rPr>
          <w:rStyle w:val="FootnoteReference"/>
          <w:rFonts w:cs="Arial"/>
        </w:rPr>
        <w:footnoteRef/>
      </w:r>
      <w:r w:rsidRPr="00C145DE">
        <w:rPr>
          <w:rFonts w:cs="Arial"/>
        </w:rPr>
        <w:t xml:space="preserve"> We accept, however, that under UK law, </w:t>
      </w:r>
      <w:r w:rsidRPr="00C145DE">
        <w:rPr>
          <w:rFonts w:cs="Arial"/>
          <w:lang w:val="en-US"/>
        </w:rPr>
        <w:t xml:space="preserve">international law does not form part of domestic law unless and until it has been expressly incorporated with parliamentary authority. This means that, strictly speaking, unincorporated international human rights treaties are not ‘justiciable’: in other words, breach of their provisions cannot be enforced through our courts. However, the treaties are often, and increasingly, influential in shaping how the courts interpret rights enshrined in domestic laws, and are increasingly referred to in court judgments (in relation to the UNCRPD see, for example, </w:t>
      </w:r>
      <w:r w:rsidRPr="00C145DE">
        <w:rPr>
          <w:rFonts w:cs="Arial"/>
          <w:i/>
          <w:lang w:val="en-US"/>
        </w:rPr>
        <w:t xml:space="preserve">Bracking v Secretary of State for Work and Pensions </w:t>
      </w:r>
      <w:r w:rsidRPr="00C145DE">
        <w:rPr>
          <w:rFonts w:cs="Arial"/>
          <w:lang w:val="en-US"/>
        </w:rPr>
        <w:t xml:space="preserve">[2013] EWCA Civ 1345 and </w:t>
      </w:r>
      <w:r w:rsidRPr="00C145DE">
        <w:rPr>
          <w:rFonts w:cs="Arial"/>
          <w:i/>
          <w:lang w:val="en-US"/>
        </w:rPr>
        <w:t xml:space="preserve">P and Q c Surrey County Council </w:t>
      </w:r>
      <w:r w:rsidRPr="00C145DE">
        <w:rPr>
          <w:rFonts w:cs="Arial"/>
          <w:lang w:val="en-US"/>
        </w:rPr>
        <w:t>[2014] UKSC 19).</w:t>
      </w:r>
    </w:p>
  </w:footnote>
  <w:footnote w:id="15">
    <w:p w14:paraId="70C63F98" w14:textId="6ECC20C2" w:rsidR="00D45D4F" w:rsidRPr="00C145DE" w:rsidRDefault="00D45D4F" w:rsidP="00B41098">
      <w:pPr>
        <w:pStyle w:val="FootnoteText"/>
        <w:rPr>
          <w:rFonts w:cs="Arial"/>
        </w:rPr>
      </w:pPr>
      <w:r w:rsidRPr="00C145DE">
        <w:rPr>
          <w:rStyle w:val="FootnoteReference"/>
          <w:rFonts w:cs="Arial"/>
        </w:rPr>
        <w:footnoteRef/>
      </w:r>
      <w:r w:rsidRPr="00C145DE">
        <w:rPr>
          <w:rFonts w:cs="Arial"/>
        </w:rPr>
        <w:t xml:space="preserve"> </w:t>
      </w:r>
      <w:hyperlink r:id="rId15" w:history="1">
        <w:r w:rsidRPr="00C145DE">
          <w:rPr>
            <w:rStyle w:val="Hyperlink"/>
            <w:rFonts w:cs="Arial"/>
          </w:rPr>
          <w:t>Equality and Human Rights Commission, ‘Equality Act 2010 Code of Practice, Services, public functions and associations. Statutory Code of Practice’ para 7.30</w:t>
        </w:r>
      </w:hyperlink>
      <w:r w:rsidRPr="00C145DE">
        <w:rPr>
          <w:rFonts w:cs="Arial"/>
        </w:rPr>
        <w:t xml:space="preserve">; </w:t>
      </w:r>
      <w:hyperlink r:id="rId16" w:history="1">
        <w:r w:rsidRPr="00C145DE">
          <w:rPr>
            <w:rStyle w:val="Hyperlink"/>
            <w:rFonts w:cs="Arial"/>
          </w:rPr>
          <w:t>UNCRPD General Comment No. 2 on Accessibility (2014) para 25.</w:t>
        </w:r>
      </w:hyperlink>
    </w:p>
  </w:footnote>
  <w:footnote w:id="16">
    <w:p w14:paraId="1BA9E90B" w14:textId="0E833D3B" w:rsidR="00D45D4F" w:rsidRPr="00C145DE" w:rsidRDefault="00D45D4F" w:rsidP="007770C3">
      <w:pPr>
        <w:pStyle w:val="FootnoteText"/>
        <w:rPr>
          <w:rFonts w:cs="Arial"/>
        </w:rPr>
      </w:pPr>
      <w:r w:rsidRPr="00C145DE">
        <w:rPr>
          <w:rStyle w:val="FootnoteReference"/>
          <w:rFonts w:cs="Arial"/>
        </w:rPr>
        <w:footnoteRef/>
      </w:r>
      <w:r w:rsidRPr="00C145DE">
        <w:rPr>
          <w:rFonts w:cs="Arial"/>
        </w:rPr>
        <w:t xml:space="preserve"> </w:t>
      </w:r>
      <w:hyperlink r:id="rId17" w:history="1">
        <w:r w:rsidRPr="00C145DE">
          <w:rPr>
            <w:rStyle w:val="Hyperlink"/>
            <w:rFonts w:cs="Arial"/>
          </w:rPr>
          <w:t>UNCRPD, Article 9 – Accessibility.</w:t>
        </w:r>
      </w:hyperlink>
      <w:r w:rsidRPr="00C145DE">
        <w:rPr>
          <w:rFonts w:cs="Arial"/>
        </w:rPr>
        <w:t xml:space="preserve"> </w:t>
      </w:r>
    </w:p>
  </w:footnote>
  <w:footnote w:id="17">
    <w:p w14:paraId="4CF307CA" w14:textId="7688F684" w:rsidR="00D45D4F" w:rsidRPr="00C145DE" w:rsidRDefault="00D45D4F" w:rsidP="003821DC">
      <w:pPr>
        <w:pStyle w:val="FootnoteText"/>
        <w:rPr>
          <w:rFonts w:cs="Arial"/>
        </w:rPr>
      </w:pPr>
      <w:r w:rsidRPr="00C145DE">
        <w:rPr>
          <w:rStyle w:val="FootnoteReference"/>
          <w:rFonts w:cs="Arial"/>
        </w:rPr>
        <w:footnoteRef/>
      </w:r>
      <w:r w:rsidRPr="00C145DE">
        <w:rPr>
          <w:rFonts w:cs="Arial"/>
        </w:rPr>
        <w:t xml:space="preserve"> </w:t>
      </w:r>
      <w:hyperlink r:id="rId18" w:history="1">
        <w:r w:rsidRPr="00C145DE">
          <w:rPr>
            <w:rStyle w:val="Hyperlink"/>
            <w:rFonts w:cs="Arial"/>
          </w:rPr>
          <w:t>UNCRPD, Article 9 – Accessibility.</w:t>
        </w:r>
      </w:hyperlink>
    </w:p>
  </w:footnote>
  <w:footnote w:id="18">
    <w:p w14:paraId="7CE4EB5B" w14:textId="3087ACBA" w:rsidR="00D45D4F" w:rsidRPr="00C145DE" w:rsidRDefault="00D45D4F" w:rsidP="00DA59F9">
      <w:pPr>
        <w:pStyle w:val="FootnoteText"/>
        <w:rPr>
          <w:rFonts w:cs="Arial"/>
        </w:rPr>
      </w:pPr>
      <w:r w:rsidRPr="00C145DE">
        <w:rPr>
          <w:rStyle w:val="FootnoteReference"/>
          <w:rFonts w:cs="Arial"/>
        </w:rPr>
        <w:footnoteRef/>
      </w:r>
      <w:r w:rsidRPr="00C145DE">
        <w:rPr>
          <w:rFonts w:cs="Arial"/>
        </w:rPr>
        <w:t xml:space="preserve"> </w:t>
      </w:r>
      <w:hyperlink r:id="rId19" w:history="1">
        <w:r w:rsidRPr="00C145DE">
          <w:rPr>
            <w:rStyle w:val="Hyperlink"/>
            <w:rFonts w:cs="Arial"/>
          </w:rPr>
          <w:t>UNCRPD, General Comment No. 2 on Accessibility (2014) para 25.</w:t>
        </w:r>
      </w:hyperlink>
    </w:p>
  </w:footnote>
  <w:footnote w:id="19">
    <w:p w14:paraId="558E33EA" w14:textId="783AA518"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20" w:history="1">
        <w:r w:rsidRPr="00C145DE">
          <w:rPr>
            <w:rStyle w:val="Hyperlink"/>
            <w:rFonts w:cs="Arial"/>
          </w:rPr>
          <w:t>UNCRPD, General Comment No. 2 on Accessibility (2014) para 1.</w:t>
        </w:r>
      </w:hyperlink>
    </w:p>
  </w:footnote>
  <w:footnote w:id="20">
    <w:p w14:paraId="0FB6FF53" w14:textId="78356C06" w:rsidR="00D45D4F" w:rsidRPr="00C145DE" w:rsidRDefault="00D45D4F" w:rsidP="007770C3">
      <w:pPr>
        <w:pStyle w:val="FootnoteText"/>
        <w:rPr>
          <w:rFonts w:cs="Arial"/>
        </w:rPr>
      </w:pPr>
      <w:r w:rsidRPr="00C145DE">
        <w:rPr>
          <w:rStyle w:val="FootnoteReference"/>
          <w:rFonts w:cs="Arial"/>
        </w:rPr>
        <w:footnoteRef/>
      </w:r>
      <w:r w:rsidRPr="00C145DE">
        <w:rPr>
          <w:rFonts w:cs="Arial"/>
        </w:rPr>
        <w:t xml:space="preserve"> </w:t>
      </w:r>
      <w:hyperlink r:id="rId21" w:history="1">
        <w:r w:rsidRPr="00C145DE">
          <w:rPr>
            <w:rStyle w:val="Hyperlink"/>
            <w:rFonts w:cs="Arial"/>
          </w:rPr>
          <w:t>UNCRPD, Article 19 – Living independently and being included in the community.</w:t>
        </w:r>
      </w:hyperlink>
    </w:p>
  </w:footnote>
  <w:footnote w:id="21">
    <w:p w14:paraId="66435A40" w14:textId="398C4EF1"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22" w:history="1">
        <w:r w:rsidRPr="00C145DE">
          <w:rPr>
            <w:rStyle w:val="Hyperlink"/>
            <w:rFonts w:cs="Arial"/>
          </w:rPr>
          <w:t>UNCRPD, General Comment No 5 on Living Independently and Being Included in the Community, (2017</w:t>
        </w:r>
      </w:hyperlink>
      <w:r w:rsidRPr="00C145DE">
        <w:rPr>
          <w:rStyle w:val="Hyperlink"/>
          <w:rFonts w:cs="Arial"/>
        </w:rPr>
        <w:t>) paras 16 and 32.</w:t>
      </w:r>
    </w:p>
  </w:footnote>
  <w:footnote w:id="22">
    <w:p w14:paraId="3BE8FD1A" w14:textId="4596CB7C" w:rsidR="00D45D4F" w:rsidRPr="00C145DE" w:rsidRDefault="00D45D4F">
      <w:pPr>
        <w:pStyle w:val="FootnoteText"/>
        <w:rPr>
          <w:rFonts w:cs="Arial"/>
        </w:rPr>
      </w:pPr>
      <w:r w:rsidRPr="00C145DE">
        <w:rPr>
          <w:rStyle w:val="FootnoteReference"/>
          <w:rFonts w:cs="Arial"/>
        </w:rPr>
        <w:footnoteRef/>
      </w:r>
      <w:r w:rsidRPr="00C145DE">
        <w:rPr>
          <w:rFonts w:cs="Arial"/>
        </w:rPr>
        <w:t xml:space="preserve"> We note that, in previous consultation papers, the Law Commissions have acknowledged the importance of recommending reforms in compliance with the UK Government’s international law obligations, regardless of whether Parliament has incorporated the international law into domestic law – see, for example, </w:t>
      </w:r>
      <w:hyperlink r:id="rId23" w:history="1">
        <w:r w:rsidRPr="00C145DE">
          <w:rPr>
            <w:rStyle w:val="Hyperlink"/>
            <w:rFonts w:cs="Arial"/>
          </w:rPr>
          <w:t>Law Commission of England and Wales CP No 244; Scottish Law Commission DP No 167, ‘Building families through surrogacy: a new law’ para 4.4.</w:t>
        </w:r>
      </w:hyperlink>
    </w:p>
  </w:footnote>
  <w:footnote w:id="23">
    <w:p w14:paraId="4C344AFF" w14:textId="0AA5096F" w:rsidR="00D45D4F" w:rsidRPr="00C145DE" w:rsidRDefault="00D45D4F">
      <w:pPr>
        <w:pStyle w:val="FootnoteText"/>
        <w:rPr>
          <w:rFonts w:cs="Arial"/>
        </w:rPr>
      </w:pPr>
      <w:r w:rsidRPr="00C145DE">
        <w:rPr>
          <w:rStyle w:val="FootnoteReference"/>
          <w:rFonts w:cs="Arial"/>
        </w:rPr>
        <w:footnoteRef/>
      </w:r>
      <w:r w:rsidRPr="00C145DE">
        <w:rPr>
          <w:rFonts w:cs="Arial"/>
        </w:rPr>
        <w:t xml:space="preserve"> Equality and Human Rights Commission, ‘</w:t>
      </w:r>
      <w:hyperlink r:id="rId24" w:anchor="_ftn1" w:history="1">
        <w:r w:rsidRPr="00C145DE">
          <w:rPr>
            <w:rStyle w:val="Hyperlink"/>
            <w:rFonts w:cs="Arial"/>
          </w:rPr>
          <w:t xml:space="preserve">Supplementary written evidence from The Equality and Human Rights Commission’ </w:t>
        </w:r>
        <w:r w:rsidRPr="00C145DE">
          <w:rPr>
            <w:rFonts w:cs="Arial"/>
          </w:rPr>
          <w:t>(2018)</w:t>
        </w:r>
        <w:r w:rsidRPr="00C145DE">
          <w:rPr>
            <w:rStyle w:val="Hyperlink"/>
            <w:rFonts w:cs="Arial"/>
          </w:rPr>
          <w:t xml:space="preserve"> (YDA0045)</w:t>
        </w:r>
      </w:hyperlink>
      <w:r w:rsidRPr="00C145DE">
        <w:rPr>
          <w:rFonts w:cs="Arial"/>
        </w:rPr>
        <w:t>.</w:t>
      </w:r>
    </w:p>
  </w:footnote>
  <w:footnote w:id="24">
    <w:p w14:paraId="17BA1E3B" w14:textId="0FEF8F9C"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25" w:history="1">
        <w:r w:rsidRPr="00C145DE">
          <w:rPr>
            <w:rStyle w:val="Hyperlink"/>
            <w:rFonts w:cs="Arial"/>
          </w:rPr>
          <w:t>Scope, ‘Travel Fair’ (September 2019).</w:t>
        </w:r>
      </w:hyperlink>
    </w:p>
  </w:footnote>
  <w:footnote w:id="25">
    <w:p w14:paraId="665922FA" w14:textId="44F79F16"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26" w:history="1">
        <w:r w:rsidRPr="00C145DE">
          <w:rPr>
            <w:rStyle w:val="Hyperlink"/>
            <w:rFonts w:cs="Arial"/>
          </w:rPr>
          <w:t>Local Government Association, ‘Taxi and PHV licensing’ (August 2017) p 7.</w:t>
        </w:r>
      </w:hyperlink>
    </w:p>
  </w:footnote>
  <w:footnote w:id="26">
    <w:p w14:paraId="49927215" w14:textId="2A2C739E" w:rsidR="00D45D4F" w:rsidRPr="00C145DE" w:rsidRDefault="00D45D4F">
      <w:pPr>
        <w:pStyle w:val="FootnoteText"/>
        <w:rPr>
          <w:rFonts w:cs="Arial"/>
        </w:rPr>
      </w:pPr>
      <w:r w:rsidRPr="00C145DE">
        <w:rPr>
          <w:rStyle w:val="FootnoteReference"/>
          <w:rFonts w:cs="Arial"/>
        </w:rPr>
        <w:footnoteRef/>
      </w:r>
      <w:r w:rsidRPr="00C145DE">
        <w:rPr>
          <w:rFonts w:cs="Arial"/>
        </w:rPr>
        <w:t xml:space="preserve"> See </w:t>
      </w:r>
      <w:hyperlink r:id="rId27" w:history="1">
        <w:r w:rsidRPr="00C145DE">
          <w:rPr>
            <w:rStyle w:val="Hyperlink"/>
            <w:rFonts w:cs="Arial"/>
          </w:rPr>
          <w:t>UNCRPD, General Comment No 5 on Living Independently and Being Included in the Community, (2017</w:t>
        </w:r>
      </w:hyperlink>
      <w:r w:rsidRPr="00C145DE">
        <w:rPr>
          <w:rStyle w:val="Hyperlink"/>
          <w:rFonts w:cs="Arial"/>
        </w:rPr>
        <w:t>) para 37.</w:t>
      </w:r>
    </w:p>
  </w:footnote>
  <w:footnote w:id="27">
    <w:p w14:paraId="481E3535" w14:textId="7B2F11E9"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28" w:history="1">
        <w:r w:rsidRPr="004B4C62">
          <w:rPr>
            <w:rStyle w:val="Hyperlink"/>
            <w:rFonts w:cs="Arial"/>
          </w:rPr>
          <w:t>Public Passenger Vehicles Act 1981, s 14ZA.</w:t>
        </w:r>
      </w:hyperlink>
    </w:p>
  </w:footnote>
  <w:footnote w:id="28">
    <w:p w14:paraId="79E615B9" w14:textId="3398802A"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29" w:history="1">
        <w:r w:rsidRPr="00C145DE">
          <w:rPr>
            <w:rStyle w:val="Hyperlink"/>
            <w:rFonts w:cs="Arial"/>
          </w:rPr>
          <w:t>Law Commission of England and Wales No 347, ‘Taxi and Private Hire Services’ para 12.42.</w:t>
        </w:r>
      </w:hyperlink>
    </w:p>
  </w:footnote>
  <w:footnote w:id="29">
    <w:p w14:paraId="34DC538C" w14:textId="15E4316B"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30" w:history="1">
        <w:r w:rsidRPr="00C145DE">
          <w:rPr>
            <w:rStyle w:val="Hyperlink"/>
            <w:rFonts w:cs="Arial"/>
          </w:rPr>
          <w:t>Law Commission of England and Wales No 347, ‘Taxi and Private Hire Services’ para 12.43.</w:t>
        </w:r>
      </w:hyperlink>
    </w:p>
  </w:footnote>
  <w:footnote w:id="30">
    <w:p w14:paraId="53B3F045" w14:textId="2BEE3763"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31" w:history="1">
        <w:r w:rsidRPr="00C145DE">
          <w:rPr>
            <w:rStyle w:val="Hyperlink"/>
            <w:rFonts w:cs="Arial"/>
          </w:rPr>
          <w:t>House of Lords Select Committee on the Equality Act and disability, ‘The Equality Act 2010: the impact on disabled People’ (Report of Session 2015-16) para 480.</w:t>
        </w:r>
      </w:hyperlink>
    </w:p>
  </w:footnote>
  <w:footnote w:id="31">
    <w:p w14:paraId="1C235D42" w14:textId="6C06353F" w:rsidR="00D45D4F" w:rsidRPr="00C145DE" w:rsidRDefault="00D45D4F" w:rsidP="008B3AF5">
      <w:pPr>
        <w:pStyle w:val="FootnoteText"/>
        <w:rPr>
          <w:rFonts w:cs="Arial"/>
        </w:rPr>
      </w:pPr>
      <w:r w:rsidRPr="00C145DE">
        <w:rPr>
          <w:rStyle w:val="FootnoteReference"/>
          <w:rFonts w:cs="Arial"/>
        </w:rPr>
        <w:footnoteRef/>
      </w:r>
      <w:r w:rsidRPr="00C145DE">
        <w:rPr>
          <w:rFonts w:cs="Arial"/>
        </w:rPr>
        <w:t xml:space="preserve"> </w:t>
      </w:r>
      <w:r>
        <w:rPr>
          <w:rFonts w:cs="Arial"/>
        </w:rPr>
        <w:t xml:space="preserve">Committee on Standards in Public Life (25 March 2019), </w:t>
      </w:r>
      <w:hyperlink r:id="rId32" w:history="1">
        <w:r w:rsidRPr="00D45D4F">
          <w:rPr>
            <w:rStyle w:val="Hyperlink"/>
            <w:rFonts w:cs="Arial"/>
          </w:rPr>
          <w:t>Artificial Intelligence and Public Standards.</w:t>
        </w:r>
      </w:hyperlink>
      <w:r>
        <w:rPr>
          <w:rFonts w:cs="Arial"/>
        </w:rPr>
        <w:t xml:space="preserve"> </w:t>
      </w:r>
    </w:p>
  </w:footnote>
  <w:footnote w:id="32">
    <w:p w14:paraId="7090B56C" w14:textId="326CCCCC" w:rsidR="00D45D4F" w:rsidRPr="00C145DE" w:rsidRDefault="00D45D4F" w:rsidP="008B3AF5">
      <w:pPr>
        <w:pStyle w:val="FootnoteText"/>
        <w:rPr>
          <w:rFonts w:cs="Arial"/>
        </w:rPr>
      </w:pPr>
      <w:r w:rsidRPr="00C145DE">
        <w:rPr>
          <w:rStyle w:val="FootnoteReference"/>
          <w:rFonts w:cs="Arial"/>
        </w:rPr>
        <w:footnoteRef/>
      </w:r>
      <w:r w:rsidRPr="00C145DE">
        <w:rPr>
          <w:rFonts w:cs="Arial"/>
        </w:rPr>
        <w:t xml:space="preserve"> </w:t>
      </w:r>
      <w:hyperlink r:id="rId33" w:history="1">
        <w:r w:rsidRPr="00C145DE">
          <w:rPr>
            <w:rStyle w:val="Hyperlink"/>
            <w:rFonts w:cs="Arial"/>
          </w:rPr>
          <w:t>Law Commission of England and Wales CP No 240; Scottish Law Commission DP No 166, ‘Automated Vehicles, a joint preliminary consultation paper’ para 9.68 onwards.</w:t>
        </w:r>
      </w:hyperlink>
    </w:p>
  </w:footnote>
  <w:footnote w:id="33">
    <w:p w14:paraId="28E3C06C" w14:textId="5B30C59C"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34" w:history="1">
        <w:r w:rsidRPr="00C145DE">
          <w:rPr>
            <w:rStyle w:val="Hyperlink"/>
            <w:rFonts w:cs="Arial"/>
          </w:rPr>
          <w:t>Law Commission of England and Wales CP No 240; Scottish Law Commission DP No 166, ‘Automated Vehicles, a joint preliminary consultation paper’ para 9.69.</w:t>
        </w:r>
      </w:hyperlink>
    </w:p>
  </w:footnote>
  <w:footnote w:id="34">
    <w:p w14:paraId="067C175B" w14:textId="70D51255"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35" w:history="1">
        <w:r w:rsidRPr="00C145DE">
          <w:rPr>
            <w:rStyle w:val="Hyperlink"/>
            <w:rFonts w:cs="Arial"/>
          </w:rPr>
          <w:t>B White, J Hoffman and J Morgenstern, ‘Predictive Inequity in Object Detection’ (21 Feb 2019).</w:t>
        </w:r>
      </w:hyperlink>
    </w:p>
  </w:footnote>
  <w:footnote w:id="35">
    <w:p w14:paraId="35566CDB" w14:textId="37D10495"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36" w:history="1">
        <w:r w:rsidRPr="00C145DE">
          <w:rPr>
            <w:rStyle w:val="Hyperlink"/>
            <w:rFonts w:cs="Arial"/>
          </w:rPr>
          <w:t>Women and Equalities Committee, ‘Building for Equality: Disability and the Built Environment’ (2017) para 159.</w:t>
        </w:r>
      </w:hyperlink>
    </w:p>
  </w:footnote>
  <w:footnote w:id="36">
    <w:p w14:paraId="19AEEC38" w14:textId="0055D6FB"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r>
        <w:rPr>
          <w:rFonts w:cs="Arial"/>
        </w:rPr>
        <w:t xml:space="preserve">Future of Life Institute (2017), </w:t>
      </w:r>
      <w:hyperlink r:id="rId37" w:history="1">
        <w:r w:rsidRPr="00D45D4F">
          <w:rPr>
            <w:rStyle w:val="Hyperlink"/>
            <w:rFonts w:cs="Arial"/>
          </w:rPr>
          <w:t>Asilomar AI Principles.</w:t>
        </w:r>
      </w:hyperlink>
    </w:p>
  </w:footnote>
  <w:footnote w:id="37">
    <w:p w14:paraId="09F4C1D3" w14:textId="611E8748"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38" w:history="1">
        <w:r w:rsidRPr="00C145DE">
          <w:rPr>
            <w:rStyle w:val="Hyperlink"/>
            <w:rFonts w:cs="Arial"/>
          </w:rPr>
          <w:t>Equality and Human Rights Commission, ‘Hidden in plain sight. Inquiry into disability-related harassment’ (2011) pp 77 to 78.</w:t>
        </w:r>
      </w:hyperlink>
    </w:p>
  </w:footnote>
  <w:footnote w:id="38">
    <w:p w14:paraId="7668A90A" w14:textId="0CB7A093"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39" w:history="1">
        <w:r w:rsidRPr="00C145DE">
          <w:rPr>
            <w:rStyle w:val="Hyperlink"/>
            <w:rFonts w:cs="Arial"/>
          </w:rPr>
          <w:t>Equality and Human Rights Commission, ‘Hidden in plain sight. Inquiry into disability-related harassment’ (2011) pp 83 to 84.</w:t>
        </w:r>
      </w:hyperlink>
    </w:p>
  </w:footnote>
  <w:footnote w:id="39">
    <w:p w14:paraId="7FECC302" w14:textId="619451A0" w:rsidR="00D45D4F" w:rsidRPr="00C145DE" w:rsidRDefault="00D45D4F" w:rsidP="000C72BC">
      <w:pPr>
        <w:pStyle w:val="FootnoteText"/>
        <w:rPr>
          <w:rFonts w:cs="Arial"/>
        </w:rPr>
      </w:pPr>
      <w:r w:rsidRPr="00C145DE">
        <w:rPr>
          <w:rStyle w:val="FootnoteReference"/>
          <w:rFonts w:cs="Arial"/>
        </w:rPr>
        <w:footnoteRef/>
      </w:r>
      <w:r w:rsidRPr="00C145DE">
        <w:rPr>
          <w:rFonts w:cs="Arial"/>
        </w:rPr>
        <w:t xml:space="preserve"> </w:t>
      </w:r>
      <w:hyperlink r:id="rId40" w:history="1">
        <w:r w:rsidRPr="00C145DE">
          <w:rPr>
            <w:rStyle w:val="Hyperlink"/>
            <w:rFonts w:cs="Arial"/>
          </w:rPr>
          <w:t>Scope, ‘Independent. Confident. Connected’ (2018) p 20.</w:t>
        </w:r>
      </w:hyperlink>
    </w:p>
  </w:footnote>
  <w:footnote w:id="40">
    <w:p w14:paraId="55986F15" w14:textId="3DAD95B3"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41" w:history="1">
        <w:r w:rsidRPr="00C145DE">
          <w:rPr>
            <w:rStyle w:val="Hyperlink"/>
            <w:rFonts w:cs="Arial"/>
          </w:rPr>
          <w:t>Scope, ‘Travel Fair’ (September 2019).</w:t>
        </w:r>
      </w:hyperlink>
    </w:p>
  </w:footnote>
  <w:footnote w:id="41">
    <w:p w14:paraId="111F0E7E" w14:textId="66EFD6F6" w:rsidR="00D45D4F" w:rsidRPr="00C145DE" w:rsidRDefault="00D45D4F" w:rsidP="002757B0">
      <w:pPr>
        <w:pStyle w:val="FootnoteText"/>
        <w:tabs>
          <w:tab w:val="left" w:pos="1356"/>
        </w:tabs>
        <w:rPr>
          <w:rFonts w:cs="Arial"/>
        </w:rPr>
      </w:pPr>
      <w:r w:rsidRPr="00C145DE">
        <w:rPr>
          <w:rStyle w:val="FootnoteReference"/>
          <w:rFonts w:cs="Arial"/>
        </w:rPr>
        <w:footnoteRef/>
      </w:r>
      <w:r w:rsidRPr="00C145DE">
        <w:rPr>
          <w:rFonts w:cs="Arial"/>
        </w:rPr>
        <w:t xml:space="preserve"> </w:t>
      </w:r>
      <w:hyperlink r:id="rId42" w:history="1">
        <w:r w:rsidRPr="00C145DE">
          <w:rPr>
            <w:rStyle w:val="Hyperlink"/>
            <w:rFonts w:cs="Arial"/>
          </w:rPr>
          <w:t>Scope, ‘Independent. Confident. Connected’ (2018) p 20.</w:t>
        </w:r>
      </w:hyperlink>
    </w:p>
  </w:footnote>
  <w:footnote w:id="42">
    <w:p w14:paraId="3F861F1E" w14:textId="2ABFBFB0"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43" w:history="1">
        <w:r w:rsidRPr="00C145DE">
          <w:rPr>
            <w:rStyle w:val="Hyperlink"/>
            <w:rFonts w:cs="Arial"/>
          </w:rPr>
          <w:t>Transport for London, ‘Travel in London: Understanding our diverse communities 2019’ (2019)</w:t>
        </w:r>
      </w:hyperlink>
      <w:r w:rsidRPr="00C145DE">
        <w:rPr>
          <w:rFonts w:cs="Arial"/>
        </w:rPr>
        <w:t xml:space="preserve"> </w:t>
      </w:r>
      <w:hyperlink r:id="rId44" w:history="1">
        <w:r w:rsidRPr="00C145DE">
          <w:rPr>
            <w:rStyle w:val="Hyperlink"/>
            <w:rFonts w:cs="Arial"/>
          </w:rPr>
          <w:t>para 4.22.</w:t>
        </w:r>
      </w:hyperlink>
    </w:p>
  </w:footnote>
  <w:footnote w:id="43">
    <w:p w14:paraId="6FAFB073" w14:textId="5B9B5C80"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45" w:history="1">
        <w:r w:rsidRPr="00C145DE">
          <w:rPr>
            <w:rStyle w:val="Hyperlink"/>
            <w:rFonts w:cs="Arial"/>
          </w:rPr>
          <w:t>Transport for London, ‘Travel in London: Understanding our diverse communities 2019’ (2019)</w:t>
        </w:r>
      </w:hyperlink>
      <w:r w:rsidRPr="00C145DE">
        <w:rPr>
          <w:rFonts w:cs="Arial"/>
        </w:rPr>
        <w:t xml:space="preserve"> </w:t>
      </w:r>
      <w:hyperlink r:id="rId46" w:history="1">
        <w:r w:rsidRPr="00C145DE">
          <w:rPr>
            <w:rStyle w:val="Hyperlink"/>
            <w:rFonts w:cs="Arial"/>
          </w:rPr>
          <w:t>para 5.19.</w:t>
        </w:r>
      </w:hyperlink>
    </w:p>
  </w:footnote>
  <w:footnote w:id="44">
    <w:p w14:paraId="73A62C02" w14:textId="3AF98AAA"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47" w:history="1">
        <w:r w:rsidRPr="00C145DE">
          <w:rPr>
            <w:rStyle w:val="Hyperlink"/>
            <w:rFonts w:cs="Arial"/>
          </w:rPr>
          <w:t>Transport for London, ‘Travel in London: Understanding our diverse communities 2019’ (2019)</w:t>
        </w:r>
      </w:hyperlink>
      <w:r w:rsidRPr="00C145DE">
        <w:rPr>
          <w:rFonts w:cs="Arial"/>
        </w:rPr>
        <w:t xml:space="preserve"> </w:t>
      </w:r>
      <w:hyperlink r:id="rId48" w:history="1">
        <w:r w:rsidRPr="00C145DE">
          <w:rPr>
            <w:rStyle w:val="Hyperlink"/>
            <w:rFonts w:cs="Arial"/>
          </w:rPr>
          <w:t>para 5.20.</w:t>
        </w:r>
      </w:hyperlink>
    </w:p>
  </w:footnote>
  <w:footnote w:id="45">
    <w:p w14:paraId="07948CC5" w14:textId="1B6D6648"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49" w:history="1">
        <w:r w:rsidRPr="00C145DE">
          <w:rPr>
            <w:rStyle w:val="Hyperlink"/>
            <w:rFonts w:cs="Arial"/>
          </w:rPr>
          <w:t>Transport for London, ‘Travel in London: Understanding our diverse communities 2019’ (2019)</w:t>
        </w:r>
      </w:hyperlink>
      <w:r w:rsidRPr="00C145DE">
        <w:rPr>
          <w:rFonts w:cs="Arial"/>
        </w:rPr>
        <w:t xml:space="preserve"> </w:t>
      </w:r>
      <w:hyperlink r:id="rId50" w:history="1">
        <w:r w:rsidRPr="00C145DE">
          <w:rPr>
            <w:rStyle w:val="Hyperlink"/>
            <w:rFonts w:cs="Arial"/>
          </w:rPr>
          <w:t>para 10.6.</w:t>
        </w:r>
      </w:hyperlink>
    </w:p>
  </w:footnote>
  <w:footnote w:id="46">
    <w:p w14:paraId="1AD25F3F" w14:textId="714AEDDE" w:rsidR="00D45D4F" w:rsidRPr="00C145DE" w:rsidRDefault="00D45D4F">
      <w:pPr>
        <w:pStyle w:val="FootnoteText"/>
        <w:rPr>
          <w:rFonts w:cs="Arial"/>
        </w:rPr>
      </w:pPr>
      <w:r w:rsidRPr="00C145DE">
        <w:rPr>
          <w:rStyle w:val="FootnoteReference"/>
          <w:rFonts w:cs="Arial"/>
        </w:rPr>
        <w:footnoteRef/>
      </w:r>
      <w:r w:rsidRPr="00C145DE">
        <w:rPr>
          <w:rFonts w:cs="Arial"/>
        </w:rPr>
        <w:t xml:space="preserve"> D Wilkin, </w:t>
      </w:r>
      <w:r w:rsidRPr="00C145DE">
        <w:rPr>
          <w:rFonts w:cs="Arial"/>
          <w:i/>
        </w:rPr>
        <w:t>Disability Hate Crime: Experiences of Everyday Hostility on Public Transport</w:t>
      </w:r>
      <w:r w:rsidRPr="00C145DE">
        <w:rPr>
          <w:rFonts w:cs="Arial"/>
        </w:rPr>
        <w:t xml:space="preserve"> (2020) p 13.</w:t>
      </w:r>
    </w:p>
  </w:footnote>
  <w:footnote w:id="47">
    <w:p w14:paraId="79676E31" w14:textId="071F72B2" w:rsidR="00D45D4F" w:rsidRPr="00C145DE" w:rsidRDefault="00D45D4F">
      <w:pPr>
        <w:pStyle w:val="FootnoteText"/>
        <w:rPr>
          <w:rFonts w:cs="Arial"/>
        </w:rPr>
      </w:pPr>
      <w:r w:rsidRPr="00C145DE">
        <w:rPr>
          <w:rStyle w:val="FootnoteReference"/>
          <w:rFonts w:cs="Arial"/>
        </w:rPr>
        <w:footnoteRef/>
      </w:r>
      <w:r w:rsidRPr="00C145DE">
        <w:rPr>
          <w:rFonts w:cs="Arial"/>
        </w:rPr>
        <w:t xml:space="preserve"> This would include direct discrimination, indirect discrimination, disability arising from disability, and failure to make a reasonable adjustment. </w:t>
      </w:r>
    </w:p>
  </w:footnote>
  <w:footnote w:id="48">
    <w:p w14:paraId="5F57B69F" w14:textId="5775E69D"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51" w:history="1">
        <w:r w:rsidRPr="00C145DE">
          <w:rPr>
            <w:rStyle w:val="Hyperlink"/>
            <w:rFonts w:cs="Arial"/>
          </w:rPr>
          <w:t>Equality Act 2010, s 29(1).</w:t>
        </w:r>
      </w:hyperlink>
    </w:p>
  </w:footnote>
  <w:footnote w:id="49">
    <w:p w14:paraId="66E3B0FD" w14:textId="38C6FA79"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52" w:history="1">
        <w:r w:rsidRPr="00C145DE">
          <w:rPr>
            <w:rStyle w:val="Hyperlink"/>
            <w:rFonts w:cs="Arial"/>
          </w:rPr>
          <w:t>Equality Act 2010, sch 3, para 32.</w:t>
        </w:r>
      </w:hyperlink>
    </w:p>
  </w:footnote>
  <w:footnote w:id="50">
    <w:p w14:paraId="070AB1F1" w14:textId="01CDBE2C"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53" w:history="1">
        <w:r w:rsidRPr="00C145DE">
          <w:rPr>
            <w:rStyle w:val="Hyperlink"/>
            <w:rFonts w:cs="Arial"/>
          </w:rPr>
          <w:t>Equality Act 2010, sch 3, para 34.</w:t>
        </w:r>
      </w:hyperlink>
    </w:p>
  </w:footnote>
  <w:footnote w:id="51">
    <w:p w14:paraId="461C5DF3" w14:textId="34170CDC"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54" w:history="1">
        <w:r w:rsidRPr="00C145DE">
          <w:rPr>
            <w:rStyle w:val="Hyperlink"/>
            <w:rFonts w:cs="Arial"/>
          </w:rPr>
          <w:t>Equality Act 2010, sch 3, para 34(1)(f).</w:t>
        </w:r>
      </w:hyperlink>
    </w:p>
  </w:footnote>
  <w:footnote w:id="52">
    <w:p w14:paraId="282AC2FA" w14:textId="07BF5D48"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55" w:history="1">
        <w:r w:rsidRPr="00C145DE">
          <w:rPr>
            <w:rStyle w:val="Hyperlink"/>
            <w:rFonts w:cs="Arial"/>
          </w:rPr>
          <w:t>Schedule 3, paras 34(1)(d) and (e), Equality Act 2010.</w:t>
        </w:r>
      </w:hyperlink>
    </w:p>
  </w:footnote>
  <w:footnote w:id="53">
    <w:p w14:paraId="343AD642" w14:textId="55DE5018"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56" w:history="1">
        <w:r w:rsidRPr="00C145DE">
          <w:rPr>
            <w:rStyle w:val="Hyperlink"/>
            <w:rFonts w:cs="Arial"/>
          </w:rPr>
          <w:t>Schedule 3, para 34(1)(h), Equality Act 2010.</w:t>
        </w:r>
      </w:hyperlink>
    </w:p>
  </w:footnote>
  <w:footnote w:id="54">
    <w:p w14:paraId="5F4480D9" w14:textId="77777777" w:rsidR="00D45D4F" w:rsidRPr="00C145DE" w:rsidRDefault="00D45D4F" w:rsidP="00A8048F">
      <w:pPr>
        <w:pStyle w:val="FootnoteText"/>
        <w:rPr>
          <w:rFonts w:cs="Arial"/>
        </w:rPr>
      </w:pPr>
      <w:r w:rsidRPr="00C145DE">
        <w:rPr>
          <w:rStyle w:val="FootnoteReference"/>
          <w:rFonts w:cs="Arial"/>
        </w:rPr>
        <w:footnoteRef/>
      </w:r>
      <w:r w:rsidRPr="00C145DE">
        <w:rPr>
          <w:rFonts w:cs="Arial"/>
        </w:rPr>
        <w:t xml:space="preserve"> </w:t>
      </w:r>
      <w:r w:rsidRPr="00C145DE">
        <w:rPr>
          <w:rFonts w:cs="Arial"/>
          <w:i/>
        </w:rPr>
        <w:t>Hansard</w:t>
      </w:r>
      <w:r w:rsidRPr="00C145DE">
        <w:rPr>
          <w:rFonts w:cs="Arial"/>
        </w:rPr>
        <w:t xml:space="preserve"> (HL), 19 January 2010, vol 716, col 561 (Baroness Thornton).</w:t>
      </w:r>
    </w:p>
  </w:footnote>
  <w:footnote w:id="55">
    <w:p w14:paraId="503E0D5C" w14:textId="7FC6546A"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57" w:history="1">
        <w:r w:rsidRPr="00C145DE">
          <w:rPr>
            <w:rStyle w:val="Hyperlink"/>
            <w:rFonts w:cs="Arial"/>
          </w:rPr>
          <w:t>House of Lords House of Commons Joint Committee on Human Rights, ‘Legislative Scrutiny: Equality Bill’ (27 October 2009). Memorandum submitted by Government Equalities Office Ev 38.</w:t>
        </w:r>
      </w:hyperlink>
    </w:p>
  </w:footnote>
  <w:footnote w:id="56">
    <w:p w14:paraId="4CED6AE5" w14:textId="49269922"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58" w:history="1">
        <w:r w:rsidRPr="00C145DE">
          <w:rPr>
            <w:rStyle w:val="Hyperlink"/>
            <w:rFonts w:cs="Arial"/>
          </w:rPr>
          <w:t>Equality Act 2010, sch 3, para 35(1).</w:t>
        </w:r>
      </w:hyperlink>
    </w:p>
  </w:footnote>
  <w:footnote w:id="57">
    <w:p w14:paraId="24F9B868" w14:textId="40EC8E06"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59" w:history="1">
        <w:r w:rsidRPr="00C145DE">
          <w:rPr>
            <w:rStyle w:val="Hyperlink"/>
            <w:rFonts w:cs="Arial"/>
          </w:rPr>
          <w:t>Equality Act 2010, sch 3, para 35(4).</w:t>
        </w:r>
      </w:hyperlink>
    </w:p>
  </w:footnote>
  <w:footnote w:id="58">
    <w:p w14:paraId="7153A16B" w14:textId="33736388"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60" w:history="1">
        <w:r w:rsidRPr="00C145DE">
          <w:rPr>
            <w:rStyle w:val="Hyperlink"/>
            <w:rFonts w:cs="Arial"/>
          </w:rPr>
          <w:t>Equality Act 2010, sch 2.</w:t>
        </w:r>
      </w:hyperlink>
    </w:p>
  </w:footnote>
  <w:footnote w:id="59">
    <w:p w14:paraId="3B2D9C02" w14:textId="673A0451"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61" w:history="1">
        <w:r w:rsidRPr="00C145DE">
          <w:rPr>
            <w:rStyle w:val="Hyperlink"/>
            <w:rFonts w:cs="Arial"/>
          </w:rPr>
          <w:t>Equality Act 2010, sch 2, para 3.</w:t>
        </w:r>
      </w:hyperlink>
    </w:p>
  </w:footnote>
  <w:footnote w:id="60">
    <w:p w14:paraId="192F64DB" w14:textId="325C507F" w:rsidR="00D45D4F" w:rsidRPr="00C145DE" w:rsidRDefault="00D45D4F" w:rsidP="00424999">
      <w:pPr>
        <w:pStyle w:val="FootnoteText"/>
        <w:rPr>
          <w:rFonts w:cs="Arial"/>
        </w:rPr>
      </w:pPr>
      <w:r w:rsidRPr="00C145DE">
        <w:rPr>
          <w:rStyle w:val="FootnoteReference"/>
          <w:rFonts w:cs="Arial"/>
        </w:rPr>
        <w:footnoteRef/>
      </w:r>
      <w:r w:rsidRPr="00C145DE">
        <w:rPr>
          <w:rFonts w:cs="Arial"/>
        </w:rPr>
        <w:t xml:space="preserve"> </w:t>
      </w:r>
      <w:hyperlink r:id="rId62" w:history="1">
        <w:r w:rsidRPr="00C145DE">
          <w:rPr>
            <w:rFonts w:cs="Arial"/>
            <w:color w:val="0000FF"/>
            <w:u w:val="single"/>
            <w:lang w:eastAsia="en-US"/>
          </w:rPr>
          <w:t>Equality Act 2010</w:t>
        </w:r>
      </w:hyperlink>
      <w:r w:rsidRPr="00C145DE">
        <w:rPr>
          <w:rFonts w:cs="Arial"/>
          <w:color w:val="0000FF"/>
          <w:u w:val="single"/>
          <w:lang w:eastAsia="en-US"/>
        </w:rPr>
        <w:t>, Pt 12.</w:t>
      </w:r>
    </w:p>
  </w:footnote>
  <w:footnote w:id="61">
    <w:p w14:paraId="47BCA8A9" w14:textId="336E38CE"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63" w:history="1">
        <w:r w:rsidRPr="00C145DE">
          <w:rPr>
            <w:rStyle w:val="Hyperlink"/>
            <w:rFonts w:cs="Arial"/>
          </w:rPr>
          <w:t>House of Lords Select Committee on the Equality Act and disability, ‘The Equality Act 2010: the impact on disabled People’ (Report of Session 2015-16).</w:t>
        </w:r>
      </w:hyperlink>
    </w:p>
  </w:footnote>
  <w:footnote w:id="62">
    <w:p w14:paraId="0A96C25C" w14:textId="58A991C8"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64" w:history="1">
        <w:r w:rsidRPr="00C145DE">
          <w:rPr>
            <w:rStyle w:val="Hyperlink"/>
            <w:rFonts w:cs="Arial"/>
          </w:rPr>
          <w:t>Equality and Human Rights Commission, ‘Being disabled in Britain’ (2017) p 124.</w:t>
        </w:r>
      </w:hyperlink>
    </w:p>
  </w:footnote>
  <w:footnote w:id="63">
    <w:p w14:paraId="172809FF" w14:textId="5F36BDF6"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65" w:history="1">
        <w:r w:rsidRPr="00C145DE">
          <w:rPr>
            <w:rStyle w:val="Hyperlink"/>
            <w:rFonts w:cs="Arial"/>
          </w:rPr>
          <w:t>Department for Transport, “National Travel Survey: England 2018” (31 July 2019).</w:t>
        </w:r>
      </w:hyperlink>
    </w:p>
  </w:footnote>
  <w:footnote w:id="64">
    <w:p w14:paraId="0485AD92" w14:textId="13304A73" w:rsidR="00D45D4F" w:rsidRPr="00C145DE" w:rsidRDefault="00D45D4F" w:rsidP="00AB699D">
      <w:pPr>
        <w:pStyle w:val="FootnoteText"/>
        <w:rPr>
          <w:rFonts w:cs="Arial"/>
        </w:rPr>
      </w:pPr>
      <w:r w:rsidRPr="00C145DE">
        <w:rPr>
          <w:rStyle w:val="FootnoteReference"/>
          <w:rFonts w:cs="Arial"/>
        </w:rPr>
        <w:footnoteRef/>
      </w:r>
      <w:r w:rsidRPr="00C145DE">
        <w:rPr>
          <w:rFonts w:cs="Arial"/>
        </w:rPr>
        <w:t xml:space="preserve"> </w:t>
      </w:r>
      <w:hyperlink r:id="rId66" w:history="1">
        <w:r w:rsidRPr="00C145DE">
          <w:rPr>
            <w:rStyle w:val="Hyperlink"/>
            <w:rFonts w:cs="Arial"/>
          </w:rPr>
          <w:t>Transport Scotland, ‘Scottish Transport Statistics No 37’ (2018) para 2.17.</w:t>
        </w:r>
      </w:hyperlink>
    </w:p>
  </w:footnote>
  <w:footnote w:id="65">
    <w:p w14:paraId="3C2C83EE" w14:textId="430B294C"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r w:rsidRPr="00C145DE">
        <w:rPr>
          <w:rFonts w:cs="Arial"/>
          <w:i/>
        </w:rPr>
        <w:t>Hansard</w:t>
      </w:r>
      <w:r w:rsidRPr="00C145DE">
        <w:rPr>
          <w:rFonts w:cs="Arial"/>
        </w:rPr>
        <w:t xml:space="preserve"> (HL), 9 May 2019, vol 797, col 1319 (Baroness Thomas of Winchester).</w:t>
      </w:r>
    </w:p>
  </w:footnote>
  <w:footnote w:id="66">
    <w:p w14:paraId="2249D0C5" w14:textId="54A115D6" w:rsidR="00D45D4F" w:rsidRPr="00C145DE" w:rsidRDefault="00D45D4F" w:rsidP="002757B0">
      <w:pPr>
        <w:pStyle w:val="FootnoteText"/>
        <w:tabs>
          <w:tab w:val="left" w:pos="1356"/>
        </w:tabs>
        <w:rPr>
          <w:rFonts w:cs="Arial"/>
        </w:rPr>
      </w:pPr>
      <w:r w:rsidRPr="00C145DE">
        <w:rPr>
          <w:rStyle w:val="FootnoteReference"/>
          <w:rFonts w:cs="Arial"/>
        </w:rPr>
        <w:footnoteRef/>
      </w:r>
      <w:r w:rsidRPr="00C145DE">
        <w:rPr>
          <w:rFonts w:cs="Arial"/>
        </w:rPr>
        <w:t xml:space="preserve"> </w:t>
      </w:r>
      <w:hyperlink r:id="rId67" w:history="1">
        <w:r w:rsidRPr="00C145DE">
          <w:rPr>
            <w:rStyle w:val="Hyperlink"/>
            <w:rFonts w:cs="Arial"/>
          </w:rPr>
          <w:t>Scope, ‘Independent. Confident. Connected’ (2018) p 21.</w:t>
        </w:r>
      </w:hyperlink>
    </w:p>
  </w:footnote>
  <w:footnote w:id="67">
    <w:p w14:paraId="6E3BF6DD" w14:textId="7878E98E"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68" w:history="1">
        <w:r w:rsidRPr="00C145DE">
          <w:rPr>
            <w:rStyle w:val="Hyperlink"/>
            <w:rFonts w:cs="Arial"/>
          </w:rPr>
          <w:t>As quoted in Department for Transport, ‘The Inclusive Strategy: Achieving Equal Access for Disabled People’ (July 2018) p 48.</w:t>
        </w:r>
      </w:hyperlink>
    </w:p>
  </w:footnote>
  <w:footnote w:id="68">
    <w:p w14:paraId="16136E0A" w14:textId="154760E9"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69" w:history="1">
        <w:r w:rsidRPr="00C145DE">
          <w:rPr>
            <w:rStyle w:val="Hyperlink"/>
            <w:rFonts w:cs="Arial"/>
          </w:rPr>
          <w:t>UNCRPD, General Comment No. 2 on Accessibility (2014) para 24.</w:t>
        </w:r>
      </w:hyperlink>
    </w:p>
  </w:footnote>
  <w:footnote w:id="69">
    <w:p w14:paraId="29443BF5" w14:textId="286C794F" w:rsidR="00D45D4F" w:rsidRPr="00C145DE" w:rsidRDefault="00D45D4F" w:rsidP="006D21D5">
      <w:pPr>
        <w:pStyle w:val="FootnoteText"/>
        <w:rPr>
          <w:rFonts w:cs="Arial"/>
        </w:rPr>
      </w:pPr>
      <w:r w:rsidRPr="00C145DE">
        <w:rPr>
          <w:rStyle w:val="FootnoteReference"/>
          <w:rFonts w:cs="Arial"/>
        </w:rPr>
        <w:footnoteRef/>
      </w:r>
      <w:r w:rsidRPr="00C145DE">
        <w:rPr>
          <w:rFonts w:cs="Arial"/>
        </w:rPr>
        <w:t xml:space="preserve"> </w:t>
      </w:r>
      <w:hyperlink r:id="rId70" w:history="1">
        <w:r w:rsidRPr="00C145DE">
          <w:rPr>
            <w:rStyle w:val="Hyperlink"/>
            <w:rFonts w:cs="Arial"/>
          </w:rPr>
          <w:t>UNCRPD, General Comment No. 2 on Accessibility (2014) paras 25 and 29.</w:t>
        </w:r>
      </w:hyperlink>
      <w:r w:rsidRPr="00C145DE">
        <w:rPr>
          <w:rStyle w:val="Hyperlink"/>
          <w:rFonts w:cs="Arial"/>
        </w:rPr>
        <w:t xml:space="preserve"> </w:t>
      </w:r>
      <w:r w:rsidRPr="00C145DE">
        <w:rPr>
          <w:rStyle w:val="Hyperlink"/>
          <w:rFonts w:cs="Arial"/>
          <w:color w:val="auto"/>
          <w:u w:val="none"/>
        </w:rPr>
        <w:t xml:space="preserve">See also </w:t>
      </w:r>
      <w:hyperlink r:id="rId71" w:anchor="record-files-collapse-header" w:history="1">
        <w:r w:rsidRPr="00C145DE">
          <w:rPr>
            <w:rStyle w:val="Hyperlink"/>
            <w:rFonts w:cs="Arial"/>
          </w:rPr>
          <w:t>Committee on the Rights of Persons with Disabilities, Communication No. 21/2014.</w:t>
        </w:r>
      </w:hyperlink>
    </w:p>
  </w:footnote>
  <w:footnote w:id="70">
    <w:p w14:paraId="1237F4B7" w14:textId="7C450C2F"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72" w:history="1">
        <w:r w:rsidRPr="00C145DE">
          <w:rPr>
            <w:rStyle w:val="Hyperlink"/>
            <w:rFonts w:cs="Arial"/>
          </w:rPr>
          <w:t>Equality Act 2010, sch 2, para 3.</w:t>
        </w:r>
      </w:hyperlink>
    </w:p>
  </w:footnote>
  <w:footnote w:id="71">
    <w:p w14:paraId="0054A522" w14:textId="1B99A9D0"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73" w:history="1">
        <w:r w:rsidRPr="00C145DE">
          <w:rPr>
            <w:rStyle w:val="Hyperlink"/>
            <w:rFonts w:cs="Arial"/>
          </w:rPr>
          <w:t>Scope, ‘Travel Fair’ (September 2019) p 35.</w:t>
        </w:r>
      </w:hyperlink>
    </w:p>
  </w:footnote>
  <w:footnote w:id="72">
    <w:p w14:paraId="4D7B3DB6" w14:textId="62E077F0"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r w:rsidRPr="00C145DE">
        <w:rPr>
          <w:rFonts w:cs="Arial"/>
          <w:i/>
        </w:rPr>
        <w:t>Hansard</w:t>
      </w:r>
      <w:r w:rsidRPr="00C145DE">
        <w:rPr>
          <w:rFonts w:cs="Arial"/>
        </w:rPr>
        <w:t xml:space="preserve"> (HL), 24 October 2016, vol 776, col 48 (Baroness Campbell of Surbiton).</w:t>
      </w:r>
    </w:p>
  </w:footnote>
  <w:footnote w:id="73">
    <w:p w14:paraId="253B45A7" w14:textId="5DF230CF" w:rsidR="00D45D4F" w:rsidRPr="00C145DE" w:rsidRDefault="00D45D4F">
      <w:pPr>
        <w:pStyle w:val="FootnoteText"/>
        <w:rPr>
          <w:rFonts w:cs="Arial"/>
        </w:rPr>
      </w:pPr>
      <w:r w:rsidRPr="00C145DE">
        <w:rPr>
          <w:rStyle w:val="FootnoteReference"/>
          <w:rFonts w:cs="Arial"/>
        </w:rPr>
        <w:footnoteRef/>
      </w:r>
      <w:r w:rsidRPr="00C145DE">
        <w:rPr>
          <w:rFonts w:cs="Arial"/>
        </w:rPr>
        <w:t xml:space="preserve"> See also, Article 4(3) of the UNCRPD: “</w:t>
      </w:r>
      <w:r w:rsidRPr="00C145DE">
        <w:rPr>
          <w:rFonts w:cs="Arial"/>
          <w:color w:val="000000"/>
          <w:shd w:val="clear" w:color="auto" w:fill="FFFFFF"/>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footnote>
  <w:footnote w:id="74">
    <w:p w14:paraId="52A32D19" w14:textId="641ED9DA"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74" w:history="1">
        <w:r w:rsidRPr="00C145DE">
          <w:rPr>
            <w:rStyle w:val="Hyperlink"/>
            <w:rFonts w:cs="Arial"/>
          </w:rPr>
          <w:t>UNCRPD, General Comment No. 2 on Accessibility (2014) para 25.</w:t>
        </w:r>
      </w:hyperlink>
    </w:p>
  </w:footnote>
  <w:footnote w:id="75">
    <w:p w14:paraId="283EDAA8" w14:textId="67BAEBE7"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r w:rsidR="00F34CFF">
        <w:rPr>
          <w:rFonts w:cs="Arial"/>
        </w:rPr>
        <w:t xml:space="preserve">The Centre for Excellence in Universal Design, </w:t>
      </w:r>
      <w:hyperlink r:id="rId75" w:history="1">
        <w:r w:rsidR="00F34CFF" w:rsidRPr="00F34CFF">
          <w:rPr>
            <w:rStyle w:val="Hyperlink"/>
            <w:rFonts w:cs="Arial"/>
          </w:rPr>
          <w:t>The 7 Principles.</w:t>
        </w:r>
      </w:hyperlink>
      <w:r w:rsidR="00F34CFF">
        <w:rPr>
          <w:rFonts w:cs="Arial"/>
        </w:rPr>
        <w:t xml:space="preserve"> </w:t>
      </w:r>
    </w:p>
  </w:footnote>
  <w:footnote w:id="76">
    <w:p w14:paraId="7823C8C8" w14:textId="67C731C7" w:rsidR="00D45D4F" w:rsidRPr="00C145DE" w:rsidRDefault="00D45D4F">
      <w:pPr>
        <w:pStyle w:val="FootnoteText"/>
        <w:rPr>
          <w:rFonts w:cs="Arial"/>
          <w:color w:val="0000FF"/>
          <w:u w:val="single"/>
        </w:rPr>
      </w:pPr>
      <w:r w:rsidRPr="00C145DE">
        <w:rPr>
          <w:rStyle w:val="FootnoteReference"/>
          <w:rFonts w:cs="Arial"/>
        </w:rPr>
        <w:footnoteRef/>
      </w:r>
      <w:r w:rsidRPr="00C145DE">
        <w:rPr>
          <w:rStyle w:val="Hyperlink"/>
          <w:rFonts w:cs="Arial"/>
        </w:rPr>
        <w:t xml:space="preserve"> </w:t>
      </w:r>
      <w:hyperlink r:id="rId76" w:history="1">
        <w:r w:rsidRPr="00C145DE">
          <w:rPr>
            <w:rStyle w:val="Hyperlink"/>
            <w:rFonts w:cs="Arial"/>
          </w:rPr>
          <w:t>See the UNCRPD, General Comment No. 2 on Accessibility (2014) para 15.</w:t>
        </w:r>
      </w:hyperlink>
    </w:p>
  </w:footnote>
  <w:footnote w:id="77">
    <w:p w14:paraId="66E7210B" w14:textId="3764CD86" w:rsidR="00D45D4F" w:rsidRPr="00C145DE" w:rsidRDefault="00D45D4F" w:rsidP="002137C3">
      <w:pPr>
        <w:pStyle w:val="FootnoteText"/>
        <w:rPr>
          <w:rFonts w:cs="Arial"/>
        </w:rPr>
      </w:pPr>
      <w:r w:rsidRPr="00C145DE">
        <w:rPr>
          <w:rStyle w:val="FootnoteReference"/>
          <w:rFonts w:cs="Arial"/>
        </w:rPr>
        <w:footnoteRef/>
      </w:r>
      <w:r w:rsidRPr="00C145DE">
        <w:rPr>
          <w:rFonts w:cs="Arial"/>
        </w:rPr>
        <w:t xml:space="preserve"> </w:t>
      </w:r>
      <w:hyperlink r:id="rId77" w:history="1">
        <w:r w:rsidRPr="00C145DE">
          <w:rPr>
            <w:rStyle w:val="Hyperlink"/>
            <w:rFonts w:cs="Arial"/>
          </w:rPr>
          <w:t>UNCRPD General Comment No. 2 on Accessibility (2014), para 29.</w:t>
        </w:r>
      </w:hyperlink>
      <w:r w:rsidRPr="00C145DE">
        <w:rPr>
          <w:rFonts w:cs="Arial"/>
        </w:rPr>
        <w:t xml:space="preserve"> For further existing guidance to businesses on assistance dogs produced by the Commission see: </w:t>
      </w:r>
      <w:hyperlink r:id="rId78" w:history="1">
        <w:r w:rsidRPr="00C145DE">
          <w:rPr>
            <w:rStyle w:val="Hyperlink"/>
            <w:rFonts w:cs="Arial"/>
          </w:rPr>
          <w:t>Equality and Human Rights Commission, ‘Assistance dogs: A guide for all businesses’ (2017).</w:t>
        </w:r>
      </w:hyperlink>
    </w:p>
  </w:footnote>
  <w:footnote w:id="78">
    <w:p w14:paraId="55E473C9" w14:textId="77777777" w:rsidR="00D45D4F" w:rsidRPr="00C145DE" w:rsidRDefault="00D45D4F" w:rsidP="0078540E">
      <w:pPr>
        <w:pStyle w:val="FootnoteText"/>
        <w:rPr>
          <w:rFonts w:cs="Arial"/>
        </w:rPr>
      </w:pPr>
      <w:r w:rsidRPr="00C145DE">
        <w:rPr>
          <w:rStyle w:val="FootnoteReference"/>
          <w:rFonts w:cs="Arial"/>
        </w:rPr>
        <w:footnoteRef/>
      </w:r>
      <w:r w:rsidRPr="00C145DE">
        <w:rPr>
          <w:rFonts w:cs="Arial"/>
        </w:rPr>
        <w:t xml:space="preserve"> </w:t>
      </w:r>
      <w:hyperlink r:id="rId79" w:history="1">
        <w:r w:rsidRPr="00C145DE">
          <w:rPr>
            <w:rStyle w:val="Hyperlink"/>
            <w:rFonts w:cs="Arial"/>
          </w:rPr>
          <w:t>Law Commission of England and Wales CP No 245; Scottish Law Commission DP No 169, ‘Automated Vehicles: Consultation Paper 2 on Passenger Services and Public Transport’ paras 6.22 to 6.47</w:t>
        </w:r>
      </w:hyperlink>
      <w:r w:rsidRPr="00C145DE">
        <w:rPr>
          <w:rStyle w:val="Hyperlink"/>
          <w:rFonts w:cs="Arial"/>
        </w:rPr>
        <w:t>.</w:t>
      </w:r>
    </w:p>
  </w:footnote>
  <w:footnote w:id="79">
    <w:p w14:paraId="7087A72A" w14:textId="011EADFC" w:rsidR="00D45D4F" w:rsidRPr="00C145DE" w:rsidRDefault="00D45D4F" w:rsidP="00D67E88">
      <w:pPr>
        <w:pStyle w:val="FootnoteText"/>
        <w:rPr>
          <w:rFonts w:cs="Arial"/>
        </w:rPr>
      </w:pPr>
      <w:r w:rsidRPr="00C145DE">
        <w:rPr>
          <w:rStyle w:val="FootnoteReference"/>
          <w:rFonts w:cs="Arial"/>
        </w:rPr>
        <w:footnoteRef/>
      </w:r>
      <w:r w:rsidRPr="00C145DE">
        <w:rPr>
          <w:rFonts w:cs="Arial"/>
        </w:rPr>
        <w:t xml:space="preserve"> Our preference, therefore, would be for these standards to be defined in secondary legislation (regulations). One way this could happen is for the EA 2010 to be amended to provide the option for the Secretary of State to make regulations in terms of accessibility. In relation to both taxis and public service vehicles, the EA 2010 made provision for accessibility regulations to be made (ss 160 and 174, EA 2010 respectively, although s 160 is not yet in force).  </w:t>
      </w:r>
    </w:p>
  </w:footnote>
  <w:footnote w:id="80">
    <w:p w14:paraId="77170752" w14:textId="5BA22CEA"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80" w:history="1">
        <w:r w:rsidRPr="00C145DE">
          <w:rPr>
            <w:rStyle w:val="Hyperlink"/>
            <w:rFonts w:cs="Arial"/>
          </w:rPr>
          <w:t>Scope, ‘Travel Fair’ (September 2019) p 35.</w:t>
        </w:r>
      </w:hyperlink>
    </w:p>
  </w:footnote>
  <w:footnote w:id="81">
    <w:p w14:paraId="785A5EBA" w14:textId="7F103215" w:rsidR="00D45D4F" w:rsidRPr="00C145DE" w:rsidRDefault="00D45D4F">
      <w:pPr>
        <w:pStyle w:val="FootnoteText"/>
        <w:rPr>
          <w:rFonts w:cs="Arial"/>
        </w:rPr>
      </w:pPr>
      <w:r w:rsidRPr="00C145DE">
        <w:rPr>
          <w:rStyle w:val="FootnoteReference"/>
          <w:rFonts w:cs="Arial"/>
        </w:rPr>
        <w:footnoteRef/>
      </w:r>
      <w:r w:rsidRPr="00C145DE">
        <w:rPr>
          <w:rFonts w:cs="Arial"/>
        </w:rPr>
        <w:t xml:space="preserve"> </w:t>
      </w:r>
      <w:hyperlink r:id="rId81" w:history="1">
        <w:r w:rsidRPr="00C145DE">
          <w:rPr>
            <w:rStyle w:val="Hyperlink"/>
            <w:rFonts w:cs="Arial"/>
          </w:rPr>
          <w:t>House of Lords Select Committee on the Equality Act and disability, ‘The Equality Act 2010: the impact on disabled People’ (Report of Session 2015-16) para 275.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E46B" w14:textId="76EAB007" w:rsidR="00D45D4F" w:rsidRPr="00873999" w:rsidRDefault="008E13D6">
    <w:pPr>
      <w:pStyle w:val="Header"/>
      <w:jc w:val="right"/>
      <w:rPr>
        <w:sz w:val="20"/>
        <w:szCs w:val="20"/>
      </w:rPr>
    </w:pPr>
    <w:sdt>
      <w:sdtPr>
        <w:rPr>
          <w:sz w:val="20"/>
          <w:szCs w:val="20"/>
        </w:rPr>
        <w:id w:val="1453598367"/>
        <w:docPartObj>
          <w:docPartGallery w:val="Page Numbers (Top of Page)"/>
          <w:docPartUnique/>
        </w:docPartObj>
      </w:sdtPr>
      <w:sdtEndPr>
        <w:rPr>
          <w:noProof/>
        </w:rPr>
      </w:sdtEndPr>
      <w:sdtContent>
        <w:r w:rsidR="00D45D4F" w:rsidRPr="00873999">
          <w:rPr>
            <w:sz w:val="20"/>
            <w:szCs w:val="20"/>
          </w:rPr>
          <w:fldChar w:fldCharType="begin"/>
        </w:r>
        <w:r w:rsidR="00D45D4F" w:rsidRPr="00873999">
          <w:rPr>
            <w:sz w:val="20"/>
            <w:szCs w:val="20"/>
          </w:rPr>
          <w:instrText xml:space="preserve"> PAGE   \* MERGEFORMAT </w:instrText>
        </w:r>
        <w:r w:rsidR="00D45D4F" w:rsidRPr="00873999">
          <w:rPr>
            <w:sz w:val="20"/>
            <w:szCs w:val="20"/>
          </w:rPr>
          <w:fldChar w:fldCharType="separate"/>
        </w:r>
        <w:r w:rsidR="00EC07AD">
          <w:rPr>
            <w:noProof/>
            <w:sz w:val="20"/>
            <w:szCs w:val="20"/>
          </w:rPr>
          <w:t>1</w:t>
        </w:r>
        <w:r w:rsidR="00D45D4F" w:rsidRPr="00873999">
          <w:rPr>
            <w:noProof/>
            <w:sz w:val="20"/>
            <w:szCs w:val="20"/>
          </w:rPr>
          <w:fldChar w:fldCharType="end"/>
        </w:r>
      </w:sdtContent>
    </w:sdt>
  </w:p>
  <w:p w14:paraId="15E25892" w14:textId="77777777" w:rsidR="00D45D4F" w:rsidRPr="00873999" w:rsidRDefault="00D45D4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D83B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2D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CE0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B0C0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8C73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C6FA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A685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7637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16B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A1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134D1"/>
    <w:multiLevelType w:val="hybridMultilevel"/>
    <w:tmpl w:val="A44EBA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240D4F"/>
    <w:multiLevelType w:val="hybridMultilevel"/>
    <w:tmpl w:val="6450C2B8"/>
    <w:lvl w:ilvl="0" w:tplc="A5984EB4">
      <w:start w:val="1"/>
      <w:numFmt w:val="bullet"/>
      <w:lvlText w:val="•"/>
      <w:lvlJc w:val="left"/>
      <w:pPr>
        <w:tabs>
          <w:tab w:val="num" w:pos="720"/>
        </w:tabs>
        <w:ind w:left="720" w:hanging="360"/>
      </w:pPr>
      <w:rPr>
        <w:rFonts w:ascii="Arial" w:hAnsi="Arial" w:hint="default"/>
      </w:rPr>
    </w:lvl>
    <w:lvl w:ilvl="1" w:tplc="AFD288D8" w:tentative="1">
      <w:start w:val="1"/>
      <w:numFmt w:val="bullet"/>
      <w:lvlText w:val="•"/>
      <w:lvlJc w:val="left"/>
      <w:pPr>
        <w:tabs>
          <w:tab w:val="num" w:pos="1440"/>
        </w:tabs>
        <w:ind w:left="1440" w:hanging="360"/>
      </w:pPr>
      <w:rPr>
        <w:rFonts w:ascii="Arial" w:hAnsi="Arial" w:hint="default"/>
      </w:rPr>
    </w:lvl>
    <w:lvl w:ilvl="2" w:tplc="27C03EE4" w:tentative="1">
      <w:start w:val="1"/>
      <w:numFmt w:val="bullet"/>
      <w:lvlText w:val="•"/>
      <w:lvlJc w:val="left"/>
      <w:pPr>
        <w:tabs>
          <w:tab w:val="num" w:pos="2160"/>
        </w:tabs>
        <w:ind w:left="2160" w:hanging="360"/>
      </w:pPr>
      <w:rPr>
        <w:rFonts w:ascii="Arial" w:hAnsi="Arial" w:hint="default"/>
      </w:rPr>
    </w:lvl>
    <w:lvl w:ilvl="3" w:tplc="F9CA710E" w:tentative="1">
      <w:start w:val="1"/>
      <w:numFmt w:val="bullet"/>
      <w:lvlText w:val="•"/>
      <w:lvlJc w:val="left"/>
      <w:pPr>
        <w:tabs>
          <w:tab w:val="num" w:pos="2880"/>
        </w:tabs>
        <w:ind w:left="2880" w:hanging="360"/>
      </w:pPr>
      <w:rPr>
        <w:rFonts w:ascii="Arial" w:hAnsi="Arial" w:hint="default"/>
      </w:rPr>
    </w:lvl>
    <w:lvl w:ilvl="4" w:tplc="8F6C9BEA" w:tentative="1">
      <w:start w:val="1"/>
      <w:numFmt w:val="bullet"/>
      <w:lvlText w:val="•"/>
      <w:lvlJc w:val="left"/>
      <w:pPr>
        <w:tabs>
          <w:tab w:val="num" w:pos="3600"/>
        </w:tabs>
        <w:ind w:left="3600" w:hanging="360"/>
      </w:pPr>
      <w:rPr>
        <w:rFonts w:ascii="Arial" w:hAnsi="Arial" w:hint="default"/>
      </w:rPr>
    </w:lvl>
    <w:lvl w:ilvl="5" w:tplc="E3FE3A22" w:tentative="1">
      <w:start w:val="1"/>
      <w:numFmt w:val="bullet"/>
      <w:lvlText w:val="•"/>
      <w:lvlJc w:val="left"/>
      <w:pPr>
        <w:tabs>
          <w:tab w:val="num" w:pos="4320"/>
        </w:tabs>
        <w:ind w:left="4320" w:hanging="360"/>
      </w:pPr>
      <w:rPr>
        <w:rFonts w:ascii="Arial" w:hAnsi="Arial" w:hint="default"/>
      </w:rPr>
    </w:lvl>
    <w:lvl w:ilvl="6" w:tplc="B5868ABC" w:tentative="1">
      <w:start w:val="1"/>
      <w:numFmt w:val="bullet"/>
      <w:lvlText w:val="•"/>
      <w:lvlJc w:val="left"/>
      <w:pPr>
        <w:tabs>
          <w:tab w:val="num" w:pos="5040"/>
        </w:tabs>
        <w:ind w:left="5040" w:hanging="360"/>
      </w:pPr>
      <w:rPr>
        <w:rFonts w:ascii="Arial" w:hAnsi="Arial" w:hint="default"/>
      </w:rPr>
    </w:lvl>
    <w:lvl w:ilvl="7" w:tplc="C8F89016" w:tentative="1">
      <w:start w:val="1"/>
      <w:numFmt w:val="bullet"/>
      <w:lvlText w:val="•"/>
      <w:lvlJc w:val="left"/>
      <w:pPr>
        <w:tabs>
          <w:tab w:val="num" w:pos="5760"/>
        </w:tabs>
        <w:ind w:left="5760" w:hanging="360"/>
      </w:pPr>
      <w:rPr>
        <w:rFonts w:ascii="Arial" w:hAnsi="Arial" w:hint="default"/>
      </w:rPr>
    </w:lvl>
    <w:lvl w:ilvl="8" w:tplc="0B40DE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20317C"/>
    <w:multiLevelType w:val="hybridMultilevel"/>
    <w:tmpl w:val="684EEDEA"/>
    <w:lvl w:ilvl="0" w:tplc="ECDA2BF8">
      <w:start w:val="1"/>
      <w:numFmt w:val="bullet"/>
      <w:pStyle w:val="bulletpoint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81A7E"/>
    <w:multiLevelType w:val="hybridMultilevel"/>
    <w:tmpl w:val="226A924C"/>
    <w:lvl w:ilvl="0" w:tplc="F558E4D6">
      <w:start w:val="1"/>
      <w:numFmt w:val="bullet"/>
      <w:lvlText w:val="•"/>
      <w:lvlJc w:val="left"/>
      <w:pPr>
        <w:tabs>
          <w:tab w:val="num" w:pos="720"/>
        </w:tabs>
        <w:ind w:left="720" w:hanging="360"/>
      </w:pPr>
      <w:rPr>
        <w:rFonts w:ascii="Arial" w:hAnsi="Arial" w:hint="default"/>
      </w:rPr>
    </w:lvl>
    <w:lvl w:ilvl="1" w:tplc="674C5892">
      <w:start w:val="1"/>
      <w:numFmt w:val="bullet"/>
      <w:lvlText w:val="•"/>
      <w:lvlJc w:val="left"/>
      <w:pPr>
        <w:tabs>
          <w:tab w:val="num" w:pos="1440"/>
        </w:tabs>
        <w:ind w:left="1440" w:hanging="360"/>
      </w:pPr>
      <w:rPr>
        <w:rFonts w:ascii="Arial" w:hAnsi="Arial" w:hint="default"/>
      </w:rPr>
    </w:lvl>
    <w:lvl w:ilvl="2" w:tplc="4D948CC6" w:tentative="1">
      <w:start w:val="1"/>
      <w:numFmt w:val="bullet"/>
      <w:lvlText w:val="•"/>
      <w:lvlJc w:val="left"/>
      <w:pPr>
        <w:tabs>
          <w:tab w:val="num" w:pos="2160"/>
        </w:tabs>
        <w:ind w:left="2160" w:hanging="360"/>
      </w:pPr>
      <w:rPr>
        <w:rFonts w:ascii="Arial" w:hAnsi="Arial" w:hint="default"/>
      </w:rPr>
    </w:lvl>
    <w:lvl w:ilvl="3" w:tplc="1E5ACA1A" w:tentative="1">
      <w:start w:val="1"/>
      <w:numFmt w:val="bullet"/>
      <w:lvlText w:val="•"/>
      <w:lvlJc w:val="left"/>
      <w:pPr>
        <w:tabs>
          <w:tab w:val="num" w:pos="2880"/>
        </w:tabs>
        <w:ind w:left="2880" w:hanging="360"/>
      </w:pPr>
      <w:rPr>
        <w:rFonts w:ascii="Arial" w:hAnsi="Arial" w:hint="default"/>
      </w:rPr>
    </w:lvl>
    <w:lvl w:ilvl="4" w:tplc="E3C223DA" w:tentative="1">
      <w:start w:val="1"/>
      <w:numFmt w:val="bullet"/>
      <w:lvlText w:val="•"/>
      <w:lvlJc w:val="left"/>
      <w:pPr>
        <w:tabs>
          <w:tab w:val="num" w:pos="3600"/>
        </w:tabs>
        <w:ind w:left="3600" w:hanging="360"/>
      </w:pPr>
      <w:rPr>
        <w:rFonts w:ascii="Arial" w:hAnsi="Arial" w:hint="default"/>
      </w:rPr>
    </w:lvl>
    <w:lvl w:ilvl="5" w:tplc="C15EB8FA" w:tentative="1">
      <w:start w:val="1"/>
      <w:numFmt w:val="bullet"/>
      <w:lvlText w:val="•"/>
      <w:lvlJc w:val="left"/>
      <w:pPr>
        <w:tabs>
          <w:tab w:val="num" w:pos="4320"/>
        </w:tabs>
        <w:ind w:left="4320" w:hanging="360"/>
      </w:pPr>
      <w:rPr>
        <w:rFonts w:ascii="Arial" w:hAnsi="Arial" w:hint="default"/>
      </w:rPr>
    </w:lvl>
    <w:lvl w:ilvl="6" w:tplc="E5BAA8B4" w:tentative="1">
      <w:start w:val="1"/>
      <w:numFmt w:val="bullet"/>
      <w:lvlText w:val="•"/>
      <w:lvlJc w:val="left"/>
      <w:pPr>
        <w:tabs>
          <w:tab w:val="num" w:pos="5040"/>
        </w:tabs>
        <w:ind w:left="5040" w:hanging="360"/>
      </w:pPr>
      <w:rPr>
        <w:rFonts w:ascii="Arial" w:hAnsi="Arial" w:hint="default"/>
      </w:rPr>
    </w:lvl>
    <w:lvl w:ilvl="7" w:tplc="9F0621FE" w:tentative="1">
      <w:start w:val="1"/>
      <w:numFmt w:val="bullet"/>
      <w:lvlText w:val="•"/>
      <w:lvlJc w:val="left"/>
      <w:pPr>
        <w:tabs>
          <w:tab w:val="num" w:pos="5760"/>
        </w:tabs>
        <w:ind w:left="5760" w:hanging="360"/>
      </w:pPr>
      <w:rPr>
        <w:rFonts w:ascii="Arial" w:hAnsi="Arial" w:hint="default"/>
      </w:rPr>
    </w:lvl>
    <w:lvl w:ilvl="8" w:tplc="7AC691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FC2C2E"/>
    <w:multiLevelType w:val="hybridMultilevel"/>
    <w:tmpl w:val="20ACDA90"/>
    <w:lvl w:ilvl="0" w:tplc="7250C8E2">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C55B3"/>
    <w:multiLevelType w:val="hybridMultilevel"/>
    <w:tmpl w:val="EB0CD9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7E54BC"/>
    <w:multiLevelType w:val="hybridMultilevel"/>
    <w:tmpl w:val="6602C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322366"/>
    <w:multiLevelType w:val="hybridMultilevel"/>
    <w:tmpl w:val="B3C640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F87763"/>
    <w:multiLevelType w:val="hybridMultilevel"/>
    <w:tmpl w:val="487AD4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7E7BC5"/>
    <w:multiLevelType w:val="hybridMultilevel"/>
    <w:tmpl w:val="1EACF4DA"/>
    <w:lvl w:ilvl="0" w:tplc="ADF06FB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711DF"/>
    <w:multiLevelType w:val="hybridMultilevel"/>
    <w:tmpl w:val="97E4A492"/>
    <w:lvl w:ilvl="0" w:tplc="10025B76">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FF3ADD"/>
    <w:multiLevelType w:val="hybridMultilevel"/>
    <w:tmpl w:val="9B84A0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840DF2"/>
    <w:multiLevelType w:val="hybridMultilevel"/>
    <w:tmpl w:val="E96EE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8C7A1A"/>
    <w:multiLevelType w:val="hybridMultilevel"/>
    <w:tmpl w:val="260C113A"/>
    <w:lvl w:ilvl="0" w:tplc="269A30C0">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B14F02"/>
    <w:multiLevelType w:val="hybridMultilevel"/>
    <w:tmpl w:val="B87E622E"/>
    <w:lvl w:ilvl="0" w:tplc="159EC95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42E674D"/>
    <w:multiLevelType w:val="hybridMultilevel"/>
    <w:tmpl w:val="A8A65D38"/>
    <w:lvl w:ilvl="0" w:tplc="ADF06FB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51C94"/>
    <w:multiLevelType w:val="hybridMultilevel"/>
    <w:tmpl w:val="53DA28EE"/>
    <w:lvl w:ilvl="0" w:tplc="80000124">
      <w:start w:val="1"/>
      <w:numFmt w:val="bullet"/>
      <w:pStyle w:val="Bulletsbase"/>
      <w:lvlText w:val=""/>
      <w:lvlJc w:val="left"/>
      <w:pPr>
        <w:ind w:left="140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7" w15:restartNumberingAfterBreak="0">
    <w:nsid w:val="7C6D3D8C"/>
    <w:multiLevelType w:val="hybridMultilevel"/>
    <w:tmpl w:val="84041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807CEF"/>
    <w:multiLevelType w:val="hybridMultilevel"/>
    <w:tmpl w:val="59FC8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4649C2"/>
    <w:multiLevelType w:val="hybridMultilevel"/>
    <w:tmpl w:val="441EA986"/>
    <w:lvl w:ilvl="0" w:tplc="F440E0C2">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9"/>
  </w:num>
  <w:num w:numId="3">
    <w:abstractNumId w:val="17"/>
  </w:num>
  <w:num w:numId="4">
    <w:abstractNumId w:val="16"/>
  </w:num>
  <w:num w:numId="5">
    <w:abstractNumId w:val="12"/>
  </w:num>
  <w:num w:numId="6">
    <w:abstractNumId w:val="26"/>
  </w:num>
  <w:num w:numId="7">
    <w:abstractNumId w:val="14"/>
  </w:num>
  <w:num w:numId="8">
    <w:abstractNumId w:val="18"/>
  </w:num>
  <w:num w:numId="9">
    <w:abstractNumId w:val="20"/>
  </w:num>
  <w:num w:numId="10">
    <w:abstractNumId w:val="19"/>
  </w:num>
  <w:num w:numId="11">
    <w:abstractNumId w:val="25"/>
  </w:num>
  <w:num w:numId="12">
    <w:abstractNumId w:val="23"/>
  </w:num>
  <w:num w:numId="13">
    <w:abstractNumId w:val="10"/>
  </w:num>
  <w:num w:numId="14">
    <w:abstractNumId w:val="15"/>
  </w:num>
  <w:num w:numId="15">
    <w:abstractNumId w:val="22"/>
  </w:num>
  <w:num w:numId="16">
    <w:abstractNumId w:val="21"/>
  </w:num>
  <w:num w:numId="17">
    <w:abstractNumId w:val="11"/>
  </w:num>
  <w:num w:numId="18">
    <w:abstractNumId w:val="27"/>
  </w:num>
  <w:num w:numId="19">
    <w:abstractNumId w:val="13"/>
  </w:num>
  <w:num w:numId="20">
    <w:abstractNumId w:val="28"/>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1F"/>
    <w:rsid w:val="00003F75"/>
    <w:rsid w:val="000433B5"/>
    <w:rsid w:val="000437A7"/>
    <w:rsid w:val="00044AD2"/>
    <w:rsid w:val="00050C55"/>
    <w:rsid w:val="00054A9A"/>
    <w:rsid w:val="000853B2"/>
    <w:rsid w:val="000C72BC"/>
    <w:rsid w:val="000C7E99"/>
    <w:rsid w:val="000E0DCD"/>
    <w:rsid w:val="000E15DB"/>
    <w:rsid w:val="000F4543"/>
    <w:rsid w:val="0010052A"/>
    <w:rsid w:val="001011FA"/>
    <w:rsid w:val="00101F79"/>
    <w:rsid w:val="00103B9A"/>
    <w:rsid w:val="00120C2D"/>
    <w:rsid w:val="00134F72"/>
    <w:rsid w:val="00142832"/>
    <w:rsid w:val="001548A6"/>
    <w:rsid w:val="00171715"/>
    <w:rsid w:val="001750FD"/>
    <w:rsid w:val="001770DE"/>
    <w:rsid w:val="00182489"/>
    <w:rsid w:val="00192EEA"/>
    <w:rsid w:val="001B1F5D"/>
    <w:rsid w:val="001B4C40"/>
    <w:rsid w:val="001D167C"/>
    <w:rsid w:val="001D6296"/>
    <w:rsid w:val="001E123F"/>
    <w:rsid w:val="001F37A2"/>
    <w:rsid w:val="0020005E"/>
    <w:rsid w:val="00202FE9"/>
    <w:rsid w:val="00203085"/>
    <w:rsid w:val="002137C3"/>
    <w:rsid w:val="0022159B"/>
    <w:rsid w:val="0022272A"/>
    <w:rsid w:val="00243135"/>
    <w:rsid w:val="00244FFA"/>
    <w:rsid w:val="00250ED5"/>
    <w:rsid w:val="002757B0"/>
    <w:rsid w:val="002867B9"/>
    <w:rsid w:val="002B1A98"/>
    <w:rsid w:val="002B705E"/>
    <w:rsid w:val="002C18FE"/>
    <w:rsid w:val="002C5749"/>
    <w:rsid w:val="002D1792"/>
    <w:rsid w:val="002D347F"/>
    <w:rsid w:val="002D5308"/>
    <w:rsid w:val="002E2928"/>
    <w:rsid w:val="002F6601"/>
    <w:rsid w:val="00300AB4"/>
    <w:rsid w:val="00322F2F"/>
    <w:rsid w:val="00336146"/>
    <w:rsid w:val="00336FA7"/>
    <w:rsid w:val="00354E49"/>
    <w:rsid w:val="00361E54"/>
    <w:rsid w:val="003736B7"/>
    <w:rsid w:val="003821DC"/>
    <w:rsid w:val="003911D0"/>
    <w:rsid w:val="00394E61"/>
    <w:rsid w:val="003C1D20"/>
    <w:rsid w:val="003D4B08"/>
    <w:rsid w:val="00406338"/>
    <w:rsid w:val="004104D2"/>
    <w:rsid w:val="004107DD"/>
    <w:rsid w:val="00412FDE"/>
    <w:rsid w:val="0041356F"/>
    <w:rsid w:val="00421CB4"/>
    <w:rsid w:val="00422477"/>
    <w:rsid w:val="00423EFD"/>
    <w:rsid w:val="00424999"/>
    <w:rsid w:val="0042585C"/>
    <w:rsid w:val="00436119"/>
    <w:rsid w:val="0043704E"/>
    <w:rsid w:val="00437BC1"/>
    <w:rsid w:val="0044130C"/>
    <w:rsid w:val="00485B6F"/>
    <w:rsid w:val="004A3C3E"/>
    <w:rsid w:val="004B4C62"/>
    <w:rsid w:val="004B612A"/>
    <w:rsid w:val="004E782D"/>
    <w:rsid w:val="004F7D5F"/>
    <w:rsid w:val="0050026A"/>
    <w:rsid w:val="00502352"/>
    <w:rsid w:val="00507DBB"/>
    <w:rsid w:val="00511FF5"/>
    <w:rsid w:val="0051520A"/>
    <w:rsid w:val="00521CBB"/>
    <w:rsid w:val="00525EFF"/>
    <w:rsid w:val="0053066C"/>
    <w:rsid w:val="00534219"/>
    <w:rsid w:val="005353A3"/>
    <w:rsid w:val="005445F0"/>
    <w:rsid w:val="00545A2F"/>
    <w:rsid w:val="00545FC9"/>
    <w:rsid w:val="00547A94"/>
    <w:rsid w:val="005531D2"/>
    <w:rsid w:val="00557EB5"/>
    <w:rsid w:val="00573AC8"/>
    <w:rsid w:val="005862BF"/>
    <w:rsid w:val="00591A15"/>
    <w:rsid w:val="00595CAF"/>
    <w:rsid w:val="00596A4A"/>
    <w:rsid w:val="005A45D3"/>
    <w:rsid w:val="005B0018"/>
    <w:rsid w:val="005C08F6"/>
    <w:rsid w:val="005D10E1"/>
    <w:rsid w:val="005E5493"/>
    <w:rsid w:val="00600708"/>
    <w:rsid w:val="006056BC"/>
    <w:rsid w:val="0061775B"/>
    <w:rsid w:val="00622743"/>
    <w:rsid w:val="006258B0"/>
    <w:rsid w:val="006372D5"/>
    <w:rsid w:val="0064254D"/>
    <w:rsid w:val="00653A63"/>
    <w:rsid w:val="00655A58"/>
    <w:rsid w:val="00655CCE"/>
    <w:rsid w:val="0067274E"/>
    <w:rsid w:val="00675058"/>
    <w:rsid w:val="00686AB3"/>
    <w:rsid w:val="00687D85"/>
    <w:rsid w:val="00690742"/>
    <w:rsid w:val="00691862"/>
    <w:rsid w:val="006B1BFD"/>
    <w:rsid w:val="006B2FE1"/>
    <w:rsid w:val="006D21D5"/>
    <w:rsid w:val="006F3FA3"/>
    <w:rsid w:val="006F53CB"/>
    <w:rsid w:val="006F7FA9"/>
    <w:rsid w:val="007012ED"/>
    <w:rsid w:val="00713F70"/>
    <w:rsid w:val="0073623F"/>
    <w:rsid w:val="00755E93"/>
    <w:rsid w:val="00762005"/>
    <w:rsid w:val="007770C3"/>
    <w:rsid w:val="0078540E"/>
    <w:rsid w:val="007903D7"/>
    <w:rsid w:val="00791111"/>
    <w:rsid w:val="00797D5B"/>
    <w:rsid w:val="007A00B6"/>
    <w:rsid w:val="007D688F"/>
    <w:rsid w:val="007E3D6D"/>
    <w:rsid w:val="007F0623"/>
    <w:rsid w:val="007F6B5D"/>
    <w:rsid w:val="008000A3"/>
    <w:rsid w:val="008077FA"/>
    <w:rsid w:val="00815762"/>
    <w:rsid w:val="0085799B"/>
    <w:rsid w:val="00873999"/>
    <w:rsid w:val="00875B2E"/>
    <w:rsid w:val="008846D5"/>
    <w:rsid w:val="008B3AF5"/>
    <w:rsid w:val="008C7FCD"/>
    <w:rsid w:val="008E13D6"/>
    <w:rsid w:val="008E37B9"/>
    <w:rsid w:val="008F1185"/>
    <w:rsid w:val="00912203"/>
    <w:rsid w:val="0091520C"/>
    <w:rsid w:val="0092469A"/>
    <w:rsid w:val="00935E3B"/>
    <w:rsid w:val="00947EC4"/>
    <w:rsid w:val="009506A9"/>
    <w:rsid w:val="009569A3"/>
    <w:rsid w:val="0098058B"/>
    <w:rsid w:val="009926D5"/>
    <w:rsid w:val="00993238"/>
    <w:rsid w:val="00994A28"/>
    <w:rsid w:val="009B4138"/>
    <w:rsid w:val="009C54D3"/>
    <w:rsid w:val="009C7611"/>
    <w:rsid w:val="009D16DB"/>
    <w:rsid w:val="009D26C5"/>
    <w:rsid w:val="009D3EE5"/>
    <w:rsid w:val="009E2307"/>
    <w:rsid w:val="009E473D"/>
    <w:rsid w:val="009E76F3"/>
    <w:rsid w:val="009E7A71"/>
    <w:rsid w:val="009F028D"/>
    <w:rsid w:val="00A103DD"/>
    <w:rsid w:val="00A11822"/>
    <w:rsid w:val="00A14F60"/>
    <w:rsid w:val="00A30A15"/>
    <w:rsid w:val="00A317C2"/>
    <w:rsid w:val="00A34CA5"/>
    <w:rsid w:val="00A40871"/>
    <w:rsid w:val="00A421B1"/>
    <w:rsid w:val="00A42F39"/>
    <w:rsid w:val="00A46788"/>
    <w:rsid w:val="00A47F04"/>
    <w:rsid w:val="00A52997"/>
    <w:rsid w:val="00A53BAB"/>
    <w:rsid w:val="00A723FA"/>
    <w:rsid w:val="00A7332E"/>
    <w:rsid w:val="00A8048F"/>
    <w:rsid w:val="00A97B60"/>
    <w:rsid w:val="00AA2B75"/>
    <w:rsid w:val="00AB49DF"/>
    <w:rsid w:val="00AB699D"/>
    <w:rsid w:val="00AC14DC"/>
    <w:rsid w:val="00AD1987"/>
    <w:rsid w:val="00AE078E"/>
    <w:rsid w:val="00AF0CD8"/>
    <w:rsid w:val="00B04218"/>
    <w:rsid w:val="00B149E1"/>
    <w:rsid w:val="00B16D3A"/>
    <w:rsid w:val="00B206F7"/>
    <w:rsid w:val="00B30E9C"/>
    <w:rsid w:val="00B41098"/>
    <w:rsid w:val="00B51516"/>
    <w:rsid w:val="00B52BA3"/>
    <w:rsid w:val="00B6780B"/>
    <w:rsid w:val="00B67A33"/>
    <w:rsid w:val="00B74650"/>
    <w:rsid w:val="00B75A79"/>
    <w:rsid w:val="00B8183A"/>
    <w:rsid w:val="00B91C9F"/>
    <w:rsid w:val="00BA36C6"/>
    <w:rsid w:val="00BB5BDA"/>
    <w:rsid w:val="00BB60FA"/>
    <w:rsid w:val="00BD7896"/>
    <w:rsid w:val="00BD7A64"/>
    <w:rsid w:val="00BE4600"/>
    <w:rsid w:val="00BE5CA0"/>
    <w:rsid w:val="00BE63ED"/>
    <w:rsid w:val="00BF43CD"/>
    <w:rsid w:val="00BF560B"/>
    <w:rsid w:val="00C01810"/>
    <w:rsid w:val="00C05D1C"/>
    <w:rsid w:val="00C06826"/>
    <w:rsid w:val="00C145DE"/>
    <w:rsid w:val="00C261E4"/>
    <w:rsid w:val="00C275C5"/>
    <w:rsid w:val="00C3105B"/>
    <w:rsid w:val="00C34135"/>
    <w:rsid w:val="00C448D8"/>
    <w:rsid w:val="00C5312A"/>
    <w:rsid w:val="00C57D64"/>
    <w:rsid w:val="00C600E5"/>
    <w:rsid w:val="00C75B54"/>
    <w:rsid w:val="00C770D4"/>
    <w:rsid w:val="00C83072"/>
    <w:rsid w:val="00C8495C"/>
    <w:rsid w:val="00C95D22"/>
    <w:rsid w:val="00CA7D21"/>
    <w:rsid w:val="00CE65F2"/>
    <w:rsid w:val="00CE7A61"/>
    <w:rsid w:val="00CE7D38"/>
    <w:rsid w:val="00CF1041"/>
    <w:rsid w:val="00D07E63"/>
    <w:rsid w:val="00D12BC4"/>
    <w:rsid w:val="00D15849"/>
    <w:rsid w:val="00D26F27"/>
    <w:rsid w:val="00D44583"/>
    <w:rsid w:val="00D45D4F"/>
    <w:rsid w:val="00D66D0C"/>
    <w:rsid w:val="00D67A0C"/>
    <w:rsid w:val="00D67E88"/>
    <w:rsid w:val="00D92412"/>
    <w:rsid w:val="00D946EC"/>
    <w:rsid w:val="00D95AE1"/>
    <w:rsid w:val="00DA59F9"/>
    <w:rsid w:val="00DB122F"/>
    <w:rsid w:val="00DC73D1"/>
    <w:rsid w:val="00DD0C5D"/>
    <w:rsid w:val="00DE43CE"/>
    <w:rsid w:val="00DE53F8"/>
    <w:rsid w:val="00E02F41"/>
    <w:rsid w:val="00E10235"/>
    <w:rsid w:val="00E17307"/>
    <w:rsid w:val="00E211CC"/>
    <w:rsid w:val="00E24B9F"/>
    <w:rsid w:val="00E27C5B"/>
    <w:rsid w:val="00E32945"/>
    <w:rsid w:val="00E3477C"/>
    <w:rsid w:val="00E364C5"/>
    <w:rsid w:val="00E420F1"/>
    <w:rsid w:val="00E66D4F"/>
    <w:rsid w:val="00E72668"/>
    <w:rsid w:val="00E75618"/>
    <w:rsid w:val="00E94C7F"/>
    <w:rsid w:val="00EB0BAA"/>
    <w:rsid w:val="00EC07AD"/>
    <w:rsid w:val="00EC1C6A"/>
    <w:rsid w:val="00EC4744"/>
    <w:rsid w:val="00ED39C1"/>
    <w:rsid w:val="00EE0677"/>
    <w:rsid w:val="00EE3100"/>
    <w:rsid w:val="00F0011F"/>
    <w:rsid w:val="00F018C7"/>
    <w:rsid w:val="00F036B4"/>
    <w:rsid w:val="00F079A7"/>
    <w:rsid w:val="00F07DC2"/>
    <w:rsid w:val="00F23118"/>
    <w:rsid w:val="00F2681E"/>
    <w:rsid w:val="00F34CFF"/>
    <w:rsid w:val="00F42E54"/>
    <w:rsid w:val="00F47376"/>
    <w:rsid w:val="00F474CF"/>
    <w:rsid w:val="00F64BE3"/>
    <w:rsid w:val="00F82281"/>
    <w:rsid w:val="00FB51C6"/>
    <w:rsid w:val="00FC2972"/>
    <w:rsid w:val="00FC6219"/>
    <w:rsid w:val="00FC631F"/>
    <w:rsid w:val="00FD42F6"/>
    <w:rsid w:val="00FD6692"/>
    <w:rsid w:val="00FD7815"/>
    <w:rsid w:val="00FE6004"/>
    <w:rsid w:val="00FE6898"/>
    <w:rsid w:val="00FF3869"/>
    <w:rsid w:val="00FF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D428F"/>
  <w15:chartTrackingRefBased/>
  <w15:docId w15:val="{DDB105DD-525C-4D20-8583-339019D9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rsid w:val="00F0011F"/>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qFormat/>
    <w:rsid w:val="00F001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01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067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437B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F0011F"/>
    <w:rPr>
      <w:color w:val="0000FF"/>
      <w:u w:val="single"/>
    </w:rPr>
  </w:style>
  <w:style w:type="paragraph" w:customStyle="1" w:styleId="mainbodycopy">
    <w:name w:val="&gt; main body copy"/>
    <w:basedOn w:val="Normal"/>
    <w:rsid w:val="00F0011F"/>
    <w:pPr>
      <w:spacing w:after="360" w:line="360" w:lineRule="auto"/>
    </w:pPr>
    <w:rPr>
      <w:rFonts w:cs="Arial"/>
      <w:spacing w:val="3"/>
      <w:szCs w:val="24"/>
      <w:lang w:eastAsia="en-GB"/>
    </w:rPr>
  </w:style>
  <w:style w:type="paragraph" w:customStyle="1" w:styleId="documenttitle">
    <w:name w:val="&gt; document title"/>
    <w:basedOn w:val="Heading1"/>
    <w:qFormat/>
    <w:rsid w:val="00F0011F"/>
    <w:pPr>
      <w:spacing w:before="0" w:after="1920" w:line="288" w:lineRule="auto"/>
    </w:pPr>
    <w:rPr>
      <w:rFonts w:ascii="Georgia" w:eastAsia="Times New Roman" w:hAnsi="Georgia" w:cs="Times New Roman"/>
      <w:bCs/>
      <w:color w:val="505759"/>
      <w:sz w:val="48"/>
      <w:szCs w:val="48"/>
    </w:rPr>
  </w:style>
  <w:style w:type="paragraph" w:customStyle="1" w:styleId="documentsection">
    <w:name w:val="&gt; document section"/>
    <w:basedOn w:val="Heading2"/>
    <w:qFormat/>
    <w:rsid w:val="00F0011F"/>
    <w:pPr>
      <w:pBdr>
        <w:bottom w:val="dotted" w:sz="4" w:space="1" w:color="auto"/>
      </w:pBdr>
      <w:spacing w:before="0" w:after="320" w:line="312" w:lineRule="auto"/>
    </w:pPr>
    <w:rPr>
      <w:rFonts w:ascii="Arial" w:eastAsia="Times New Roman" w:hAnsi="Arial" w:cs="Times New Roman"/>
      <w:b/>
      <w:bCs/>
      <w:color w:val="000000" w:themeColor="text1"/>
      <w:sz w:val="28"/>
    </w:rPr>
  </w:style>
  <w:style w:type="character" w:customStyle="1" w:styleId="Heading1Char">
    <w:name w:val="Heading 1 Char"/>
    <w:basedOn w:val="DefaultParagraphFont"/>
    <w:link w:val="Heading1"/>
    <w:uiPriority w:val="9"/>
    <w:rsid w:val="00F001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011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529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997"/>
    <w:rPr>
      <w:rFonts w:ascii="Segoe UI" w:eastAsia="Calibri" w:hAnsi="Segoe UI" w:cs="Segoe UI"/>
      <w:sz w:val="18"/>
      <w:szCs w:val="18"/>
    </w:rPr>
  </w:style>
  <w:style w:type="paragraph" w:customStyle="1" w:styleId="level2section">
    <w:name w:val="&gt; level 2 (section)"/>
    <w:basedOn w:val="Heading1"/>
    <w:qFormat/>
    <w:rsid w:val="00AF0CD8"/>
    <w:pPr>
      <w:pBdr>
        <w:bottom w:val="dotted" w:sz="4" w:space="1" w:color="auto"/>
      </w:pBdr>
      <w:spacing w:before="0" w:after="480" w:line="312" w:lineRule="auto"/>
    </w:pPr>
    <w:rPr>
      <w:color w:val="000000" w:themeColor="text1"/>
      <w:sz w:val="28"/>
    </w:rPr>
  </w:style>
  <w:style w:type="paragraph" w:styleId="NoSpacing">
    <w:name w:val="No Spacing"/>
    <w:uiPriority w:val="1"/>
    <w:qFormat/>
    <w:rsid w:val="00AF0CD8"/>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9B4138"/>
    <w:rPr>
      <w:sz w:val="16"/>
      <w:szCs w:val="16"/>
    </w:rPr>
  </w:style>
  <w:style w:type="paragraph" w:styleId="CommentText">
    <w:name w:val="annotation text"/>
    <w:basedOn w:val="Normal"/>
    <w:link w:val="CommentTextChar"/>
    <w:uiPriority w:val="99"/>
    <w:unhideWhenUsed/>
    <w:rsid w:val="009B4138"/>
    <w:pPr>
      <w:spacing w:line="240" w:lineRule="auto"/>
    </w:pPr>
    <w:rPr>
      <w:sz w:val="20"/>
      <w:szCs w:val="20"/>
    </w:rPr>
  </w:style>
  <w:style w:type="character" w:customStyle="1" w:styleId="CommentTextChar">
    <w:name w:val="Comment Text Char"/>
    <w:basedOn w:val="DefaultParagraphFont"/>
    <w:link w:val="CommentText"/>
    <w:uiPriority w:val="99"/>
    <w:rsid w:val="009B413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B4138"/>
    <w:rPr>
      <w:b/>
      <w:bCs/>
    </w:rPr>
  </w:style>
  <w:style w:type="character" w:customStyle="1" w:styleId="CommentSubjectChar">
    <w:name w:val="Comment Subject Char"/>
    <w:basedOn w:val="CommentTextChar"/>
    <w:link w:val="CommentSubject"/>
    <w:uiPriority w:val="99"/>
    <w:semiHidden/>
    <w:rsid w:val="009B4138"/>
    <w:rPr>
      <w:rFonts w:ascii="Arial" w:eastAsia="Calibri" w:hAnsi="Arial" w:cs="Times New Roman"/>
      <w:b/>
      <w:bCs/>
      <w:sz w:val="20"/>
      <w:szCs w:val="20"/>
    </w:rPr>
  </w:style>
  <w:style w:type="paragraph" w:styleId="Header">
    <w:name w:val="header"/>
    <w:basedOn w:val="Normal"/>
    <w:link w:val="HeaderChar"/>
    <w:uiPriority w:val="99"/>
    <w:unhideWhenUsed/>
    <w:rsid w:val="009B4138"/>
    <w:pPr>
      <w:tabs>
        <w:tab w:val="center" w:pos="4513"/>
        <w:tab w:val="right" w:pos="9026"/>
      </w:tabs>
      <w:spacing w:line="240" w:lineRule="auto"/>
    </w:pPr>
  </w:style>
  <w:style w:type="character" w:customStyle="1" w:styleId="HeaderChar">
    <w:name w:val="Header Char"/>
    <w:basedOn w:val="DefaultParagraphFont"/>
    <w:link w:val="Header"/>
    <w:uiPriority w:val="99"/>
    <w:rsid w:val="009B4138"/>
    <w:rPr>
      <w:rFonts w:ascii="Arial" w:eastAsia="Calibri" w:hAnsi="Arial" w:cs="Times New Roman"/>
      <w:sz w:val="24"/>
    </w:rPr>
  </w:style>
  <w:style w:type="paragraph" w:styleId="Footer">
    <w:name w:val="footer"/>
    <w:basedOn w:val="Normal"/>
    <w:link w:val="FooterChar"/>
    <w:uiPriority w:val="99"/>
    <w:unhideWhenUsed/>
    <w:rsid w:val="009B4138"/>
    <w:pPr>
      <w:tabs>
        <w:tab w:val="center" w:pos="4513"/>
        <w:tab w:val="right" w:pos="9026"/>
      </w:tabs>
      <w:spacing w:line="240" w:lineRule="auto"/>
    </w:pPr>
  </w:style>
  <w:style w:type="character" w:customStyle="1" w:styleId="FooterChar">
    <w:name w:val="Footer Char"/>
    <w:basedOn w:val="DefaultParagraphFont"/>
    <w:link w:val="Footer"/>
    <w:uiPriority w:val="99"/>
    <w:rsid w:val="009B4138"/>
    <w:rPr>
      <w:rFonts w:ascii="Arial" w:eastAsia="Calibri" w:hAnsi="Arial" w:cs="Times New Roman"/>
      <w:sz w:val="24"/>
    </w:rPr>
  </w:style>
  <w:style w:type="paragraph" w:styleId="NormalWeb">
    <w:name w:val="Normal (Web)"/>
    <w:basedOn w:val="Normal"/>
    <w:uiPriority w:val="99"/>
    <w:unhideWhenUsed/>
    <w:rsid w:val="009B4138"/>
    <w:pPr>
      <w:spacing w:before="100" w:beforeAutospacing="1" w:after="100" w:afterAutospacing="1" w:line="240" w:lineRule="auto"/>
    </w:pPr>
    <w:rPr>
      <w:rFonts w:ascii="Times New Roman" w:eastAsia="Times New Roman" w:hAnsi="Times New Roman"/>
      <w:szCs w:val="24"/>
      <w:lang w:eastAsia="en-GB"/>
    </w:rPr>
  </w:style>
  <w:style w:type="paragraph" w:customStyle="1" w:styleId="bulletpoints">
    <w:name w:val="&gt; bullet points"/>
    <w:basedOn w:val="Normal"/>
    <w:qFormat/>
    <w:rsid w:val="00103B9A"/>
    <w:pPr>
      <w:numPr>
        <w:numId w:val="5"/>
      </w:numPr>
      <w:spacing w:after="240" w:line="360" w:lineRule="auto"/>
      <w:ind w:left="714" w:hanging="357"/>
    </w:pPr>
    <w:rPr>
      <w:spacing w:val="3"/>
      <w:szCs w:val="24"/>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FA Fu,Char,f,fn,5_G,Footnote Text Char1"/>
    <w:basedOn w:val="Normal"/>
    <w:link w:val="FootnoteTextChar"/>
    <w:uiPriority w:val="99"/>
    <w:unhideWhenUsed/>
    <w:qFormat/>
    <w:rsid w:val="00103B9A"/>
    <w:pPr>
      <w:spacing w:line="240" w:lineRule="auto"/>
    </w:pPr>
    <w:rPr>
      <w:sz w:val="20"/>
      <w:szCs w:val="20"/>
      <w:lang w:eastAsia="en-GB"/>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uiPriority w:val="99"/>
    <w:rsid w:val="00103B9A"/>
    <w:rPr>
      <w:rFonts w:ascii="Arial" w:eastAsia="Calibri" w:hAnsi="Arial" w:cs="Times New Roman"/>
      <w:sz w:val="20"/>
      <w:szCs w:val="20"/>
      <w:lang w:eastAsia="en-GB"/>
    </w:rPr>
  </w:style>
  <w:style w:type="character" w:styleId="FootnoteReference">
    <w:name w:val="footnote reference"/>
    <w:aliases w:val="Footnotes refss,Appel note de bas de p.,*Footnote Reference,Footnote Reference in text,Footnote Reference Superscript,Odwołanie przypisu,Footnote symbol,Footnote Reference Number,Appel note de bas de p,Black,(NECG) Footnote Reference"/>
    <w:basedOn w:val="DefaultParagraphFont"/>
    <w:link w:val="4GCharCharChar"/>
    <w:uiPriority w:val="99"/>
    <w:unhideWhenUsed/>
    <w:qFormat/>
    <w:rsid w:val="00103B9A"/>
    <w:rPr>
      <w:vertAlign w:val="superscript"/>
    </w:rPr>
  </w:style>
  <w:style w:type="paragraph" w:customStyle="1" w:styleId="Parabeforeanother">
    <w:name w:val="&gt; Para before another"/>
    <w:basedOn w:val="Normal"/>
    <w:qFormat/>
    <w:rsid w:val="00103B9A"/>
    <w:pPr>
      <w:spacing w:after="160" w:line="312" w:lineRule="auto"/>
    </w:pPr>
    <w:rPr>
      <w:rFonts w:cs="Arial"/>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03B9A"/>
    <w:pPr>
      <w:spacing w:after="160" w:line="240" w:lineRule="exact"/>
      <w:jc w:val="both"/>
    </w:pPr>
    <w:rPr>
      <w:rFonts w:asciiTheme="minorHAnsi" w:eastAsiaTheme="minorHAnsi" w:hAnsiTheme="minorHAnsi" w:cstheme="minorBidi"/>
      <w:sz w:val="22"/>
      <w:vertAlign w:val="superscript"/>
    </w:rPr>
  </w:style>
  <w:style w:type="paragraph" w:customStyle="1" w:styleId="Parabase">
    <w:name w:val="&gt; Para (base)"/>
    <w:basedOn w:val="Normal"/>
    <w:qFormat/>
    <w:rsid w:val="00103B9A"/>
    <w:pPr>
      <w:spacing w:after="120" w:line="312" w:lineRule="auto"/>
    </w:pPr>
    <w:rPr>
      <w:rFonts w:cs="Arial"/>
      <w:szCs w:val="24"/>
    </w:rPr>
  </w:style>
  <w:style w:type="paragraph" w:customStyle="1" w:styleId="Parapre-bullets">
    <w:name w:val="&gt; Para (pre-bullets)"/>
    <w:basedOn w:val="Normal"/>
    <w:qFormat/>
    <w:rsid w:val="00103B9A"/>
    <w:pPr>
      <w:spacing w:after="60" w:line="312" w:lineRule="auto"/>
    </w:pPr>
    <w:rPr>
      <w:szCs w:val="24"/>
    </w:rPr>
  </w:style>
  <w:style w:type="paragraph" w:customStyle="1" w:styleId="Bulletsbase">
    <w:name w:val="&gt; Bullets (base)"/>
    <w:basedOn w:val="Normal"/>
    <w:qFormat/>
    <w:rsid w:val="00103B9A"/>
    <w:pPr>
      <w:numPr>
        <w:numId w:val="6"/>
      </w:numPr>
      <w:spacing w:after="40" w:line="312" w:lineRule="auto"/>
      <w:ind w:left="340" w:hanging="340"/>
    </w:pPr>
    <w:rPr>
      <w:szCs w:val="24"/>
    </w:rPr>
  </w:style>
  <w:style w:type="paragraph" w:customStyle="1" w:styleId="Bulletsgroup">
    <w:name w:val="&gt; Bullets (group)"/>
    <w:basedOn w:val="Bulletsbase"/>
    <w:qFormat/>
    <w:rsid w:val="00103B9A"/>
    <w:pPr>
      <w:spacing w:after="240"/>
    </w:pPr>
  </w:style>
  <w:style w:type="paragraph" w:styleId="ListParagraph">
    <w:name w:val="List Paragraph"/>
    <w:basedOn w:val="Normal"/>
    <w:uiPriority w:val="34"/>
    <w:qFormat/>
    <w:rsid w:val="00F079A7"/>
    <w:pPr>
      <w:ind w:left="720"/>
      <w:contextualSpacing/>
    </w:pPr>
  </w:style>
  <w:style w:type="character" w:styleId="FollowedHyperlink">
    <w:name w:val="FollowedHyperlink"/>
    <w:basedOn w:val="DefaultParagraphFont"/>
    <w:uiPriority w:val="99"/>
    <w:semiHidden/>
    <w:unhideWhenUsed/>
    <w:rsid w:val="00A723FA"/>
    <w:rPr>
      <w:color w:val="954F72" w:themeColor="followedHyperlink"/>
      <w:u w:val="single"/>
    </w:rPr>
  </w:style>
  <w:style w:type="character" w:customStyle="1" w:styleId="Heading4Char">
    <w:name w:val="Heading 4 Char"/>
    <w:basedOn w:val="DefaultParagraphFont"/>
    <w:link w:val="Heading4"/>
    <w:uiPriority w:val="9"/>
    <w:semiHidden/>
    <w:rsid w:val="00437BC1"/>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E3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49E1"/>
    <w:pPr>
      <w:spacing w:after="0" w:line="240" w:lineRule="auto"/>
    </w:pPr>
    <w:rPr>
      <w:rFonts w:ascii="Arial" w:eastAsia="Calibri" w:hAnsi="Arial" w:cs="Times New Roman"/>
      <w:sz w:val="24"/>
    </w:rPr>
  </w:style>
  <w:style w:type="paragraph" w:styleId="TOCHeading">
    <w:name w:val="TOC Heading"/>
    <w:basedOn w:val="Heading1"/>
    <w:next w:val="Normal"/>
    <w:uiPriority w:val="39"/>
    <w:unhideWhenUsed/>
    <w:qFormat/>
    <w:rsid w:val="0043704E"/>
    <w:pPr>
      <w:spacing w:line="259" w:lineRule="auto"/>
      <w:outlineLvl w:val="9"/>
    </w:pPr>
    <w:rPr>
      <w:lang w:val="en-US"/>
    </w:rPr>
  </w:style>
  <w:style w:type="paragraph" w:styleId="TOC1">
    <w:name w:val="toc 1"/>
    <w:basedOn w:val="Normal"/>
    <w:next w:val="Normal"/>
    <w:autoRedefine/>
    <w:uiPriority w:val="39"/>
    <w:unhideWhenUsed/>
    <w:rsid w:val="0043704E"/>
    <w:pPr>
      <w:spacing w:after="100"/>
    </w:pPr>
  </w:style>
  <w:style w:type="paragraph" w:styleId="TOC2">
    <w:name w:val="toc 2"/>
    <w:basedOn w:val="Normal"/>
    <w:next w:val="Normal"/>
    <w:autoRedefine/>
    <w:uiPriority w:val="39"/>
    <w:unhideWhenUsed/>
    <w:rsid w:val="0043704E"/>
    <w:pPr>
      <w:spacing w:after="100"/>
      <w:ind w:left="240"/>
    </w:pPr>
  </w:style>
  <w:style w:type="character" w:customStyle="1" w:styleId="Heading3Char">
    <w:name w:val="Heading 3 Char"/>
    <w:basedOn w:val="DefaultParagraphFont"/>
    <w:link w:val="Heading3"/>
    <w:uiPriority w:val="9"/>
    <w:rsid w:val="00EE067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EE067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7492">
      <w:bodyDiv w:val="1"/>
      <w:marLeft w:val="0"/>
      <w:marRight w:val="0"/>
      <w:marTop w:val="0"/>
      <w:marBottom w:val="0"/>
      <w:divBdr>
        <w:top w:val="none" w:sz="0" w:space="0" w:color="auto"/>
        <w:left w:val="none" w:sz="0" w:space="0" w:color="auto"/>
        <w:bottom w:val="none" w:sz="0" w:space="0" w:color="auto"/>
        <w:right w:val="none" w:sz="0" w:space="0" w:color="auto"/>
      </w:divBdr>
    </w:div>
    <w:div w:id="1151748492">
      <w:bodyDiv w:val="1"/>
      <w:marLeft w:val="0"/>
      <w:marRight w:val="0"/>
      <w:marTop w:val="0"/>
      <w:marBottom w:val="0"/>
      <w:divBdr>
        <w:top w:val="none" w:sz="0" w:space="0" w:color="auto"/>
        <w:left w:val="none" w:sz="0" w:space="0" w:color="auto"/>
        <w:bottom w:val="none" w:sz="0" w:space="0" w:color="auto"/>
        <w:right w:val="none" w:sz="0" w:space="0" w:color="auto"/>
      </w:divBdr>
    </w:div>
    <w:div w:id="1655454208">
      <w:bodyDiv w:val="1"/>
      <w:marLeft w:val="0"/>
      <w:marRight w:val="0"/>
      <w:marTop w:val="0"/>
      <w:marBottom w:val="0"/>
      <w:divBdr>
        <w:top w:val="none" w:sz="0" w:space="0" w:color="auto"/>
        <w:left w:val="none" w:sz="0" w:space="0" w:color="auto"/>
        <w:bottom w:val="none" w:sz="0" w:space="0" w:color="auto"/>
        <w:right w:val="none" w:sz="0" w:space="0" w:color="auto"/>
      </w:divBdr>
      <w:divsChild>
        <w:div w:id="1525628532">
          <w:marLeft w:val="475"/>
          <w:marRight w:val="0"/>
          <w:marTop w:val="86"/>
          <w:marBottom w:val="0"/>
          <w:divBdr>
            <w:top w:val="none" w:sz="0" w:space="0" w:color="auto"/>
            <w:left w:val="none" w:sz="0" w:space="0" w:color="auto"/>
            <w:bottom w:val="none" w:sz="0" w:space="0" w:color="auto"/>
            <w:right w:val="none" w:sz="0" w:space="0" w:color="auto"/>
          </w:divBdr>
        </w:div>
        <w:div w:id="1754083883">
          <w:marLeft w:val="475"/>
          <w:marRight w:val="0"/>
          <w:marTop w:val="86"/>
          <w:marBottom w:val="0"/>
          <w:divBdr>
            <w:top w:val="none" w:sz="0" w:space="0" w:color="auto"/>
            <w:left w:val="none" w:sz="0" w:space="0" w:color="auto"/>
            <w:bottom w:val="none" w:sz="0" w:space="0" w:color="auto"/>
            <w:right w:val="none" w:sz="0" w:space="0" w:color="auto"/>
          </w:divBdr>
        </w:div>
        <w:div w:id="1687947040">
          <w:marLeft w:val="475"/>
          <w:marRight w:val="0"/>
          <w:marTop w:val="86"/>
          <w:marBottom w:val="0"/>
          <w:divBdr>
            <w:top w:val="none" w:sz="0" w:space="0" w:color="auto"/>
            <w:left w:val="none" w:sz="0" w:space="0" w:color="auto"/>
            <w:bottom w:val="none" w:sz="0" w:space="0" w:color="auto"/>
            <w:right w:val="none" w:sz="0" w:space="0" w:color="auto"/>
          </w:divBdr>
        </w:div>
        <w:div w:id="816071540">
          <w:marLeft w:val="475"/>
          <w:marRight w:val="0"/>
          <w:marTop w:val="86"/>
          <w:marBottom w:val="0"/>
          <w:divBdr>
            <w:top w:val="none" w:sz="0" w:space="0" w:color="auto"/>
            <w:left w:val="none" w:sz="0" w:space="0" w:color="auto"/>
            <w:bottom w:val="none" w:sz="0" w:space="0" w:color="auto"/>
            <w:right w:val="none" w:sz="0" w:space="0" w:color="auto"/>
          </w:divBdr>
        </w:div>
      </w:divsChild>
    </w:div>
    <w:div w:id="2075807861">
      <w:bodyDiv w:val="1"/>
      <w:marLeft w:val="0"/>
      <w:marRight w:val="0"/>
      <w:marTop w:val="0"/>
      <w:marBottom w:val="0"/>
      <w:divBdr>
        <w:top w:val="none" w:sz="0" w:space="0" w:color="auto"/>
        <w:left w:val="none" w:sz="0" w:space="0" w:color="auto"/>
        <w:bottom w:val="none" w:sz="0" w:space="0" w:color="auto"/>
        <w:right w:val="none" w:sz="0" w:space="0" w:color="auto"/>
      </w:divBdr>
      <w:divsChild>
        <w:div w:id="1835872991">
          <w:marLeft w:val="1166"/>
          <w:marRight w:val="0"/>
          <w:marTop w:val="0"/>
          <w:marBottom w:val="0"/>
          <w:divBdr>
            <w:top w:val="none" w:sz="0" w:space="0" w:color="auto"/>
            <w:left w:val="none" w:sz="0" w:space="0" w:color="auto"/>
            <w:bottom w:val="none" w:sz="0" w:space="0" w:color="auto"/>
            <w:right w:val="none" w:sz="0" w:space="0" w:color="auto"/>
          </w:divBdr>
        </w:div>
        <w:div w:id="1422487927">
          <w:marLeft w:val="1166"/>
          <w:marRight w:val="0"/>
          <w:marTop w:val="0"/>
          <w:marBottom w:val="0"/>
          <w:divBdr>
            <w:top w:val="none" w:sz="0" w:space="0" w:color="auto"/>
            <w:left w:val="none" w:sz="0" w:space="0" w:color="auto"/>
            <w:bottom w:val="none" w:sz="0" w:space="0" w:color="auto"/>
            <w:right w:val="none" w:sz="0" w:space="0" w:color="auto"/>
          </w:divBdr>
        </w:div>
      </w:divsChild>
    </w:div>
    <w:div w:id="21161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biden@equalityhumanrights.com" TargetMode="External"/><Relationship Id="rId13" Type="http://schemas.openxmlformats.org/officeDocument/2006/relationships/hyperlink" Target="https://www.equalityhumanrights.com/en/publication-download/scotland-fairer-2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qualityhumanrights.com/en/britain-fair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qualityhumanrights.com/en/legal-casework/legal-support-project-help-transport-discrimination-clai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publication-download/strategic-plan-2019-2022" TargetMode="External"/><Relationship Id="rId5" Type="http://schemas.openxmlformats.org/officeDocument/2006/relationships/webSettings" Target="webSettings.xml"/><Relationship Id="rId15" Type="http://schemas.openxmlformats.org/officeDocument/2006/relationships/hyperlink" Target="https://www.equalityhumanrights.com/en/publication-download/england-fairer-2018"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qualityhumanrights.com/en/publication-download/wales-fairer-2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s3-eu-west-2.amazonaws.com/lawcom-prod-storage-11jsxou24uy7q/uploads/2019/10/Automated-Vehicles-Consultation-Paper-final.pdf" TargetMode="External"/><Relationship Id="rId18" Type="http://schemas.openxmlformats.org/officeDocument/2006/relationships/hyperlink" Target="https://www.un.org/development/desa/disabilities/convention-on-the-rights-of-persons-with-disabilities/article-9-accessibility.html" TargetMode="External"/><Relationship Id="rId26" Type="http://schemas.openxmlformats.org/officeDocument/2006/relationships/hyperlink" Target="https://www.local.gov.uk/sites/default/files/documents/10.9%20Councillor%20Handbook%20-%20Taxi%20and%20PHV%20Licensing_November_2017.pdf" TargetMode="External"/><Relationship Id="rId39" Type="http://schemas.openxmlformats.org/officeDocument/2006/relationships/hyperlink" Target="https://www.equalityhumanrights.com/sites/default/files/ehrc_hidden_in_plain_sight_3.pdf" TargetMode="External"/><Relationship Id="rId21" Type="http://schemas.openxmlformats.org/officeDocument/2006/relationships/hyperlink" Target="https://www.un.org/development/desa/disabilities/convention-on-the-rights-of-persons-with-disabilities/article-19-living-independently-and-being-included-in-the-community.html" TargetMode="External"/><Relationship Id="rId34" Type="http://schemas.openxmlformats.org/officeDocument/2006/relationships/hyperlink" Target="https://s3-eu-west-2.amazonaws.com/lawcom-prod-storage-11jsxou24uy7q/uploads/2018/11/6.5066_LC_AV-Consultation-Paper-5-November_061118_WEB-1.pdf" TargetMode="External"/><Relationship Id="rId42" Type="http://schemas.openxmlformats.org/officeDocument/2006/relationships/hyperlink" Target="https://www.scope.org.uk/campaigns/independent-confident-connected/" TargetMode="External"/><Relationship Id="rId47" Type="http://schemas.openxmlformats.org/officeDocument/2006/relationships/hyperlink" Target="http://content.tfl.gov.uk/travel-in-london-understanding-our-diverse-communities-2019.pdf" TargetMode="External"/><Relationship Id="rId50" Type="http://schemas.openxmlformats.org/officeDocument/2006/relationships/hyperlink" Target="http://content.tfl.gov.uk/travel-in-london-understanding-our-diverse-communities-2019.pdf" TargetMode="External"/><Relationship Id="rId55" Type="http://schemas.openxmlformats.org/officeDocument/2006/relationships/hyperlink" Target="http://www.legislation.gov.uk/ukpga/2010/15/schedule/3" TargetMode="External"/><Relationship Id="rId63" Type="http://schemas.openxmlformats.org/officeDocument/2006/relationships/hyperlink" Target="https://publications.parliament.uk/pa/ld201516/ldselect/ldeqact/117/117.pdf" TargetMode="External"/><Relationship Id="rId68" Type="http://schemas.openxmlformats.org/officeDocument/2006/relationships/hyperlink" Target="https://assets.publishing.service.gov.uk/government/uploads/system/uploads/attachment_data/file/728547/inclusive-transport-strategy.pdf" TargetMode="External"/><Relationship Id="rId76" Type="http://schemas.openxmlformats.org/officeDocument/2006/relationships/hyperlink" Target="https://documents-dds-ny.un.org/doc/UNDOC/GEN/G14/033/13/PDF/G1403313.pdf?OpenElement" TargetMode="External"/><Relationship Id="rId7" Type="http://schemas.openxmlformats.org/officeDocument/2006/relationships/hyperlink" Target="https://www.equalityhumanrights.com/sites/default/files/servicescode_0.pdf" TargetMode="External"/><Relationship Id="rId71" Type="http://schemas.openxmlformats.org/officeDocument/2006/relationships/hyperlink" Target="https://digitallibrary.un.org/record/812537?ln=en" TargetMode="External"/><Relationship Id="rId2" Type="http://schemas.openxmlformats.org/officeDocument/2006/relationships/hyperlink" Target="https://s3-eu-west-2.amazonaws.com/lawcom-prod-storage-11jsxou24uy7q/uploads/2019/10/Automated-Vehicles-Consultation-Paper-final.pdf" TargetMode="External"/><Relationship Id="rId16" Type="http://schemas.openxmlformats.org/officeDocument/2006/relationships/hyperlink" Target="https://documents-dds-ny.un.org/doc/UNDOC/GEN/G14/033/13/PDF/G1403313.pdf?OpenElement" TargetMode="External"/><Relationship Id="rId29" Type="http://schemas.openxmlformats.org/officeDocument/2006/relationships/hyperlink" Target="https://s3-eu-west-2.amazonaws.com/lawcom-prod-storage-11jsxou24uy7q/uploads/2015/03/lc347_taxi-and-private-hire-services.pdf" TargetMode="External"/><Relationship Id="rId11" Type="http://schemas.openxmlformats.org/officeDocument/2006/relationships/hyperlink" Target="https://www.legislation.gov.uk/ukpga/2010/15/section/149" TargetMode="External"/><Relationship Id="rId24" Type="http://schemas.openxmlformats.org/officeDocument/2006/relationships/hyperlink" Target="http://data.parliament.uk/writtenevidence/committeeevidence.svc/evidencedocument/human-rights-committee/the-detention-of-young-people-with-learning-disabilities-and-autism/written/101337.html" TargetMode="External"/><Relationship Id="rId32" Type="http://schemas.openxmlformats.org/officeDocument/2006/relationships/hyperlink" Target="https://www.gov.uk/government/collections/ai-and-public-standards" TargetMode="External"/><Relationship Id="rId37" Type="http://schemas.openxmlformats.org/officeDocument/2006/relationships/hyperlink" Target="https://futureoflife.org/ai-principles/" TargetMode="External"/><Relationship Id="rId40" Type="http://schemas.openxmlformats.org/officeDocument/2006/relationships/hyperlink" Target="https://www.scope.org.uk/campaigns/independent-confident-connected/" TargetMode="External"/><Relationship Id="rId45" Type="http://schemas.openxmlformats.org/officeDocument/2006/relationships/hyperlink" Target="http://content.tfl.gov.uk/travel-in-london-understanding-our-diverse-communities-2019.pdf" TargetMode="External"/><Relationship Id="rId53" Type="http://schemas.openxmlformats.org/officeDocument/2006/relationships/hyperlink" Target="http://www.legislation.gov.uk/ukpga/2010/15/schedule/3" TargetMode="External"/><Relationship Id="rId58" Type="http://schemas.openxmlformats.org/officeDocument/2006/relationships/hyperlink" Target="http://www.legislation.gov.uk/ukpga/2010/15/schedule/3" TargetMode="External"/><Relationship Id="rId66" Type="http://schemas.openxmlformats.org/officeDocument/2006/relationships/hyperlink" Target="https://www.transport.gov.scot/publication/scottish-transport-statistics-no-37-2018-edition/" TargetMode="External"/><Relationship Id="rId74" Type="http://schemas.openxmlformats.org/officeDocument/2006/relationships/hyperlink" Target="https://documents-dds-ny.un.org/doc/UNDOC/GEN/G14/033/13/PDF/G1403313.pdf?OpenElement" TargetMode="External"/><Relationship Id="rId79" Type="http://schemas.openxmlformats.org/officeDocument/2006/relationships/hyperlink" Target="https://s3-eu-west-2.amazonaws.com/lawcom-prod-storage-11jsxou24uy7q/uploads/2019/10/Automated-Vehicles-Consultation-Paper-final.pdf" TargetMode="External"/><Relationship Id="rId5" Type="http://schemas.openxmlformats.org/officeDocument/2006/relationships/hyperlink" Target="http://www.legislation.gov.uk/ukpga/2010/15/section/15" TargetMode="External"/><Relationship Id="rId61" Type="http://schemas.openxmlformats.org/officeDocument/2006/relationships/hyperlink" Target="http://www.legislation.gov.uk/ukpga/2010/15/schedule/2" TargetMode="External"/><Relationship Id="rId10" Type="http://schemas.openxmlformats.org/officeDocument/2006/relationships/hyperlink" Target="https://www.equalityhumanrights.com/sites/default/files/servicescode_0.pdf" TargetMode="External"/><Relationship Id="rId19" Type="http://schemas.openxmlformats.org/officeDocument/2006/relationships/hyperlink" Target="https://documents-dds-ny.un.org/doc/UNDOC/GEN/G14/033/13/PDF/G1403313.pdf?OpenElement" TargetMode="External"/><Relationship Id="rId31" Type="http://schemas.openxmlformats.org/officeDocument/2006/relationships/hyperlink" Target="https://publications.parliament.uk/pa/ld201516/ldselect/ldeqact/117/117.pdf" TargetMode="External"/><Relationship Id="rId44" Type="http://schemas.openxmlformats.org/officeDocument/2006/relationships/hyperlink" Target="http://content.tfl.gov.uk/travel-in-london-understanding-our-diverse-communities-2019.pdf" TargetMode="External"/><Relationship Id="rId52" Type="http://schemas.openxmlformats.org/officeDocument/2006/relationships/hyperlink" Target="http://www.legislation.gov.uk/ukpga/2010/15/schedule/3" TargetMode="External"/><Relationship Id="rId60" Type="http://schemas.openxmlformats.org/officeDocument/2006/relationships/hyperlink" Target="http://www.legislation.gov.uk/ukpga/2010/15/schedule/2" TargetMode="External"/><Relationship Id="rId65" Type="http://schemas.openxmlformats.org/officeDocument/2006/relationships/hyperlink" Target="https://assets.publishing.service.gov.uk/government/uploads/system/uploads/attachment_data/file/823068/national-travel-survey-2018.pdf?utm_source=POLITICO.EU&amp;utm_campaign=cfc9b046f2-EMAIL_CAMPAIGN_2020_01_02_06_53&amp;utm_medium=email&amp;utm_term=0_10959edeb5-cfc9b046f2-190082217" TargetMode="External"/><Relationship Id="rId73" Type="http://schemas.openxmlformats.org/officeDocument/2006/relationships/hyperlink" Target="https://www.scope.org.uk/campaigns/travel-fair/" TargetMode="External"/><Relationship Id="rId78" Type="http://schemas.openxmlformats.org/officeDocument/2006/relationships/hyperlink" Target="https://www.equalityhumanrights.com/sites/default/files/assistance-dogs-a-guide-for-all-businesses.pdf" TargetMode="External"/><Relationship Id="rId81" Type="http://schemas.openxmlformats.org/officeDocument/2006/relationships/hyperlink" Target="https://publications.parliament.uk/pa/ld201516/ldselect/ldeqact/117/117.pdf" TargetMode="External"/><Relationship Id="rId4" Type="http://schemas.openxmlformats.org/officeDocument/2006/relationships/hyperlink" Target="http://www.legislation.gov.uk/ukpga/2010/15/section/19" TargetMode="External"/><Relationship Id="rId9" Type="http://schemas.openxmlformats.org/officeDocument/2006/relationships/hyperlink" Target="https://www.equalityhumanrights.com/sites/default/files/servicescode_0.pdf" TargetMode="External"/><Relationship Id="rId14" Type="http://schemas.openxmlformats.org/officeDocument/2006/relationships/hyperlink" Target="https://www.gov.scot/publications/fairer-scotland-duty-interim-guidance-public-bodies/" TargetMode="External"/><Relationship Id="rId22" Type="http://schemas.openxmlformats.org/officeDocument/2006/relationships/hyperlink" Target="https://tbinternet.ohchr.org/_layouts/treatybodyexternal/Download.aspx?symbolno=CRPD/C/GC/5&amp;Lang=en" TargetMode="External"/><Relationship Id="rId27" Type="http://schemas.openxmlformats.org/officeDocument/2006/relationships/hyperlink" Target="https://tbinternet.ohchr.org/_layouts/treatybodyexternal/Download.aspx?symbolno=CRPD/C/GC/5&amp;Lang=en" TargetMode="External"/><Relationship Id="rId30" Type="http://schemas.openxmlformats.org/officeDocument/2006/relationships/hyperlink" Target="https://s3-eu-west-2.amazonaws.com/lawcom-prod-storage-11jsxou24uy7q/uploads/2015/03/lc347_taxi-and-private-hire-services.pdf" TargetMode="External"/><Relationship Id="rId35" Type="http://schemas.openxmlformats.org/officeDocument/2006/relationships/hyperlink" Target="https://arxiv.org/pdf/1902.11097.pdf" TargetMode="External"/><Relationship Id="rId43" Type="http://schemas.openxmlformats.org/officeDocument/2006/relationships/hyperlink" Target="http://content.tfl.gov.uk/travel-in-london-understanding-our-diverse-communities-2019.pdf" TargetMode="External"/><Relationship Id="rId48" Type="http://schemas.openxmlformats.org/officeDocument/2006/relationships/hyperlink" Target="http://content.tfl.gov.uk/travel-in-london-understanding-our-diverse-communities-2019.pdf" TargetMode="External"/><Relationship Id="rId56" Type="http://schemas.openxmlformats.org/officeDocument/2006/relationships/hyperlink" Target="http://www.legislation.gov.uk/ukpga/2010/15/schedule/3" TargetMode="External"/><Relationship Id="rId64" Type="http://schemas.openxmlformats.org/officeDocument/2006/relationships/hyperlink" Target="https://www.equalityhumanrights.com/sites/default/files/being-disabled-in-britain.pdf" TargetMode="External"/><Relationship Id="rId69" Type="http://schemas.openxmlformats.org/officeDocument/2006/relationships/hyperlink" Target="https://documents-dds-ny.un.org/doc/UNDOC/GEN/G14/033/13/PDF/G1403313.pdf?OpenElement" TargetMode="External"/><Relationship Id="rId77" Type="http://schemas.openxmlformats.org/officeDocument/2006/relationships/hyperlink" Target="https://documents-dds-ny.un.org/doc/UNDOC/GEN/G14/033/13/PDF/G1403313.pdf?OpenElement" TargetMode="External"/><Relationship Id="rId8" Type="http://schemas.openxmlformats.org/officeDocument/2006/relationships/hyperlink" Target="https://www.equalityhumanrights.com/sites/default/files/servicescode_0.pdf" TargetMode="External"/><Relationship Id="rId51" Type="http://schemas.openxmlformats.org/officeDocument/2006/relationships/hyperlink" Target="https://www.legislation.gov.uk/ukpga/2010/15/section/29" TargetMode="External"/><Relationship Id="rId72" Type="http://schemas.openxmlformats.org/officeDocument/2006/relationships/hyperlink" Target="http://www.legislation.gov.uk/ukpga/2010/15/schedule/2" TargetMode="External"/><Relationship Id="rId80" Type="http://schemas.openxmlformats.org/officeDocument/2006/relationships/hyperlink" Target="https://www.scope.org.uk/campaigns/travel-fair/" TargetMode="External"/><Relationship Id="rId3" Type="http://schemas.openxmlformats.org/officeDocument/2006/relationships/hyperlink" Target="http://www.legislation.gov.uk/ukpga/2010/15/section/13" TargetMode="External"/><Relationship Id="rId12" Type="http://schemas.openxmlformats.org/officeDocument/2006/relationships/hyperlink" Target="https://www.equalityhumanrights.com/en/advice-and-guidance/public-sector-equality-duty-guidance" TargetMode="External"/><Relationship Id="rId17" Type="http://schemas.openxmlformats.org/officeDocument/2006/relationships/hyperlink" Target="https://www.un.org/development/desa/disabilities/convention-on-the-rights-of-persons-with-disabilities/article-9-accessibility.html" TargetMode="External"/><Relationship Id="rId25" Type="http://schemas.openxmlformats.org/officeDocument/2006/relationships/hyperlink" Target="https://www.scope.org.uk/campaigns/travel-fair/" TargetMode="External"/><Relationship Id="rId33" Type="http://schemas.openxmlformats.org/officeDocument/2006/relationships/hyperlink" Target="https://s3-eu-west-2.amazonaws.com/lawcom-prod-storage-11jsxou24uy7q/uploads/2018/11/6.5066_LC_AV-Consultation-Paper-5-November_061118_WEB-1.pdf" TargetMode="External"/><Relationship Id="rId38" Type="http://schemas.openxmlformats.org/officeDocument/2006/relationships/hyperlink" Target="https://www.equalityhumanrights.com/sites/default/files/ehrc_hidden_in_plain_sight_3.pdf" TargetMode="External"/><Relationship Id="rId46" Type="http://schemas.openxmlformats.org/officeDocument/2006/relationships/hyperlink" Target="http://content.tfl.gov.uk/travel-in-london-understanding-our-diverse-communities-2019.pdf" TargetMode="External"/><Relationship Id="rId59" Type="http://schemas.openxmlformats.org/officeDocument/2006/relationships/hyperlink" Target="http://www.legislation.gov.uk/ukpga/2010/15/schedule/3" TargetMode="External"/><Relationship Id="rId67" Type="http://schemas.openxmlformats.org/officeDocument/2006/relationships/hyperlink" Target="https://www.scope.org.uk/campaigns/independent-confident-connected/" TargetMode="External"/><Relationship Id="rId20" Type="http://schemas.openxmlformats.org/officeDocument/2006/relationships/hyperlink" Target="https://documents-dds-ny.un.org/doc/UNDOC/GEN/G14/033/13/PDF/G1403313.pdf?OpenElement" TargetMode="External"/><Relationship Id="rId41" Type="http://schemas.openxmlformats.org/officeDocument/2006/relationships/hyperlink" Target="https://www.scope.org.uk/campaigns/travel-fair/" TargetMode="External"/><Relationship Id="rId54" Type="http://schemas.openxmlformats.org/officeDocument/2006/relationships/hyperlink" Target="http://www.legislation.gov.uk/ukpga/2010/15/schedule/3" TargetMode="External"/><Relationship Id="rId62" Type="http://schemas.openxmlformats.org/officeDocument/2006/relationships/hyperlink" Target="https://www.legislation.gov.uk/ukpga/2010/15/part/12" TargetMode="External"/><Relationship Id="rId70" Type="http://schemas.openxmlformats.org/officeDocument/2006/relationships/hyperlink" Target="https://documents-dds-ny.un.org/doc/UNDOC/GEN/G14/033/13/PDF/G1403313.pdf?OpenElement" TargetMode="External"/><Relationship Id="rId75" Type="http://schemas.openxmlformats.org/officeDocument/2006/relationships/hyperlink" Target="http://universaldesign.ie/What-is-Universal-Design/The-7-Principles/" TargetMode="External"/><Relationship Id="rId1" Type="http://schemas.openxmlformats.org/officeDocument/2006/relationships/hyperlink" Target="https://www.equalityhumanrights.com/sites/default/files/strategic-plan-2019-22.pdf" TargetMode="External"/><Relationship Id="rId6" Type="http://schemas.openxmlformats.org/officeDocument/2006/relationships/hyperlink" Target="http://www.legislation.gov.uk/ukpga/2010/15/section/20" TargetMode="External"/><Relationship Id="rId15" Type="http://schemas.openxmlformats.org/officeDocument/2006/relationships/hyperlink" Target="https://www.equalityhumanrights.com/sites/default/files/servicescode_0.pdf" TargetMode="External"/><Relationship Id="rId23" Type="http://schemas.openxmlformats.org/officeDocument/2006/relationships/hyperlink" Target="https://s3-eu-west-2.amazonaws.com/lawcom-prod-storage-11jsxou24uy7q/uploads/2019/06/Surrogacy-consultation-paper.pdf" TargetMode="External"/><Relationship Id="rId28" Type="http://schemas.openxmlformats.org/officeDocument/2006/relationships/hyperlink" Target="http://www.legislation.gov.uk/ukpga/1981/14/section/14ZA" TargetMode="External"/><Relationship Id="rId36" Type="http://schemas.openxmlformats.org/officeDocument/2006/relationships/hyperlink" Target="https://publications.parliament.uk/pa/cm201617/cmselect/cmwomeq/631/631.pdf" TargetMode="External"/><Relationship Id="rId49" Type="http://schemas.openxmlformats.org/officeDocument/2006/relationships/hyperlink" Target="http://content.tfl.gov.uk/travel-in-london-understanding-our-diverse-communities-2019.pdf" TargetMode="External"/><Relationship Id="rId57" Type="http://schemas.openxmlformats.org/officeDocument/2006/relationships/hyperlink" Target="https://publications.parliament.uk/pa/jt200809/jtselect/jtrights/169/1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64EB-9D54-4194-8122-D38045B2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6941</Words>
  <Characters>39569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Biden</dc:creator>
  <cp:keywords/>
  <dc:description/>
  <cp:lastModifiedBy>Jordan Vu-Abouzeid</cp:lastModifiedBy>
  <cp:revision>2</cp:revision>
  <cp:lastPrinted>2020-01-13T13:46:00Z</cp:lastPrinted>
  <dcterms:created xsi:type="dcterms:W3CDTF">2020-06-10T12:56:00Z</dcterms:created>
  <dcterms:modified xsi:type="dcterms:W3CDTF">2020-06-10T12:56:00Z</dcterms:modified>
</cp:coreProperties>
</file>