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0063D" w14:textId="77777777" w:rsidR="00ED42D8" w:rsidRPr="00A444F9" w:rsidRDefault="00913F19" w:rsidP="00F00E14">
      <w:pPr>
        <w:pStyle w:val="Documenttype"/>
        <w:spacing w:line="276" w:lineRule="auto"/>
        <w:rPr>
          <w:sz w:val="36"/>
          <w:szCs w:val="36"/>
        </w:rPr>
      </w:pPr>
      <w:r>
        <w:rPr>
          <w:sz w:val="36"/>
          <w:szCs w:val="36"/>
        </w:rPr>
        <w:t>Consultation response</w:t>
      </w:r>
    </w:p>
    <w:bookmarkStart w:id="0" w:name="_GoBack"/>
    <w:p w14:paraId="66FC294D" w14:textId="77777777" w:rsidR="00972D5B" w:rsidRPr="00913F19" w:rsidRDefault="00AB5CC7" w:rsidP="00F00E14">
      <w:pPr>
        <w:pStyle w:val="Title"/>
        <w:spacing w:before="0" w:line="276" w:lineRule="auto"/>
        <w:rPr>
          <w:sz w:val="92"/>
          <w:szCs w:val="92"/>
        </w:rPr>
      </w:pPr>
      <w:sdt>
        <w:sdtPr>
          <w:rPr>
            <w:sz w:val="92"/>
            <w:szCs w:val="92"/>
          </w:rPr>
          <w:alias w:val="Title"/>
          <w:tag w:val=""/>
          <w:id w:val="1663586378"/>
          <w:placeholder>
            <w:docPart w:val="372977A6B0B94EDEAA7D9ACE9F8287C8"/>
          </w:placeholder>
          <w:dataBinding w:prefixMappings="xmlns:ns0='http://purl.org/dc/elements/1.1/' xmlns:ns1='http://schemas.openxmlformats.org/package/2006/metadata/core-properties' " w:xpath="/ns1:coreProperties[1]/ns0:title[1]" w:storeItemID="{6C3C8BC8-F283-45AE-878A-BAB7291924A1}"/>
          <w:text/>
        </w:sdtPr>
        <w:sdtEndPr/>
        <w:sdtContent>
          <w:r w:rsidR="00913F19" w:rsidRPr="00913F19">
            <w:rPr>
              <w:sz w:val="92"/>
              <w:szCs w:val="92"/>
            </w:rPr>
            <w:t>Gender Recognition Reform (Scotland) Bill</w:t>
          </w:r>
        </w:sdtContent>
      </w:sdt>
    </w:p>
    <w:p w14:paraId="72C95253" w14:textId="77777777" w:rsidR="00711475" w:rsidRPr="00465B9E" w:rsidRDefault="00AB5CC7" w:rsidP="00F00E14">
      <w:pPr>
        <w:pStyle w:val="Date"/>
        <w:spacing w:line="276" w:lineRule="auto"/>
      </w:pPr>
      <w:sdt>
        <w:sdtPr>
          <w:rPr>
            <w:rStyle w:val="DateChar"/>
          </w:rPr>
          <w:alias w:val="Publication date"/>
          <w:tag w:val="Publication date"/>
          <w:id w:val="-1249566070"/>
          <w:placeholder>
            <w:docPart w:val="523186C8CAC2476CA28A9113F6FD894C"/>
          </w:placeholder>
          <w:date w:fullDate="2020-03-01T00:00:00Z">
            <w:dateFormat w:val="MMMM yyyy"/>
            <w:lid w:val="en-GB"/>
            <w:storeMappedDataAs w:val="dateTime"/>
            <w:calendar w:val="gregorian"/>
          </w:date>
        </w:sdtPr>
        <w:sdtEndPr>
          <w:rPr>
            <w:rStyle w:val="DefaultParagraphFont"/>
          </w:rPr>
        </w:sdtEndPr>
        <w:sdtContent>
          <w:r w:rsidR="00913F19">
            <w:rPr>
              <w:rStyle w:val="DateChar"/>
            </w:rPr>
            <w:t>March 2020</w:t>
          </w:r>
        </w:sdtContent>
      </w:sdt>
    </w:p>
    <w:bookmarkEnd w:id="0"/>
    <w:p w14:paraId="306834D0" w14:textId="59346FA0" w:rsidR="00961657" w:rsidRDefault="00961657" w:rsidP="00F00E14">
      <w:pPr>
        <w:pStyle w:val="Author"/>
      </w:pPr>
    </w:p>
    <w:p w14:paraId="451EB013" w14:textId="77777777" w:rsidR="00F00E14" w:rsidRDefault="00F00E14">
      <w:pPr>
        <w:keepLines w:val="0"/>
        <w:spacing w:before="0" w:after="160" w:line="259" w:lineRule="auto"/>
        <w:rPr>
          <w:b/>
          <w:sz w:val="28"/>
        </w:rPr>
      </w:pPr>
      <w:r>
        <w:rPr>
          <w:b/>
          <w:sz w:val="28"/>
        </w:rPr>
        <w:br w:type="page"/>
      </w:r>
    </w:p>
    <w:sdt>
      <w:sdtPr>
        <w:rPr>
          <w:b/>
          <w:color w:val="auto"/>
          <w:sz w:val="28"/>
          <w:szCs w:val="22"/>
        </w:rPr>
        <w:id w:val="-1361974634"/>
        <w:docPartObj>
          <w:docPartGallery w:val="Table of Contents"/>
          <w:docPartUnique/>
        </w:docPartObj>
      </w:sdtPr>
      <w:sdtEndPr>
        <w:rPr>
          <w:b w:val="0"/>
          <w:color w:val="009C98" w:themeColor="accent1"/>
          <w:sz w:val="52"/>
          <w:szCs w:val="56"/>
        </w:rPr>
      </w:sdtEndPr>
      <w:sdtContent>
        <w:p w14:paraId="3B4CD149" w14:textId="13231D10" w:rsidR="00C50BF9" w:rsidRPr="00095255" w:rsidRDefault="00C50BF9" w:rsidP="00F00E14">
          <w:pPr>
            <w:pStyle w:val="TOCHeading"/>
          </w:pPr>
          <w:r w:rsidRPr="00A82FF5">
            <w:rPr>
              <w:szCs w:val="52"/>
            </w:rPr>
            <w:t>Contents</w:t>
          </w:r>
        </w:p>
      </w:sdtContent>
    </w:sdt>
    <w:p w14:paraId="2EAE294E" w14:textId="14C88924" w:rsidR="00C94B26" w:rsidRDefault="00C50BF9" w:rsidP="00F00E14">
      <w:pPr>
        <w:pStyle w:val="TOC1"/>
        <w:tabs>
          <w:tab w:val="right" w:leader="dot" w:pos="8608"/>
        </w:tabs>
        <w:rPr>
          <w:rFonts w:eastAsiaTheme="minorEastAsia"/>
          <w:b w:val="0"/>
          <w:noProof/>
          <w:sz w:val="22"/>
          <w:lang w:eastAsia="en-GB"/>
        </w:rPr>
      </w:pPr>
      <w:r>
        <w:fldChar w:fldCharType="begin"/>
      </w:r>
      <w:r>
        <w:instrText xml:space="preserve"> TOC \o "1-2" \h \z \u </w:instrText>
      </w:r>
      <w:r>
        <w:fldChar w:fldCharType="separate"/>
      </w:r>
      <w:hyperlink w:anchor="_Toc34403592" w:history="1">
        <w:r w:rsidR="00C94B26" w:rsidRPr="00966012">
          <w:rPr>
            <w:rStyle w:val="Hyperlink"/>
            <w:noProof/>
          </w:rPr>
          <w:t>About the Equality and Human Rights Commission</w:t>
        </w:r>
        <w:r w:rsidR="00C94B26">
          <w:rPr>
            <w:noProof/>
            <w:webHidden/>
          </w:rPr>
          <w:tab/>
        </w:r>
        <w:r w:rsidR="00C94B26">
          <w:rPr>
            <w:noProof/>
            <w:webHidden/>
          </w:rPr>
          <w:fldChar w:fldCharType="begin"/>
        </w:r>
        <w:r w:rsidR="00C94B26">
          <w:rPr>
            <w:noProof/>
            <w:webHidden/>
          </w:rPr>
          <w:instrText xml:space="preserve"> PAGEREF _Toc34403592 \h </w:instrText>
        </w:r>
        <w:r w:rsidR="00C94B26">
          <w:rPr>
            <w:noProof/>
            <w:webHidden/>
          </w:rPr>
        </w:r>
        <w:r w:rsidR="00C94B26">
          <w:rPr>
            <w:noProof/>
            <w:webHidden/>
          </w:rPr>
          <w:fldChar w:fldCharType="separate"/>
        </w:r>
        <w:r w:rsidR="005C1574">
          <w:rPr>
            <w:noProof/>
            <w:webHidden/>
          </w:rPr>
          <w:t>2</w:t>
        </w:r>
        <w:r w:rsidR="00C94B26">
          <w:rPr>
            <w:noProof/>
            <w:webHidden/>
          </w:rPr>
          <w:fldChar w:fldCharType="end"/>
        </w:r>
      </w:hyperlink>
    </w:p>
    <w:p w14:paraId="6A735CF7" w14:textId="0F260229" w:rsidR="00C94B26" w:rsidRDefault="00AB5CC7" w:rsidP="00F00E14">
      <w:pPr>
        <w:pStyle w:val="TOC2"/>
        <w:tabs>
          <w:tab w:val="right" w:leader="dot" w:pos="8608"/>
        </w:tabs>
        <w:rPr>
          <w:rFonts w:eastAsiaTheme="minorEastAsia"/>
          <w:noProof/>
          <w:sz w:val="22"/>
          <w:lang w:eastAsia="en-GB"/>
        </w:rPr>
      </w:pPr>
      <w:hyperlink w:anchor="_Toc34403593" w:history="1">
        <w:r w:rsidR="00C94B26" w:rsidRPr="00966012">
          <w:rPr>
            <w:rStyle w:val="Hyperlink"/>
            <w:noProof/>
          </w:rPr>
          <w:t>Who we are</w:t>
        </w:r>
        <w:r w:rsidR="00C94B26">
          <w:rPr>
            <w:noProof/>
            <w:webHidden/>
          </w:rPr>
          <w:tab/>
        </w:r>
        <w:r w:rsidR="00C94B26">
          <w:rPr>
            <w:noProof/>
            <w:webHidden/>
          </w:rPr>
          <w:fldChar w:fldCharType="begin"/>
        </w:r>
        <w:r w:rsidR="00C94B26">
          <w:rPr>
            <w:noProof/>
            <w:webHidden/>
          </w:rPr>
          <w:instrText xml:space="preserve"> PAGEREF _Toc34403593 \h </w:instrText>
        </w:r>
        <w:r w:rsidR="00C94B26">
          <w:rPr>
            <w:noProof/>
            <w:webHidden/>
          </w:rPr>
        </w:r>
        <w:r w:rsidR="00C94B26">
          <w:rPr>
            <w:noProof/>
            <w:webHidden/>
          </w:rPr>
          <w:fldChar w:fldCharType="separate"/>
        </w:r>
        <w:r w:rsidR="005C1574">
          <w:rPr>
            <w:noProof/>
            <w:webHidden/>
          </w:rPr>
          <w:t>2</w:t>
        </w:r>
        <w:r w:rsidR="00C94B26">
          <w:rPr>
            <w:noProof/>
            <w:webHidden/>
          </w:rPr>
          <w:fldChar w:fldCharType="end"/>
        </w:r>
      </w:hyperlink>
    </w:p>
    <w:p w14:paraId="66C26272" w14:textId="2E91A0FB" w:rsidR="00C94B26" w:rsidRDefault="00AB5CC7" w:rsidP="00F00E14">
      <w:pPr>
        <w:pStyle w:val="TOC2"/>
        <w:tabs>
          <w:tab w:val="right" w:leader="dot" w:pos="8608"/>
        </w:tabs>
        <w:rPr>
          <w:rFonts w:eastAsiaTheme="minorEastAsia"/>
          <w:noProof/>
          <w:sz w:val="22"/>
          <w:lang w:eastAsia="en-GB"/>
        </w:rPr>
      </w:pPr>
      <w:hyperlink w:anchor="_Toc34403594" w:history="1">
        <w:r w:rsidR="00C94B26" w:rsidRPr="00966012">
          <w:rPr>
            <w:rStyle w:val="Hyperlink"/>
            <w:noProof/>
          </w:rPr>
          <w:t>How we have approached this consultation</w:t>
        </w:r>
        <w:r w:rsidR="00C94B26">
          <w:rPr>
            <w:noProof/>
            <w:webHidden/>
          </w:rPr>
          <w:tab/>
        </w:r>
        <w:r w:rsidR="00C94B26">
          <w:rPr>
            <w:noProof/>
            <w:webHidden/>
          </w:rPr>
          <w:fldChar w:fldCharType="begin"/>
        </w:r>
        <w:r w:rsidR="00C94B26">
          <w:rPr>
            <w:noProof/>
            <w:webHidden/>
          </w:rPr>
          <w:instrText xml:space="preserve"> PAGEREF _Toc34403594 \h </w:instrText>
        </w:r>
        <w:r w:rsidR="00C94B26">
          <w:rPr>
            <w:noProof/>
            <w:webHidden/>
          </w:rPr>
        </w:r>
        <w:r w:rsidR="00C94B26">
          <w:rPr>
            <w:noProof/>
            <w:webHidden/>
          </w:rPr>
          <w:fldChar w:fldCharType="separate"/>
        </w:r>
        <w:r w:rsidR="005C1574">
          <w:rPr>
            <w:noProof/>
            <w:webHidden/>
          </w:rPr>
          <w:t>2</w:t>
        </w:r>
        <w:r w:rsidR="00C94B26">
          <w:rPr>
            <w:noProof/>
            <w:webHidden/>
          </w:rPr>
          <w:fldChar w:fldCharType="end"/>
        </w:r>
      </w:hyperlink>
    </w:p>
    <w:p w14:paraId="4A478CC6" w14:textId="697301AA" w:rsidR="00C94B26" w:rsidRDefault="00AB5CC7" w:rsidP="00F00E14">
      <w:pPr>
        <w:pStyle w:val="TOC1"/>
        <w:tabs>
          <w:tab w:val="right" w:leader="dot" w:pos="8608"/>
        </w:tabs>
        <w:rPr>
          <w:rFonts w:eastAsiaTheme="minorEastAsia"/>
          <w:b w:val="0"/>
          <w:noProof/>
          <w:sz w:val="22"/>
          <w:lang w:eastAsia="en-GB"/>
        </w:rPr>
      </w:pPr>
      <w:hyperlink w:anchor="_Toc34403595" w:history="1">
        <w:r w:rsidR="00C94B26" w:rsidRPr="00966012">
          <w:rPr>
            <w:rStyle w:val="Hyperlink"/>
            <w:noProof/>
          </w:rPr>
          <w:t>Introduction</w:t>
        </w:r>
        <w:r w:rsidR="00C94B26">
          <w:rPr>
            <w:noProof/>
            <w:webHidden/>
          </w:rPr>
          <w:tab/>
        </w:r>
        <w:r w:rsidR="00C94B26">
          <w:rPr>
            <w:noProof/>
            <w:webHidden/>
          </w:rPr>
          <w:fldChar w:fldCharType="begin"/>
        </w:r>
        <w:r w:rsidR="00C94B26">
          <w:rPr>
            <w:noProof/>
            <w:webHidden/>
          </w:rPr>
          <w:instrText xml:space="preserve"> PAGEREF _Toc34403595 \h </w:instrText>
        </w:r>
        <w:r w:rsidR="00C94B26">
          <w:rPr>
            <w:noProof/>
            <w:webHidden/>
          </w:rPr>
        </w:r>
        <w:r w:rsidR="00C94B26">
          <w:rPr>
            <w:noProof/>
            <w:webHidden/>
          </w:rPr>
          <w:fldChar w:fldCharType="separate"/>
        </w:r>
        <w:r w:rsidR="005C1574">
          <w:rPr>
            <w:noProof/>
            <w:webHidden/>
          </w:rPr>
          <w:t>3</w:t>
        </w:r>
        <w:r w:rsidR="00C94B26">
          <w:rPr>
            <w:noProof/>
            <w:webHidden/>
          </w:rPr>
          <w:fldChar w:fldCharType="end"/>
        </w:r>
      </w:hyperlink>
    </w:p>
    <w:p w14:paraId="35F06E35" w14:textId="1F727551" w:rsidR="00C94B26" w:rsidRDefault="00AB5CC7" w:rsidP="00F00E14">
      <w:pPr>
        <w:pStyle w:val="TOC2"/>
        <w:tabs>
          <w:tab w:val="right" w:leader="dot" w:pos="8608"/>
        </w:tabs>
        <w:rPr>
          <w:rFonts w:eastAsiaTheme="minorEastAsia"/>
          <w:noProof/>
          <w:sz w:val="22"/>
          <w:lang w:eastAsia="en-GB"/>
        </w:rPr>
      </w:pPr>
      <w:hyperlink w:anchor="_Toc34403596" w:history="1">
        <w:r w:rsidR="00C94B26" w:rsidRPr="00966012">
          <w:rPr>
            <w:rStyle w:val="Hyperlink"/>
            <w:noProof/>
          </w:rPr>
          <w:t>Domestic and international legal framework</w:t>
        </w:r>
        <w:r w:rsidR="00C94B26">
          <w:rPr>
            <w:noProof/>
            <w:webHidden/>
          </w:rPr>
          <w:tab/>
        </w:r>
        <w:r w:rsidR="00C94B26">
          <w:rPr>
            <w:noProof/>
            <w:webHidden/>
          </w:rPr>
          <w:fldChar w:fldCharType="begin"/>
        </w:r>
        <w:r w:rsidR="00C94B26">
          <w:rPr>
            <w:noProof/>
            <w:webHidden/>
          </w:rPr>
          <w:instrText xml:space="preserve"> PAGEREF _Toc34403596 \h </w:instrText>
        </w:r>
        <w:r w:rsidR="00C94B26">
          <w:rPr>
            <w:noProof/>
            <w:webHidden/>
          </w:rPr>
        </w:r>
        <w:r w:rsidR="00C94B26">
          <w:rPr>
            <w:noProof/>
            <w:webHidden/>
          </w:rPr>
          <w:fldChar w:fldCharType="separate"/>
        </w:r>
        <w:r w:rsidR="005C1574">
          <w:rPr>
            <w:noProof/>
            <w:webHidden/>
          </w:rPr>
          <w:t>3</w:t>
        </w:r>
        <w:r w:rsidR="00C94B26">
          <w:rPr>
            <w:noProof/>
            <w:webHidden/>
          </w:rPr>
          <w:fldChar w:fldCharType="end"/>
        </w:r>
      </w:hyperlink>
    </w:p>
    <w:p w14:paraId="63C0BEC5" w14:textId="2434512C" w:rsidR="00C94B26" w:rsidRDefault="00AB5CC7" w:rsidP="00F00E14">
      <w:pPr>
        <w:pStyle w:val="TOC1"/>
        <w:tabs>
          <w:tab w:val="right" w:leader="dot" w:pos="8608"/>
        </w:tabs>
        <w:rPr>
          <w:rFonts w:eastAsiaTheme="minorEastAsia"/>
          <w:b w:val="0"/>
          <w:noProof/>
          <w:sz w:val="22"/>
          <w:lang w:eastAsia="en-GB"/>
        </w:rPr>
      </w:pPr>
      <w:hyperlink w:anchor="_Toc34403597" w:history="1">
        <w:r w:rsidR="00C94B26" w:rsidRPr="00966012">
          <w:rPr>
            <w:rStyle w:val="Hyperlink"/>
            <w:noProof/>
          </w:rPr>
          <w:t>Consultation questions</w:t>
        </w:r>
        <w:r w:rsidR="00C94B26">
          <w:rPr>
            <w:noProof/>
            <w:webHidden/>
          </w:rPr>
          <w:tab/>
        </w:r>
        <w:r w:rsidR="00C94B26">
          <w:rPr>
            <w:noProof/>
            <w:webHidden/>
          </w:rPr>
          <w:fldChar w:fldCharType="begin"/>
        </w:r>
        <w:r w:rsidR="00C94B26">
          <w:rPr>
            <w:noProof/>
            <w:webHidden/>
          </w:rPr>
          <w:instrText xml:space="preserve"> PAGEREF _Toc34403597 \h </w:instrText>
        </w:r>
        <w:r w:rsidR="00C94B26">
          <w:rPr>
            <w:noProof/>
            <w:webHidden/>
          </w:rPr>
        </w:r>
        <w:r w:rsidR="00C94B26">
          <w:rPr>
            <w:noProof/>
            <w:webHidden/>
          </w:rPr>
          <w:fldChar w:fldCharType="separate"/>
        </w:r>
        <w:r w:rsidR="005C1574">
          <w:rPr>
            <w:noProof/>
            <w:webHidden/>
          </w:rPr>
          <w:t>6</w:t>
        </w:r>
        <w:r w:rsidR="00C94B26">
          <w:rPr>
            <w:noProof/>
            <w:webHidden/>
          </w:rPr>
          <w:fldChar w:fldCharType="end"/>
        </w:r>
      </w:hyperlink>
    </w:p>
    <w:p w14:paraId="74636B66" w14:textId="4BD28524" w:rsidR="00C94B26" w:rsidRDefault="00AB5CC7" w:rsidP="00F00E14">
      <w:pPr>
        <w:pStyle w:val="TOC2"/>
        <w:tabs>
          <w:tab w:val="right" w:leader="dot" w:pos="8608"/>
        </w:tabs>
        <w:rPr>
          <w:rFonts w:eastAsiaTheme="minorEastAsia"/>
          <w:noProof/>
          <w:sz w:val="22"/>
          <w:lang w:eastAsia="en-GB"/>
        </w:rPr>
      </w:pPr>
      <w:hyperlink w:anchor="_Toc34403598" w:history="1">
        <w:r w:rsidR="00C94B26" w:rsidRPr="00966012">
          <w:rPr>
            <w:rStyle w:val="Hyperlink"/>
            <w:noProof/>
          </w:rPr>
          <w:t>Question 1</w:t>
        </w:r>
        <w:r w:rsidR="00C94B26">
          <w:rPr>
            <w:noProof/>
            <w:webHidden/>
          </w:rPr>
          <w:tab/>
        </w:r>
        <w:r w:rsidR="00C94B26">
          <w:rPr>
            <w:noProof/>
            <w:webHidden/>
          </w:rPr>
          <w:fldChar w:fldCharType="begin"/>
        </w:r>
        <w:r w:rsidR="00C94B26">
          <w:rPr>
            <w:noProof/>
            <w:webHidden/>
          </w:rPr>
          <w:instrText xml:space="preserve"> PAGEREF _Toc34403598 \h </w:instrText>
        </w:r>
        <w:r w:rsidR="00C94B26">
          <w:rPr>
            <w:noProof/>
            <w:webHidden/>
          </w:rPr>
        </w:r>
        <w:r w:rsidR="00C94B26">
          <w:rPr>
            <w:noProof/>
            <w:webHidden/>
          </w:rPr>
          <w:fldChar w:fldCharType="separate"/>
        </w:r>
        <w:r w:rsidR="005C1574">
          <w:rPr>
            <w:noProof/>
            <w:webHidden/>
          </w:rPr>
          <w:t>6</w:t>
        </w:r>
        <w:r w:rsidR="00C94B26">
          <w:rPr>
            <w:noProof/>
            <w:webHidden/>
          </w:rPr>
          <w:fldChar w:fldCharType="end"/>
        </w:r>
      </w:hyperlink>
    </w:p>
    <w:p w14:paraId="251C0E1C" w14:textId="54C80452" w:rsidR="00C94B26" w:rsidRDefault="00AB5CC7" w:rsidP="00F00E14">
      <w:pPr>
        <w:pStyle w:val="TOC2"/>
        <w:tabs>
          <w:tab w:val="right" w:leader="dot" w:pos="8608"/>
        </w:tabs>
        <w:rPr>
          <w:rFonts w:eastAsiaTheme="minorEastAsia"/>
          <w:noProof/>
          <w:sz w:val="22"/>
          <w:lang w:eastAsia="en-GB"/>
        </w:rPr>
      </w:pPr>
      <w:hyperlink w:anchor="_Toc34403599" w:history="1">
        <w:r w:rsidR="00C94B26" w:rsidRPr="00966012">
          <w:rPr>
            <w:rStyle w:val="Hyperlink"/>
            <w:noProof/>
          </w:rPr>
          <w:t>Question 2</w:t>
        </w:r>
        <w:r w:rsidR="00C94B26">
          <w:rPr>
            <w:noProof/>
            <w:webHidden/>
          </w:rPr>
          <w:tab/>
        </w:r>
        <w:r w:rsidR="00C94B26">
          <w:rPr>
            <w:noProof/>
            <w:webHidden/>
          </w:rPr>
          <w:fldChar w:fldCharType="begin"/>
        </w:r>
        <w:r w:rsidR="00C94B26">
          <w:rPr>
            <w:noProof/>
            <w:webHidden/>
          </w:rPr>
          <w:instrText xml:space="preserve"> PAGEREF _Toc34403599 \h </w:instrText>
        </w:r>
        <w:r w:rsidR="00C94B26">
          <w:rPr>
            <w:noProof/>
            <w:webHidden/>
          </w:rPr>
        </w:r>
        <w:r w:rsidR="00C94B26">
          <w:rPr>
            <w:noProof/>
            <w:webHidden/>
          </w:rPr>
          <w:fldChar w:fldCharType="separate"/>
        </w:r>
        <w:r w:rsidR="005C1574">
          <w:rPr>
            <w:noProof/>
            <w:webHidden/>
          </w:rPr>
          <w:t>8</w:t>
        </w:r>
        <w:r w:rsidR="00C94B26">
          <w:rPr>
            <w:noProof/>
            <w:webHidden/>
          </w:rPr>
          <w:fldChar w:fldCharType="end"/>
        </w:r>
      </w:hyperlink>
    </w:p>
    <w:p w14:paraId="40560AEF" w14:textId="65AE9636" w:rsidR="00C94B26" w:rsidRDefault="00AB5CC7" w:rsidP="00F00E14">
      <w:pPr>
        <w:pStyle w:val="TOC2"/>
        <w:tabs>
          <w:tab w:val="right" w:leader="dot" w:pos="8608"/>
        </w:tabs>
        <w:rPr>
          <w:rFonts w:eastAsiaTheme="minorEastAsia"/>
          <w:noProof/>
          <w:sz w:val="22"/>
          <w:lang w:eastAsia="en-GB"/>
        </w:rPr>
      </w:pPr>
      <w:hyperlink w:anchor="_Toc34403600" w:history="1">
        <w:r w:rsidR="00C94B26" w:rsidRPr="00966012">
          <w:rPr>
            <w:rStyle w:val="Hyperlink"/>
            <w:noProof/>
          </w:rPr>
          <w:t>Question 3</w:t>
        </w:r>
        <w:r w:rsidR="00C94B26">
          <w:rPr>
            <w:noProof/>
            <w:webHidden/>
          </w:rPr>
          <w:tab/>
        </w:r>
        <w:r w:rsidR="00C94B26">
          <w:rPr>
            <w:noProof/>
            <w:webHidden/>
          </w:rPr>
          <w:fldChar w:fldCharType="begin"/>
        </w:r>
        <w:r w:rsidR="00C94B26">
          <w:rPr>
            <w:noProof/>
            <w:webHidden/>
          </w:rPr>
          <w:instrText xml:space="preserve"> PAGEREF _Toc34403600 \h </w:instrText>
        </w:r>
        <w:r w:rsidR="00C94B26">
          <w:rPr>
            <w:noProof/>
            <w:webHidden/>
          </w:rPr>
        </w:r>
        <w:r w:rsidR="00C94B26">
          <w:rPr>
            <w:noProof/>
            <w:webHidden/>
          </w:rPr>
          <w:fldChar w:fldCharType="separate"/>
        </w:r>
        <w:r w:rsidR="005C1574">
          <w:rPr>
            <w:noProof/>
            <w:webHidden/>
          </w:rPr>
          <w:t>10</w:t>
        </w:r>
        <w:r w:rsidR="00C94B26">
          <w:rPr>
            <w:noProof/>
            <w:webHidden/>
          </w:rPr>
          <w:fldChar w:fldCharType="end"/>
        </w:r>
      </w:hyperlink>
    </w:p>
    <w:p w14:paraId="3FEE4698" w14:textId="353D0B8D" w:rsidR="00C94B26" w:rsidRDefault="00AB5CC7" w:rsidP="00F00E14">
      <w:pPr>
        <w:pStyle w:val="TOC2"/>
        <w:tabs>
          <w:tab w:val="right" w:leader="dot" w:pos="8608"/>
        </w:tabs>
        <w:rPr>
          <w:rFonts w:eastAsiaTheme="minorEastAsia"/>
          <w:noProof/>
          <w:sz w:val="22"/>
          <w:lang w:eastAsia="en-GB"/>
        </w:rPr>
      </w:pPr>
      <w:hyperlink w:anchor="_Toc34403601" w:history="1">
        <w:r w:rsidR="00C94B26" w:rsidRPr="00966012">
          <w:rPr>
            <w:rStyle w:val="Hyperlink"/>
            <w:noProof/>
          </w:rPr>
          <w:t>Question 4</w:t>
        </w:r>
        <w:r w:rsidR="00C94B26">
          <w:rPr>
            <w:noProof/>
            <w:webHidden/>
          </w:rPr>
          <w:tab/>
        </w:r>
        <w:r w:rsidR="00C94B26">
          <w:rPr>
            <w:noProof/>
            <w:webHidden/>
          </w:rPr>
          <w:fldChar w:fldCharType="begin"/>
        </w:r>
        <w:r w:rsidR="00C94B26">
          <w:rPr>
            <w:noProof/>
            <w:webHidden/>
          </w:rPr>
          <w:instrText xml:space="preserve"> PAGEREF _Toc34403601 \h </w:instrText>
        </w:r>
        <w:r w:rsidR="00C94B26">
          <w:rPr>
            <w:noProof/>
            <w:webHidden/>
          </w:rPr>
        </w:r>
        <w:r w:rsidR="00C94B26">
          <w:rPr>
            <w:noProof/>
            <w:webHidden/>
          </w:rPr>
          <w:fldChar w:fldCharType="separate"/>
        </w:r>
        <w:r w:rsidR="005C1574">
          <w:rPr>
            <w:noProof/>
            <w:webHidden/>
          </w:rPr>
          <w:t>11</w:t>
        </w:r>
        <w:r w:rsidR="00C94B26">
          <w:rPr>
            <w:noProof/>
            <w:webHidden/>
          </w:rPr>
          <w:fldChar w:fldCharType="end"/>
        </w:r>
      </w:hyperlink>
    </w:p>
    <w:p w14:paraId="331711E8" w14:textId="15120559" w:rsidR="00C94B26" w:rsidRDefault="00AB5CC7" w:rsidP="00F00E14">
      <w:pPr>
        <w:pStyle w:val="TOC2"/>
        <w:tabs>
          <w:tab w:val="right" w:leader="dot" w:pos="8608"/>
        </w:tabs>
        <w:rPr>
          <w:rFonts w:eastAsiaTheme="minorEastAsia"/>
          <w:noProof/>
          <w:sz w:val="22"/>
          <w:lang w:eastAsia="en-GB"/>
        </w:rPr>
      </w:pPr>
      <w:hyperlink w:anchor="_Toc34403602" w:history="1">
        <w:r w:rsidR="00C94B26" w:rsidRPr="00966012">
          <w:rPr>
            <w:rStyle w:val="Hyperlink"/>
            <w:noProof/>
          </w:rPr>
          <w:t>Question 5</w:t>
        </w:r>
        <w:r w:rsidR="00C94B26">
          <w:rPr>
            <w:noProof/>
            <w:webHidden/>
          </w:rPr>
          <w:tab/>
        </w:r>
        <w:r w:rsidR="00C94B26">
          <w:rPr>
            <w:noProof/>
            <w:webHidden/>
          </w:rPr>
          <w:fldChar w:fldCharType="begin"/>
        </w:r>
        <w:r w:rsidR="00C94B26">
          <w:rPr>
            <w:noProof/>
            <w:webHidden/>
          </w:rPr>
          <w:instrText xml:space="preserve"> PAGEREF _Toc34403602 \h </w:instrText>
        </w:r>
        <w:r w:rsidR="00C94B26">
          <w:rPr>
            <w:noProof/>
            <w:webHidden/>
          </w:rPr>
        </w:r>
        <w:r w:rsidR="00C94B26">
          <w:rPr>
            <w:noProof/>
            <w:webHidden/>
          </w:rPr>
          <w:fldChar w:fldCharType="separate"/>
        </w:r>
        <w:r w:rsidR="005C1574">
          <w:rPr>
            <w:noProof/>
            <w:webHidden/>
          </w:rPr>
          <w:t>15</w:t>
        </w:r>
        <w:r w:rsidR="00C94B26">
          <w:rPr>
            <w:noProof/>
            <w:webHidden/>
          </w:rPr>
          <w:fldChar w:fldCharType="end"/>
        </w:r>
      </w:hyperlink>
    </w:p>
    <w:p w14:paraId="1716BF36" w14:textId="67F8BB67" w:rsidR="00C94B26" w:rsidRDefault="00AB5CC7" w:rsidP="00F00E14">
      <w:pPr>
        <w:pStyle w:val="TOC1"/>
        <w:tabs>
          <w:tab w:val="right" w:leader="dot" w:pos="8608"/>
        </w:tabs>
        <w:rPr>
          <w:rFonts w:eastAsiaTheme="minorEastAsia"/>
          <w:b w:val="0"/>
          <w:noProof/>
          <w:sz w:val="22"/>
          <w:lang w:eastAsia="en-GB"/>
        </w:rPr>
      </w:pPr>
      <w:hyperlink w:anchor="_Toc34403603" w:history="1">
        <w:r w:rsidR="00C94B26" w:rsidRPr="00966012">
          <w:rPr>
            <w:rStyle w:val="Hyperlink"/>
            <w:noProof/>
          </w:rPr>
          <w:t>Contacts</w:t>
        </w:r>
        <w:r w:rsidR="00C94B26">
          <w:rPr>
            <w:noProof/>
            <w:webHidden/>
          </w:rPr>
          <w:tab/>
        </w:r>
        <w:r w:rsidR="00C94B26">
          <w:rPr>
            <w:noProof/>
            <w:webHidden/>
          </w:rPr>
          <w:fldChar w:fldCharType="begin"/>
        </w:r>
        <w:r w:rsidR="00C94B26">
          <w:rPr>
            <w:noProof/>
            <w:webHidden/>
          </w:rPr>
          <w:instrText xml:space="preserve"> PAGEREF _Toc34403603 \h </w:instrText>
        </w:r>
        <w:r w:rsidR="00C94B26">
          <w:rPr>
            <w:noProof/>
            <w:webHidden/>
          </w:rPr>
        </w:r>
        <w:r w:rsidR="00C94B26">
          <w:rPr>
            <w:noProof/>
            <w:webHidden/>
          </w:rPr>
          <w:fldChar w:fldCharType="separate"/>
        </w:r>
        <w:r w:rsidR="005C1574">
          <w:rPr>
            <w:noProof/>
            <w:webHidden/>
          </w:rPr>
          <w:t>16</w:t>
        </w:r>
        <w:r w:rsidR="00C94B26">
          <w:rPr>
            <w:noProof/>
            <w:webHidden/>
          </w:rPr>
          <w:fldChar w:fldCharType="end"/>
        </w:r>
      </w:hyperlink>
    </w:p>
    <w:p w14:paraId="5EB22A7F" w14:textId="73336F20" w:rsidR="00C94B26" w:rsidRDefault="00AB5CC7" w:rsidP="00F00E14">
      <w:pPr>
        <w:pStyle w:val="TOC2"/>
        <w:tabs>
          <w:tab w:val="right" w:leader="dot" w:pos="8608"/>
        </w:tabs>
        <w:rPr>
          <w:rFonts w:eastAsiaTheme="minorEastAsia"/>
          <w:noProof/>
          <w:sz w:val="22"/>
          <w:lang w:eastAsia="en-GB"/>
        </w:rPr>
      </w:pPr>
      <w:hyperlink w:anchor="_Toc34403604" w:history="1">
        <w:r w:rsidR="00C94B26" w:rsidRPr="00966012">
          <w:rPr>
            <w:rStyle w:val="Hyperlink"/>
            <w:noProof/>
          </w:rPr>
          <w:t>EASS</w:t>
        </w:r>
        <w:r w:rsidR="00C94B26">
          <w:rPr>
            <w:noProof/>
            <w:webHidden/>
          </w:rPr>
          <w:tab/>
        </w:r>
        <w:r w:rsidR="00C94B26">
          <w:rPr>
            <w:noProof/>
            <w:webHidden/>
          </w:rPr>
          <w:fldChar w:fldCharType="begin"/>
        </w:r>
        <w:r w:rsidR="00C94B26">
          <w:rPr>
            <w:noProof/>
            <w:webHidden/>
          </w:rPr>
          <w:instrText xml:space="preserve"> PAGEREF _Toc34403604 \h </w:instrText>
        </w:r>
        <w:r w:rsidR="00C94B26">
          <w:rPr>
            <w:noProof/>
            <w:webHidden/>
          </w:rPr>
        </w:r>
        <w:r w:rsidR="00C94B26">
          <w:rPr>
            <w:noProof/>
            <w:webHidden/>
          </w:rPr>
          <w:fldChar w:fldCharType="separate"/>
        </w:r>
        <w:r w:rsidR="005C1574">
          <w:rPr>
            <w:noProof/>
            <w:webHidden/>
          </w:rPr>
          <w:t>16</w:t>
        </w:r>
        <w:r w:rsidR="00C94B26">
          <w:rPr>
            <w:noProof/>
            <w:webHidden/>
          </w:rPr>
          <w:fldChar w:fldCharType="end"/>
        </w:r>
      </w:hyperlink>
    </w:p>
    <w:p w14:paraId="0D9B7FC1" w14:textId="550D257F" w:rsidR="00B277C1" w:rsidRDefault="00C50BF9" w:rsidP="00F00E14">
      <w:pPr>
        <w:pBdr>
          <w:top w:val="dashSmallGap" w:sz="18" w:space="24" w:color="auto"/>
        </w:pBdr>
        <w:spacing w:before="960"/>
        <w:rPr>
          <w:rStyle w:val="Howtousethistemplate"/>
        </w:rPr>
      </w:pPr>
      <w:r>
        <w:fldChar w:fldCharType="end"/>
      </w:r>
    </w:p>
    <w:p w14:paraId="2180C24B" w14:textId="77777777" w:rsidR="00B02B52" w:rsidRPr="00A82FF5" w:rsidRDefault="00913F19" w:rsidP="00F00E14">
      <w:pPr>
        <w:pStyle w:val="Heading1"/>
        <w:spacing w:line="276" w:lineRule="auto"/>
      </w:pPr>
      <w:bookmarkStart w:id="1" w:name="_Toc34403592"/>
      <w:r>
        <w:lastRenderedPageBreak/>
        <w:t>About the Equality and Human Rights Commission</w:t>
      </w:r>
      <w:bookmarkEnd w:id="1"/>
    </w:p>
    <w:p w14:paraId="63AA6D0B" w14:textId="77777777" w:rsidR="00B02B52" w:rsidRDefault="00913F19" w:rsidP="00F00E14">
      <w:pPr>
        <w:pStyle w:val="Heading2"/>
        <w:spacing w:line="276" w:lineRule="auto"/>
      </w:pPr>
      <w:bookmarkStart w:id="2" w:name="_Toc34403593"/>
      <w:r>
        <w:t>Who we are</w:t>
      </w:r>
      <w:bookmarkEnd w:id="2"/>
    </w:p>
    <w:p w14:paraId="1C2628DF" w14:textId="6146A6C2" w:rsidR="00913F19" w:rsidRPr="00CC6BA1" w:rsidRDefault="00913F19" w:rsidP="00F00E14">
      <w:pPr>
        <w:rPr>
          <w:b/>
          <w:bCs/>
        </w:rPr>
      </w:pPr>
      <w:r w:rsidRPr="00CC6BA1">
        <w:t>The Equality and Human Rights Commission is the National Equa</w:t>
      </w:r>
      <w:r>
        <w:t xml:space="preserve">lity Body (NEB) </w:t>
      </w:r>
      <w:r w:rsidRPr="00CC6BA1">
        <w:t xml:space="preserve">for Scotland, England and Wales. We work to eliminate discrimination and promote equality across the nine protected </w:t>
      </w:r>
      <w:r w:rsidR="00D95E8C">
        <w:t>characteristics</w:t>
      </w:r>
      <w:r w:rsidR="00D95E8C" w:rsidRPr="00CC6BA1">
        <w:t xml:space="preserve"> </w:t>
      </w:r>
      <w:r w:rsidRPr="00CC6BA1">
        <w:t>set out in the Equality</w:t>
      </w:r>
      <w:r w:rsidR="005C1574">
        <w:t xml:space="preserve"> </w:t>
      </w:r>
      <w:r w:rsidRPr="00CC6BA1">
        <w:t>Act</w:t>
      </w:r>
      <w:r w:rsidR="005C1574">
        <w:t xml:space="preserve"> (EA)</w:t>
      </w:r>
      <w:r w:rsidRPr="00CC6BA1">
        <w:t xml:space="preserve"> 2010: age, disability, gender reassignment, marriage and civil partnership, pregnancy and maternity, race, religion or belief, sex and sexual orientation.  </w:t>
      </w:r>
    </w:p>
    <w:p w14:paraId="7EFABFBC" w14:textId="77777777" w:rsidR="00B02B52" w:rsidRDefault="00913F19" w:rsidP="00F00E14">
      <w:r w:rsidRPr="00CC6BA1">
        <w:t>We are an “A Status” National Human Rights Institution (NHRI) and share our mandate to promote and protect human rights in Scotland with the Scottish Human Rights Commission (SHRC).</w:t>
      </w:r>
    </w:p>
    <w:p w14:paraId="749A8F7F" w14:textId="77777777" w:rsidR="008F4255" w:rsidRDefault="008F4255" w:rsidP="00F00E14">
      <w:pPr>
        <w:pStyle w:val="Heading2"/>
        <w:spacing w:line="276" w:lineRule="auto"/>
      </w:pPr>
      <w:bookmarkStart w:id="3" w:name="_Toc34403594"/>
      <w:r>
        <w:t>How we have approached this consultation</w:t>
      </w:r>
      <w:bookmarkEnd w:id="3"/>
    </w:p>
    <w:p w14:paraId="687FF33F" w14:textId="72BE5255" w:rsidR="008F4255" w:rsidRPr="008F4255" w:rsidRDefault="008F4255" w:rsidP="00F00E14">
      <w:r>
        <w:t xml:space="preserve">We have chosen to respond to the questions where we believe we can add value. We have not responded to question 5 on impact assessments, </w:t>
      </w:r>
      <w:r w:rsidR="00F23C46">
        <w:t>which we do not typically do during consultati</w:t>
      </w:r>
      <w:r w:rsidR="00BF569D">
        <w:t>ve</w:t>
      </w:r>
      <w:r w:rsidR="00F23C46">
        <w:t xml:space="preserve"> or legislative processes </w:t>
      </w:r>
      <w:r w:rsidR="00D32134">
        <w:t>prior to the finalisation of</w:t>
      </w:r>
      <w:r w:rsidR="00F23C46">
        <w:t xml:space="preserve"> assessments.</w:t>
      </w:r>
    </w:p>
    <w:p w14:paraId="0FA39853" w14:textId="77777777" w:rsidR="008F4255" w:rsidRDefault="008F4255" w:rsidP="00F00E14">
      <w:pPr>
        <w:keepLines w:val="0"/>
        <w:spacing w:before="0" w:after="160"/>
        <w:rPr>
          <w:rFonts w:asciiTheme="majorHAnsi" w:eastAsiaTheme="majorEastAsia" w:hAnsiTheme="majorHAnsi" w:cstheme="majorBidi"/>
          <w:color w:val="FFFFFF" w:themeColor="background1"/>
          <w:sz w:val="56"/>
          <w:szCs w:val="52"/>
          <w:bdr w:val="single" w:sz="48" w:space="0" w:color="009C98" w:themeColor="accent1"/>
          <w:shd w:val="clear" w:color="auto" w:fill="009C98" w:themeFill="accent1"/>
        </w:rPr>
      </w:pPr>
      <w:r>
        <w:br w:type="page"/>
      </w:r>
    </w:p>
    <w:p w14:paraId="121752DD" w14:textId="77777777" w:rsidR="008F4255" w:rsidRDefault="008F4255" w:rsidP="00F00E14">
      <w:pPr>
        <w:pStyle w:val="Heading1"/>
        <w:spacing w:line="276" w:lineRule="auto"/>
      </w:pPr>
      <w:bookmarkStart w:id="4" w:name="_Toc34403595"/>
      <w:r>
        <w:lastRenderedPageBreak/>
        <w:t>Introduction</w:t>
      </w:r>
      <w:bookmarkEnd w:id="4"/>
    </w:p>
    <w:p w14:paraId="23D2B04B" w14:textId="334B719C" w:rsidR="00972469" w:rsidRPr="00972469" w:rsidRDefault="008F4255" w:rsidP="00F00E14">
      <w:pPr>
        <w:pStyle w:val="ListParagraph"/>
        <w:keepLines w:val="0"/>
        <w:numPr>
          <w:ilvl w:val="0"/>
          <w:numId w:val="36"/>
        </w:numPr>
        <w:spacing w:before="0"/>
        <w:contextualSpacing/>
        <w:rPr>
          <w:rFonts w:cs="Arial"/>
          <w:szCs w:val="28"/>
        </w:rPr>
      </w:pPr>
      <w:r w:rsidRPr="00BF27E1">
        <w:rPr>
          <w:rFonts w:cs="Arial"/>
          <w:szCs w:val="28"/>
        </w:rPr>
        <w:t xml:space="preserve">We welcome the </w:t>
      </w:r>
      <w:r w:rsidR="00547695">
        <w:rPr>
          <w:rFonts w:cs="Arial"/>
          <w:szCs w:val="28"/>
        </w:rPr>
        <w:t xml:space="preserve">Scottish </w:t>
      </w:r>
      <w:r w:rsidRPr="00BF27E1">
        <w:rPr>
          <w:rFonts w:cs="Arial"/>
          <w:szCs w:val="28"/>
        </w:rPr>
        <w:t xml:space="preserve">Government’s consultation on </w:t>
      </w:r>
      <w:r w:rsidR="00547695">
        <w:rPr>
          <w:rFonts w:cs="Arial"/>
          <w:szCs w:val="28"/>
        </w:rPr>
        <w:t>its draft Gender Recognition Reform (Scotland) Bill</w:t>
      </w:r>
      <w:r>
        <w:rPr>
          <w:rFonts w:cs="Arial"/>
          <w:szCs w:val="28"/>
        </w:rPr>
        <w:t>.</w:t>
      </w:r>
      <w:r w:rsidRPr="00DC41AA">
        <w:rPr>
          <w:szCs w:val="28"/>
        </w:rPr>
        <w:t xml:space="preserve"> </w:t>
      </w:r>
      <w:r w:rsidR="00D95E8C">
        <w:rPr>
          <w:szCs w:val="28"/>
        </w:rPr>
        <w:t>T</w:t>
      </w:r>
      <w:r>
        <w:rPr>
          <w:szCs w:val="28"/>
        </w:rPr>
        <w:t>he Commission considers that a</w:t>
      </w:r>
      <w:r w:rsidRPr="00043282">
        <w:rPr>
          <w:szCs w:val="28"/>
        </w:rPr>
        <w:t xml:space="preserve"> simplified </w:t>
      </w:r>
      <w:r>
        <w:rPr>
          <w:szCs w:val="28"/>
        </w:rPr>
        <w:t>system for obtaining legal recognition of gender through a change in legal sex wo</w:t>
      </w:r>
      <w:r w:rsidR="00972469">
        <w:rPr>
          <w:szCs w:val="28"/>
        </w:rPr>
        <w:t>uld better support trans people</w:t>
      </w:r>
      <w:r w:rsidR="004344FA">
        <w:rPr>
          <w:szCs w:val="28"/>
        </w:rPr>
        <w:t xml:space="preserve"> to live their lives free from discrimination,</w:t>
      </w:r>
      <w:r w:rsidR="00972469">
        <w:rPr>
          <w:szCs w:val="28"/>
        </w:rPr>
        <w:t xml:space="preserve"> and supports the aims of the draft Bill.</w:t>
      </w:r>
      <w:r w:rsidR="00972469">
        <w:rPr>
          <w:rStyle w:val="FootnoteReference"/>
          <w:szCs w:val="28"/>
        </w:rPr>
        <w:footnoteReference w:id="1"/>
      </w:r>
    </w:p>
    <w:p w14:paraId="64C1F613" w14:textId="77777777" w:rsidR="00EF6963" w:rsidRPr="00EF6963" w:rsidRDefault="00EF6963" w:rsidP="00F00E14">
      <w:pPr>
        <w:pStyle w:val="ListParagraph"/>
        <w:keepLines w:val="0"/>
        <w:spacing w:before="0"/>
        <w:ind w:left="720"/>
        <w:contextualSpacing/>
        <w:rPr>
          <w:rFonts w:cs="Arial"/>
          <w:szCs w:val="28"/>
        </w:rPr>
      </w:pPr>
    </w:p>
    <w:p w14:paraId="000A2606" w14:textId="65DE8A65" w:rsidR="008F4255" w:rsidRDefault="008F4255" w:rsidP="00F00E14">
      <w:pPr>
        <w:pStyle w:val="ListParagraph"/>
        <w:keepLines w:val="0"/>
        <w:numPr>
          <w:ilvl w:val="0"/>
          <w:numId w:val="36"/>
        </w:numPr>
        <w:spacing w:before="0"/>
        <w:contextualSpacing/>
        <w:rPr>
          <w:rFonts w:cs="Arial"/>
        </w:rPr>
      </w:pPr>
      <w:r>
        <w:rPr>
          <w:rFonts w:cs="Arial"/>
          <w:szCs w:val="28"/>
        </w:rPr>
        <w:t>The interaction between the G</w:t>
      </w:r>
      <w:r w:rsidR="00EF6963">
        <w:rPr>
          <w:rFonts w:cs="Arial"/>
          <w:szCs w:val="28"/>
        </w:rPr>
        <w:t xml:space="preserve">ender </w:t>
      </w:r>
      <w:r>
        <w:rPr>
          <w:rFonts w:cs="Arial"/>
          <w:szCs w:val="28"/>
        </w:rPr>
        <w:t>R</w:t>
      </w:r>
      <w:r w:rsidR="00EF6963">
        <w:rPr>
          <w:rFonts w:cs="Arial"/>
          <w:szCs w:val="28"/>
        </w:rPr>
        <w:t xml:space="preserve">ecognition </w:t>
      </w:r>
      <w:r>
        <w:rPr>
          <w:rFonts w:cs="Arial"/>
          <w:szCs w:val="28"/>
        </w:rPr>
        <w:t>A</w:t>
      </w:r>
      <w:r w:rsidR="00EF6963">
        <w:rPr>
          <w:rFonts w:cs="Arial"/>
          <w:szCs w:val="28"/>
        </w:rPr>
        <w:t xml:space="preserve">ct </w:t>
      </w:r>
      <w:r w:rsidR="00EE0726">
        <w:rPr>
          <w:rFonts w:cs="Arial"/>
          <w:szCs w:val="28"/>
        </w:rPr>
        <w:t xml:space="preserve">(GRA) </w:t>
      </w:r>
      <w:r w:rsidR="00EF6963">
        <w:rPr>
          <w:rFonts w:cs="Arial"/>
          <w:szCs w:val="28"/>
        </w:rPr>
        <w:t>2004</w:t>
      </w:r>
      <w:r>
        <w:rPr>
          <w:rFonts w:cs="Arial"/>
          <w:szCs w:val="28"/>
        </w:rPr>
        <w:t xml:space="preserve"> and the EA 2010 is a complex area of law</w:t>
      </w:r>
      <w:r w:rsidR="00EF6963">
        <w:rPr>
          <w:rFonts w:cs="Arial"/>
          <w:szCs w:val="28"/>
        </w:rPr>
        <w:t>. As well as answering the questions posed through the consultation, and notwithstanding the fact that</w:t>
      </w:r>
      <w:r>
        <w:rPr>
          <w:rFonts w:cs="Arial"/>
          <w:szCs w:val="28"/>
        </w:rPr>
        <w:t xml:space="preserve"> </w:t>
      </w:r>
      <w:r w:rsidR="00EF6963">
        <w:rPr>
          <w:rFonts w:cs="Arial"/>
          <w:szCs w:val="28"/>
        </w:rPr>
        <w:t>EA 2010 is reserved legislation</w:t>
      </w:r>
      <w:r>
        <w:rPr>
          <w:rFonts w:cs="Arial"/>
          <w:szCs w:val="28"/>
        </w:rPr>
        <w:t xml:space="preserve">, our consultation response also </w:t>
      </w:r>
      <w:r>
        <w:rPr>
          <w:rFonts w:cs="Arial"/>
        </w:rPr>
        <w:t xml:space="preserve">seeks to bring clarity to </w:t>
      </w:r>
      <w:r w:rsidR="00EF6963">
        <w:rPr>
          <w:rFonts w:cs="Arial"/>
        </w:rPr>
        <w:t xml:space="preserve">this legislative interaction. </w:t>
      </w:r>
    </w:p>
    <w:p w14:paraId="206175F8" w14:textId="77777777" w:rsidR="008F4255" w:rsidRDefault="008B4F9C" w:rsidP="00F00E14">
      <w:pPr>
        <w:pStyle w:val="Heading2"/>
        <w:spacing w:line="276" w:lineRule="auto"/>
      </w:pPr>
      <w:bookmarkStart w:id="5" w:name="_Toc34403596"/>
      <w:r>
        <w:t>Domestic and international legal framework</w:t>
      </w:r>
      <w:bookmarkEnd w:id="5"/>
    </w:p>
    <w:p w14:paraId="55F77101" w14:textId="77777777" w:rsidR="008B4F9C" w:rsidRPr="008B4F9C" w:rsidRDefault="008B4F9C" w:rsidP="00F00E14"/>
    <w:p w14:paraId="10B70689" w14:textId="146303C5" w:rsidR="008B4F9C" w:rsidRPr="008B4F9C" w:rsidRDefault="008B4F9C" w:rsidP="00F00E14">
      <w:pPr>
        <w:pStyle w:val="ListParagraph"/>
        <w:keepLines w:val="0"/>
        <w:numPr>
          <w:ilvl w:val="0"/>
          <w:numId w:val="36"/>
        </w:numPr>
        <w:spacing w:before="0"/>
        <w:contextualSpacing/>
        <w:rPr>
          <w:rFonts w:cs="Arial"/>
          <w:szCs w:val="28"/>
        </w:rPr>
      </w:pPr>
      <w:r w:rsidRPr="008B4F9C">
        <w:rPr>
          <w:rFonts w:cs="Arial"/>
          <w:szCs w:val="28"/>
        </w:rPr>
        <w:t>Under the Human Rights Act 1998, trans people</w:t>
      </w:r>
      <w:r w:rsidR="004344FA">
        <w:rPr>
          <w:rFonts w:cs="Arial"/>
          <w:szCs w:val="28"/>
        </w:rPr>
        <w:t xml:space="preserve"> – individuals whose gender identity does not align with their sex recorded at birth – </w:t>
      </w:r>
      <w:r w:rsidRPr="008B4F9C">
        <w:rPr>
          <w:rFonts w:cs="Arial"/>
          <w:szCs w:val="28"/>
        </w:rPr>
        <w:t xml:space="preserve"> have the right to full recognition of their acquired gender in law under Article 8 (right to private and family life) and Article 12 (right to marry) of the European Convention on Human Rights (ECHR)</w:t>
      </w:r>
      <w:r w:rsidRPr="008B4F9C">
        <w:rPr>
          <w:szCs w:val="28"/>
        </w:rPr>
        <w:t>.</w:t>
      </w:r>
      <w:r w:rsidRPr="000728ED">
        <w:rPr>
          <w:rStyle w:val="FootnoteReference"/>
          <w:szCs w:val="28"/>
        </w:rPr>
        <w:footnoteReference w:id="2"/>
      </w:r>
    </w:p>
    <w:p w14:paraId="58828112" w14:textId="77777777" w:rsidR="008B4F9C" w:rsidRPr="006170DF" w:rsidRDefault="008B4F9C" w:rsidP="00F00E14">
      <w:pPr>
        <w:pStyle w:val="ListParagraph"/>
        <w:ind w:left="567"/>
        <w:rPr>
          <w:rFonts w:cs="Arial"/>
          <w:szCs w:val="28"/>
        </w:rPr>
      </w:pPr>
    </w:p>
    <w:p w14:paraId="68C7F6C0" w14:textId="77777777" w:rsidR="00511918" w:rsidRPr="00511918" w:rsidRDefault="008B4F9C" w:rsidP="00F00E14">
      <w:pPr>
        <w:pStyle w:val="ListParagraph"/>
        <w:keepLines w:val="0"/>
        <w:numPr>
          <w:ilvl w:val="0"/>
          <w:numId w:val="36"/>
        </w:numPr>
        <w:spacing w:before="0"/>
        <w:contextualSpacing/>
        <w:rPr>
          <w:rFonts w:cs="Arial"/>
          <w:szCs w:val="28"/>
        </w:rPr>
      </w:pPr>
      <w:r w:rsidRPr="008B4F9C">
        <w:rPr>
          <w:rFonts w:cs="Arial"/>
          <w:szCs w:val="28"/>
        </w:rPr>
        <w:t>Under UK law, ‘sex’ is binary (male or female), with legal sex being determined by what is recorded on an individual’s birth certificate.</w:t>
      </w:r>
      <w:r>
        <w:t xml:space="preserve"> </w:t>
      </w:r>
    </w:p>
    <w:p w14:paraId="74FBCD8A" w14:textId="77777777" w:rsidR="00511918" w:rsidRDefault="00511918" w:rsidP="00F00E14">
      <w:pPr>
        <w:pStyle w:val="ListParagraph"/>
      </w:pPr>
    </w:p>
    <w:p w14:paraId="2004C73C" w14:textId="5F286CAB" w:rsidR="00405715" w:rsidRPr="00405715" w:rsidRDefault="00405715" w:rsidP="00F00E14">
      <w:pPr>
        <w:pStyle w:val="ListParagraph"/>
        <w:keepLines w:val="0"/>
        <w:numPr>
          <w:ilvl w:val="0"/>
          <w:numId w:val="36"/>
        </w:numPr>
        <w:spacing w:before="0"/>
        <w:contextualSpacing/>
        <w:rPr>
          <w:rFonts w:cs="Arial"/>
          <w:szCs w:val="28"/>
        </w:rPr>
      </w:pPr>
      <w:r>
        <w:t xml:space="preserve">‘Gender’ </w:t>
      </w:r>
      <w:r w:rsidR="00DB48AD">
        <w:t xml:space="preserve">is not defined in law. It </w:t>
      </w:r>
      <w:r w:rsidR="00F23C46">
        <w:t xml:space="preserve">usually </w:t>
      </w:r>
      <w:r>
        <w:t>refers to socially-</w:t>
      </w:r>
      <w:r w:rsidRPr="00405715">
        <w:t xml:space="preserve">constructed characteristics generally associated with women and men. These vary in </w:t>
      </w:r>
      <w:r w:rsidRPr="00405715">
        <w:lastRenderedPageBreak/>
        <w:t>different societies and can change over time. As they grow up, individuals are taught socially appropriate norms and behaviours, usually according to their sex as recorded at birth.</w:t>
      </w:r>
      <w:r w:rsidR="004344FA">
        <w:rPr>
          <w:rStyle w:val="FootnoteReference"/>
        </w:rPr>
        <w:footnoteReference w:id="3"/>
      </w:r>
    </w:p>
    <w:p w14:paraId="63D0439C" w14:textId="77777777" w:rsidR="00405715" w:rsidRDefault="00405715" w:rsidP="00F00E14">
      <w:pPr>
        <w:pStyle w:val="ListParagraph"/>
      </w:pPr>
    </w:p>
    <w:p w14:paraId="219E7E6F" w14:textId="12A8BCD7" w:rsidR="008B4F9C" w:rsidRPr="008B4F9C" w:rsidRDefault="008B4F9C" w:rsidP="00F00E14">
      <w:pPr>
        <w:pStyle w:val="ListParagraph"/>
        <w:keepLines w:val="0"/>
        <w:numPr>
          <w:ilvl w:val="0"/>
          <w:numId w:val="36"/>
        </w:numPr>
        <w:spacing w:before="0"/>
        <w:contextualSpacing/>
        <w:rPr>
          <w:rFonts w:cs="Arial"/>
          <w:szCs w:val="28"/>
        </w:rPr>
      </w:pPr>
      <w:r>
        <w:t>While a trans individual can have their acquired gender recognised administratively, for example on a passport, they can only change how their gender is recognised in law by acquiring a G</w:t>
      </w:r>
      <w:r w:rsidR="00817448">
        <w:t xml:space="preserve">ender Recognition Certificate (GRC). </w:t>
      </w:r>
      <w:r>
        <w:t>This also enables the individual to acquire a new birth certificate recording their legal sex in line with their acquired gender</w:t>
      </w:r>
      <w:r w:rsidRPr="008B4F9C">
        <w:rPr>
          <w:rFonts w:cs="Arial"/>
          <w:szCs w:val="28"/>
        </w:rPr>
        <w:t xml:space="preserve">. </w:t>
      </w:r>
    </w:p>
    <w:p w14:paraId="58653B92" w14:textId="77777777" w:rsidR="008B4F9C" w:rsidRDefault="008B4F9C" w:rsidP="00F00E14">
      <w:pPr>
        <w:pStyle w:val="ListParagraph"/>
        <w:ind w:left="567"/>
        <w:rPr>
          <w:rFonts w:cs="Arial"/>
          <w:szCs w:val="28"/>
        </w:rPr>
      </w:pPr>
    </w:p>
    <w:p w14:paraId="3EAB2250" w14:textId="77777777" w:rsidR="008B4F9C" w:rsidRPr="008B4F9C" w:rsidRDefault="008B4F9C" w:rsidP="00F00E14">
      <w:pPr>
        <w:pStyle w:val="ListParagraph"/>
        <w:keepLines w:val="0"/>
        <w:numPr>
          <w:ilvl w:val="0"/>
          <w:numId w:val="36"/>
        </w:numPr>
        <w:spacing w:before="0"/>
        <w:contextualSpacing/>
        <w:rPr>
          <w:rFonts w:cs="Arial"/>
          <w:szCs w:val="28"/>
        </w:rPr>
      </w:pPr>
      <w:r w:rsidRPr="008B4F9C">
        <w:rPr>
          <w:rFonts w:cs="Arial"/>
          <w:szCs w:val="28"/>
        </w:rPr>
        <w:t xml:space="preserve">The EA 2010 protects individuals from discrimination and harassment because of specified ‘protected characteristics’. </w:t>
      </w:r>
      <w:r>
        <w:t>This protection applies to those who have the protected characteristic, those perceived to have it and those who are associated with it.</w:t>
      </w:r>
      <w:r w:rsidRPr="008B4F9C">
        <w:rPr>
          <w:rFonts w:cs="Arial"/>
          <w:szCs w:val="28"/>
        </w:rPr>
        <w:t xml:space="preserve"> One of these protected characteristics is sex, which applies “to a man or to a woman”. Another is gender reassignment, which protects an individual who “is proposing to undergo, is undergoing or has undergone a process (or part of a process) for the purpose of reassigning the person’s sex by changing physiological or other attributes of sex”.</w:t>
      </w:r>
      <w:r>
        <w:rPr>
          <w:rStyle w:val="FootnoteReference"/>
          <w:rFonts w:cs="Arial"/>
          <w:szCs w:val="28"/>
        </w:rPr>
        <w:footnoteReference w:id="4"/>
      </w:r>
    </w:p>
    <w:p w14:paraId="46501B79" w14:textId="77777777" w:rsidR="008B4F9C" w:rsidRPr="00A31C47" w:rsidRDefault="008B4F9C" w:rsidP="00F00E14">
      <w:pPr>
        <w:pStyle w:val="ListParagraph"/>
        <w:rPr>
          <w:rFonts w:cs="Arial"/>
          <w:szCs w:val="28"/>
        </w:rPr>
      </w:pPr>
    </w:p>
    <w:p w14:paraId="0A3AC495" w14:textId="2FA641AE" w:rsidR="008B4F9C" w:rsidRPr="008B4F9C" w:rsidRDefault="008B4F9C" w:rsidP="00F00E14">
      <w:pPr>
        <w:pStyle w:val="ListParagraph"/>
        <w:keepLines w:val="0"/>
        <w:numPr>
          <w:ilvl w:val="0"/>
          <w:numId w:val="36"/>
        </w:numPr>
        <w:spacing w:before="0"/>
        <w:contextualSpacing/>
        <w:rPr>
          <w:rFonts w:cs="Arial"/>
        </w:rPr>
      </w:pPr>
      <w:r w:rsidRPr="008B4F9C">
        <w:rPr>
          <w:rFonts w:cs="Arial"/>
          <w:szCs w:val="28"/>
        </w:rPr>
        <w:t>Individuals are treated under the sex discrimination provisions of the EA 2010 in line with their legal sex. Thus, a trans person</w:t>
      </w:r>
      <w:r w:rsidR="00156D84">
        <w:rPr>
          <w:rFonts w:cs="Arial"/>
          <w:szCs w:val="28"/>
        </w:rPr>
        <w:t xml:space="preserve"> </w:t>
      </w:r>
      <w:r w:rsidRPr="008B4F9C">
        <w:rPr>
          <w:rFonts w:cs="Arial"/>
          <w:szCs w:val="28"/>
        </w:rPr>
        <w:t xml:space="preserve">with a GRC is treated as having the sex recorded on their GRC (and new birth certificate), while a trans person without a GRC is treated as having the sex recorded </w:t>
      </w:r>
      <w:r w:rsidR="00D34653">
        <w:rPr>
          <w:rFonts w:cs="Arial"/>
          <w:szCs w:val="28"/>
        </w:rPr>
        <w:t>at birth</w:t>
      </w:r>
      <w:r w:rsidRPr="008B4F9C">
        <w:rPr>
          <w:rFonts w:cs="Arial"/>
          <w:szCs w:val="28"/>
        </w:rPr>
        <w:t xml:space="preserve">. In both cases, they are protected from discrimination because of gender reassignment. </w:t>
      </w:r>
    </w:p>
    <w:p w14:paraId="0B943085" w14:textId="77777777" w:rsidR="008B4F9C" w:rsidRPr="000C0E38" w:rsidRDefault="008B4F9C" w:rsidP="00F00E14">
      <w:pPr>
        <w:pStyle w:val="ListParagraph"/>
        <w:rPr>
          <w:rFonts w:cs="Arial"/>
          <w:szCs w:val="28"/>
        </w:rPr>
      </w:pPr>
    </w:p>
    <w:p w14:paraId="4F160E1F" w14:textId="274C0BBD" w:rsidR="008B4F9C" w:rsidRPr="008B4F9C" w:rsidRDefault="008B4F9C" w:rsidP="00F00E14">
      <w:pPr>
        <w:pStyle w:val="ListParagraph"/>
        <w:keepLines w:val="0"/>
        <w:numPr>
          <w:ilvl w:val="0"/>
          <w:numId w:val="36"/>
        </w:numPr>
        <w:spacing w:before="0"/>
        <w:contextualSpacing/>
        <w:rPr>
          <w:rFonts w:cs="Arial"/>
        </w:rPr>
      </w:pPr>
      <w:r w:rsidRPr="008B4F9C">
        <w:rPr>
          <w:rFonts w:cs="Arial"/>
          <w:szCs w:val="28"/>
        </w:rPr>
        <w:lastRenderedPageBreak/>
        <w:t xml:space="preserve">The exceptions </w:t>
      </w:r>
      <w:r w:rsidR="00150ED8" w:rsidRPr="008B4F9C">
        <w:rPr>
          <w:rFonts w:cs="Arial"/>
          <w:szCs w:val="28"/>
        </w:rPr>
        <w:t xml:space="preserve">in the EA 2010 </w:t>
      </w:r>
      <w:r w:rsidRPr="008B4F9C">
        <w:rPr>
          <w:rFonts w:cs="Arial"/>
          <w:szCs w:val="28"/>
        </w:rPr>
        <w:t>permitting different treatment on the basis of gender reassignment (for example the exceptions related to single-sex services and associations) do not hinge on whether or not an individual has a GRC. Any use of the exceptions permitting different treatment must be objectively justified, meaning that it must be a proportionate means of achieving a legitimate aim, and will therefore depend on the particular circumstances. While an individual’s possession, or not, of a GRC may be part of the evidence a court would consider in a gender reassignment discrimination case, it is unlikely to be a determining factor.</w:t>
      </w:r>
      <w:r>
        <w:rPr>
          <w:rStyle w:val="FootnoteReference"/>
          <w:rFonts w:cs="Arial"/>
          <w:szCs w:val="28"/>
        </w:rPr>
        <w:footnoteReference w:id="5"/>
      </w:r>
    </w:p>
    <w:p w14:paraId="1C2890C2" w14:textId="77777777" w:rsidR="008B4F9C" w:rsidRPr="008B4F9C" w:rsidRDefault="008B4F9C" w:rsidP="00F00E14">
      <w:pPr>
        <w:keepLines w:val="0"/>
        <w:spacing w:before="0"/>
        <w:contextualSpacing/>
        <w:rPr>
          <w:rFonts w:cs="Arial"/>
        </w:rPr>
      </w:pPr>
    </w:p>
    <w:p w14:paraId="5B461F9E" w14:textId="77777777" w:rsidR="008B4F9C" w:rsidRPr="008B4F9C" w:rsidRDefault="008B4F9C" w:rsidP="00F00E14">
      <w:pPr>
        <w:pStyle w:val="ListParagraph"/>
        <w:keepLines w:val="0"/>
        <w:numPr>
          <w:ilvl w:val="0"/>
          <w:numId w:val="36"/>
        </w:numPr>
        <w:spacing w:before="0"/>
        <w:contextualSpacing/>
        <w:rPr>
          <w:rFonts w:cs="Arial"/>
          <w:szCs w:val="28"/>
        </w:rPr>
      </w:pPr>
      <w:r w:rsidRPr="008B4F9C">
        <w:rPr>
          <w:rFonts w:cs="Arial"/>
          <w:szCs w:val="28"/>
        </w:rPr>
        <w:t xml:space="preserve">In developing our submission, we have given </w:t>
      </w:r>
      <w:r w:rsidRPr="008B4F9C">
        <w:rPr>
          <w:rFonts w:cs="Arial"/>
          <w:color w:val="000000" w:themeColor="text1"/>
          <w:szCs w:val="28"/>
        </w:rPr>
        <w:t xml:space="preserve">due consideration to relevant principles and standards related to international human rights law that are designed to inform and guide domestic policy-making and the development of administrative rules and laws. </w:t>
      </w:r>
      <w:r w:rsidRPr="008B4F9C">
        <w:rPr>
          <w:rFonts w:cs="Arial"/>
          <w:szCs w:val="28"/>
        </w:rPr>
        <w:t xml:space="preserve">We consider these principles and standards alongside the domestic and international legal standards set out above. </w:t>
      </w:r>
    </w:p>
    <w:p w14:paraId="2C37D2A2" w14:textId="77777777" w:rsidR="008B4F9C" w:rsidRPr="001D3009" w:rsidRDefault="008B4F9C" w:rsidP="00F00E14">
      <w:pPr>
        <w:pStyle w:val="ListParagraph"/>
        <w:ind w:left="567"/>
        <w:rPr>
          <w:rFonts w:cs="Arial"/>
          <w:szCs w:val="28"/>
        </w:rPr>
      </w:pPr>
    </w:p>
    <w:p w14:paraId="74984958" w14:textId="5D28CD42" w:rsidR="008B4F9C" w:rsidRPr="008B4F9C" w:rsidRDefault="008B4F9C" w:rsidP="00F00E14">
      <w:pPr>
        <w:pStyle w:val="ListParagraph"/>
        <w:keepLines w:val="0"/>
        <w:numPr>
          <w:ilvl w:val="0"/>
          <w:numId w:val="36"/>
        </w:numPr>
        <w:spacing w:before="0"/>
        <w:contextualSpacing/>
        <w:rPr>
          <w:rFonts w:cs="Arial"/>
          <w:szCs w:val="28"/>
        </w:rPr>
      </w:pPr>
      <w:r w:rsidRPr="008B4F9C">
        <w:rPr>
          <w:rFonts w:cs="Arial"/>
          <w:szCs w:val="28"/>
        </w:rPr>
        <w:t xml:space="preserve">In </w:t>
      </w:r>
      <w:r w:rsidRPr="008B4F9C">
        <w:rPr>
          <w:szCs w:val="28"/>
        </w:rPr>
        <w:t xml:space="preserve">2006 the </w:t>
      </w:r>
      <w:hyperlink r:id="rId11" w:history="1">
        <w:r w:rsidRPr="008B4F9C">
          <w:rPr>
            <w:rStyle w:val="Hyperlink"/>
            <w:szCs w:val="28"/>
          </w:rPr>
          <w:t>Yogyakarta Principles</w:t>
        </w:r>
      </w:hyperlink>
      <w:r w:rsidRPr="008B4F9C">
        <w:rPr>
          <w:szCs w:val="28"/>
        </w:rPr>
        <w:t xml:space="preserve"> were set out by a group of human rights experts, representatives of non-governmental organisations</w:t>
      </w:r>
      <w:r w:rsidR="009718D1">
        <w:rPr>
          <w:szCs w:val="28"/>
        </w:rPr>
        <w:t>,</w:t>
      </w:r>
      <w:r w:rsidRPr="008B4F9C">
        <w:rPr>
          <w:szCs w:val="28"/>
        </w:rPr>
        <w:t xml:space="preserve"> and others. In 2017 additional principles were articulated in relation to sexual orientation, gender identity, gender expression and sex characteristics. Principle 3 of the 2006 Principles is particularly relevant to this submission. It asks countries to “take all necessary...measures to ensure that procedures exist whereby all State issued identity papers which indicate a person’s gender/sex including birth certificates...reflect the person’s profound self-defined gender identity” and to “ensure that such procedures are efficient, fair and non-discriminatory, and respect the dignity and privacy of the person concerned”. </w:t>
      </w:r>
    </w:p>
    <w:p w14:paraId="1142B387" w14:textId="77777777" w:rsidR="008B4F9C" w:rsidRPr="001D3009" w:rsidRDefault="008B4F9C" w:rsidP="00F00E14">
      <w:pPr>
        <w:pStyle w:val="ListParagraph"/>
        <w:rPr>
          <w:rFonts w:cs="Arial"/>
          <w:szCs w:val="28"/>
        </w:rPr>
      </w:pPr>
    </w:p>
    <w:p w14:paraId="30C00EB3" w14:textId="46B4D6BE" w:rsidR="008B4F9C" w:rsidRPr="00085543" w:rsidRDefault="008B4F9C" w:rsidP="00F00E14">
      <w:pPr>
        <w:pStyle w:val="ListParagraph"/>
        <w:keepLines w:val="0"/>
        <w:numPr>
          <w:ilvl w:val="0"/>
          <w:numId w:val="36"/>
        </w:numPr>
        <w:spacing w:before="0"/>
        <w:contextualSpacing/>
        <w:rPr>
          <w:rFonts w:cs="Arial"/>
          <w:szCs w:val="28"/>
        </w:rPr>
      </w:pPr>
      <w:r w:rsidRPr="008B4F9C">
        <w:rPr>
          <w:rFonts w:cs="Arial"/>
          <w:szCs w:val="28"/>
        </w:rPr>
        <w:t>In 2015 t</w:t>
      </w:r>
      <w:r w:rsidRPr="008B4F9C">
        <w:rPr>
          <w:szCs w:val="28"/>
        </w:rPr>
        <w:t xml:space="preserve">he Parliamentary Assembly of the Council of Europe – the body responsible for overseeing the European Convention on Human Rights (ECHR) – adopted </w:t>
      </w:r>
      <w:hyperlink r:id="rId12" w:history="1">
        <w:r w:rsidRPr="00CA272F">
          <w:rPr>
            <w:rStyle w:val="Hyperlink"/>
            <w:szCs w:val="28"/>
          </w:rPr>
          <w:t>Resolution 2048</w:t>
        </w:r>
      </w:hyperlink>
      <w:r w:rsidRPr="008B4F9C">
        <w:rPr>
          <w:szCs w:val="28"/>
        </w:rPr>
        <w:t>, which calls on all Member States to “develop quick, transparent and accessible procedures, based on self-determination, for changing the name and registered sex of transgender people on birth certificates, identity cards...and other similar documents”.</w:t>
      </w:r>
    </w:p>
    <w:p w14:paraId="5300AAE3" w14:textId="77777777" w:rsidR="00514A49" w:rsidRPr="000530C5" w:rsidRDefault="00913F19" w:rsidP="00F00E14">
      <w:pPr>
        <w:pStyle w:val="Heading1"/>
        <w:spacing w:line="276" w:lineRule="auto"/>
      </w:pPr>
      <w:bookmarkStart w:id="6" w:name="_Toc34403597"/>
      <w:r>
        <w:lastRenderedPageBreak/>
        <w:t xml:space="preserve">Consultation </w:t>
      </w:r>
      <w:r w:rsidR="00547695">
        <w:t>questions</w:t>
      </w:r>
      <w:bookmarkEnd w:id="6"/>
    </w:p>
    <w:p w14:paraId="5BA8B9B4" w14:textId="77777777" w:rsidR="003B7D03" w:rsidRPr="000530C5" w:rsidRDefault="00913F19" w:rsidP="00F00E14">
      <w:pPr>
        <w:pStyle w:val="Heading2"/>
        <w:spacing w:line="276" w:lineRule="auto"/>
      </w:pPr>
      <w:bookmarkStart w:id="7" w:name="_Toc34403598"/>
      <w:r>
        <w:t>Question 1</w:t>
      </w:r>
      <w:bookmarkEnd w:id="7"/>
    </w:p>
    <w:p w14:paraId="72E9162A" w14:textId="77777777" w:rsidR="00913F19" w:rsidRDefault="00913F19" w:rsidP="00F00E14">
      <w:r>
        <w:t xml:space="preserve">Do you have any comments on the proposal that applicants must live in their acquired gender for at least 3 months before applying for a GRC? </w:t>
      </w:r>
    </w:p>
    <w:p w14:paraId="7304390C" w14:textId="77777777" w:rsidR="001E09DE" w:rsidRDefault="00913F19" w:rsidP="00F00E14">
      <w:r>
        <w:t xml:space="preserve">Yes </w:t>
      </w:r>
      <w:r w:rsidR="0039242C" w:rsidRPr="0039242C">
        <w:rPr>
          <w:rFonts w:ascii="Segoe UI Symbol" w:hAnsi="Segoe UI Symbol" w:cs="Segoe UI Symbol"/>
        </w:rPr>
        <w:t>✔</w:t>
      </w:r>
      <w:r>
        <w:t xml:space="preserve"> </w:t>
      </w:r>
      <w:r>
        <w:br/>
        <w:t xml:space="preserve">No </w:t>
      </w:r>
      <w:r>
        <w:rPr>
          <w:rFonts w:ascii="Segoe UI Symbol" w:hAnsi="Segoe UI Symbol" w:cs="Segoe UI Symbol"/>
        </w:rPr>
        <w:t>☐</w:t>
      </w:r>
      <w:r>
        <w:t xml:space="preserve"> </w:t>
      </w:r>
    </w:p>
    <w:p w14:paraId="040D81DE" w14:textId="77777777" w:rsidR="001E09DE" w:rsidRDefault="001E09DE" w:rsidP="00F00E14">
      <w:pPr>
        <w:pStyle w:val="ListParagraph"/>
        <w:ind w:left="720"/>
      </w:pPr>
    </w:p>
    <w:p w14:paraId="245E7D1F" w14:textId="2542FB29" w:rsidR="00996B23" w:rsidRDefault="00203666" w:rsidP="00F00E14">
      <w:pPr>
        <w:pStyle w:val="ListParagraph"/>
        <w:numPr>
          <w:ilvl w:val="0"/>
          <w:numId w:val="36"/>
        </w:numPr>
      </w:pPr>
      <w:r>
        <w:t>We do not think that a requirement for applicants to have lived for a period of time in their acquired gender prior to application is necessary</w:t>
      </w:r>
      <w:r w:rsidR="00996B23">
        <w:t xml:space="preserve"> if the process of acquiring a GRC is designed in such a way as to ensure that applicants demonstrate that they fully understand the legal, social and personal implications of a legal change in status.</w:t>
      </w:r>
    </w:p>
    <w:p w14:paraId="57F2D106" w14:textId="77777777" w:rsidR="00996B23" w:rsidRDefault="00996B23" w:rsidP="00F00E14">
      <w:pPr>
        <w:pStyle w:val="ListParagraph"/>
        <w:ind w:left="720"/>
      </w:pPr>
    </w:p>
    <w:p w14:paraId="1A83101C" w14:textId="66E9ADC1" w:rsidR="00996B23" w:rsidRDefault="00996B23" w:rsidP="00F00E14">
      <w:pPr>
        <w:pStyle w:val="ListParagraph"/>
        <w:numPr>
          <w:ilvl w:val="0"/>
          <w:numId w:val="36"/>
        </w:numPr>
      </w:pPr>
      <w:r>
        <w:t xml:space="preserve">In order to ensure there is full understanding and valid consent, we consider that the application process must enable applicants to demonstrate that they have received all the necessary information about, and have fully understood and considered: </w:t>
      </w:r>
    </w:p>
    <w:p w14:paraId="2FC32446" w14:textId="4CB39BEC" w:rsidR="00996B23" w:rsidRDefault="00996B23" w:rsidP="00F00E14">
      <w:pPr>
        <w:pStyle w:val="ListParagraph"/>
        <w:numPr>
          <w:ilvl w:val="1"/>
          <w:numId w:val="36"/>
        </w:numPr>
      </w:pPr>
      <w:r>
        <w:t>The legal consequences, such as changes to marriage/civil partnership, pension and social security rights</w:t>
      </w:r>
    </w:p>
    <w:p w14:paraId="6C536DE4" w14:textId="3A8C7CC0" w:rsidR="00996B23" w:rsidRDefault="00996B23" w:rsidP="00F00E14">
      <w:pPr>
        <w:pStyle w:val="ListParagraph"/>
        <w:numPr>
          <w:ilvl w:val="1"/>
          <w:numId w:val="36"/>
        </w:numPr>
      </w:pPr>
      <w:r>
        <w:t>The social consequences, such as how it may affect their day to day interactions with friends, family, neighbours and colleagues, and how they can best prepare to manage their change in status</w:t>
      </w:r>
    </w:p>
    <w:p w14:paraId="2AB7C56B" w14:textId="6BF3C5B0" w:rsidR="00996B23" w:rsidRDefault="00996B23" w:rsidP="00F00E14">
      <w:pPr>
        <w:pStyle w:val="ListParagraph"/>
        <w:numPr>
          <w:ilvl w:val="1"/>
          <w:numId w:val="36"/>
        </w:numPr>
      </w:pPr>
      <w:r>
        <w:t>The personal consequences, such as the impact of the decision on their mental and emotional well-being in the short and longer-term, and sources of support they have or could turn to if needed as they adjust to their decision.</w:t>
      </w:r>
    </w:p>
    <w:p w14:paraId="7CD0EE1C" w14:textId="77777777" w:rsidR="001E09DE" w:rsidRDefault="001E09DE" w:rsidP="00F00E14">
      <w:pPr>
        <w:pStyle w:val="ListParagraph"/>
        <w:ind w:left="720"/>
      </w:pPr>
    </w:p>
    <w:p w14:paraId="736DDB35" w14:textId="103D45DC" w:rsidR="00AC064B" w:rsidRDefault="00DB48AD" w:rsidP="00F00E14">
      <w:pPr>
        <w:pStyle w:val="ListParagraph"/>
        <w:numPr>
          <w:ilvl w:val="0"/>
          <w:numId w:val="36"/>
        </w:numPr>
      </w:pPr>
      <w:r>
        <w:t>Nonetheless, the proposal in the draft Bill</w:t>
      </w:r>
      <w:r w:rsidR="00AC064B">
        <w:t xml:space="preserve"> </w:t>
      </w:r>
      <w:r>
        <w:t>for applicants to confirm</w:t>
      </w:r>
      <w:r w:rsidR="00AC064B">
        <w:t xml:space="preserve"> </w:t>
      </w:r>
      <w:r>
        <w:t>they</w:t>
      </w:r>
      <w:r w:rsidR="00AC064B">
        <w:t xml:space="preserve"> have lived in </w:t>
      </w:r>
      <w:r>
        <w:t>their</w:t>
      </w:r>
      <w:r w:rsidR="00AC064B">
        <w:t xml:space="preserve"> acquired gender through a statutory declaration </w:t>
      </w:r>
      <w:r>
        <w:t>would be</w:t>
      </w:r>
      <w:r w:rsidR="00AC064B">
        <w:t xml:space="preserve"> significantly less burdensome than </w:t>
      </w:r>
      <w:r>
        <w:t xml:space="preserve">the current requirement to </w:t>
      </w:r>
      <w:r w:rsidR="00AC064B">
        <w:t>collect and provi</w:t>
      </w:r>
      <w:r>
        <w:t>de</w:t>
      </w:r>
      <w:r w:rsidR="00AC064B">
        <w:t xml:space="preserve"> evidence.</w:t>
      </w:r>
    </w:p>
    <w:p w14:paraId="38C9B711" w14:textId="77777777" w:rsidR="00AC064B" w:rsidRDefault="00AC064B" w:rsidP="00F00E14">
      <w:pPr>
        <w:pStyle w:val="ListParagraph"/>
        <w:ind w:left="720"/>
      </w:pPr>
    </w:p>
    <w:p w14:paraId="16FDED46" w14:textId="183FFC0D" w:rsidR="00996B23" w:rsidRDefault="00AC064B" w:rsidP="00F00E14">
      <w:pPr>
        <w:pStyle w:val="ListParagraph"/>
        <w:numPr>
          <w:ilvl w:val="0"/>
          <w:numId w:val="36"/>
        </w:numPr>
      </w:pPr>
      <w:r>
        <w:lastRenderedPageBreak/>
        <w:t xml:space="preserve">This is based on our understanding </w:t>
      </w:r>
      <w:r w:rsidRPr="00AC064B">
        <w:t>that the collation of evidence can cause unnecessary delays and potentially prolonged distress for those seeking legal recognition of their acquired gender. Many trans people may also find it difficult to demonstrate lived experience even if they have it, as they are at greater risk of homelessness and unemployment,</w:t>
      </w:r>
      <w:r w:rsidR="009718D1">
        <w:rPr>
          <w:rStyle w:val="FootnoteReference"/>
        </w:rPr>
        <w:footnoteReference w:id="6"/>
      </w:r>
      <w:r w:rsidR="009718D1" w:rsidRPr="00AC064B">
        <w:t xml:space="preserve"> </w:t>
      </w:r>
      <w:r w:rsidRPr="00AC064B">
        <w:t>so may not have easy access to documents such as passports, driver’s licences, payslips and utility bills. Young people may also have more problems producing evidence, especially if their families are not supportive.</w:t>
      </w:r>
    </w:p>
    <w:p w14:paraId="61770AD4" w14:textId="544DACAB" w:rsidR="00996B23" w:rsidRDefault="00996B23" w:rsidP="00F00E14">
      <w:pPr>
        <w:pStyle w:val="ListParagraph"/>
        <w:ind w:left="720"/>
      </w:pPr>
    </w:p>
    <w:p w14:paraId="2769FE58" w14:textId="28C3F0E7" w:rsidR="00AC064B" w:rsidRPr="00C94B26" w:rsidRDefault="001D336D" w:rsidP="00F00E14">
      <w:pPr>
        <w:pStyle w:val="ListParagraph"/>
        <w:numPr>
          <w:ilvl w:val="0"/>
          <w:numId w:val="36"/>
        </w:numPr>
      </w:pPr>
      <w:r w:rsidRPr="001D336D">
        <w:t xml:space="preserve">Insofar as a requirement of </w:t>
      </w:r>
      <w:r>
        <w:t>lived experience</w:t>
      </w:r>
      <w:r w:rsidRPr="001D336D">
        <w:t xml:space="preserve"> acts as a proxy for ensuring that an individual fully understands the legal, social and personal implications of their decision, we consider that this function can be </w:t>
      </w:r>
      <w:r w:rsidR="00DB48AD">
        <w:t xml:space="preserve">better and </w:t>
      </w:r>
      <w:r w:rsidRPr="001D336D">
        <w:t xml:space="preserve">more proportionately served by a different process, as set out </w:t>
      </w:r>
      <w:r w:rsidR="00977773">
        <w:t>in our answer to Q</w:t>
      </w:r>
      <w:r>
        <w:t>uestion 2</w:t>
      </w:r>
      <w:r w:rsidR="00824B39">
        <w:t xml:space="preserve"> below</w:t>
      </w:r>
      <w:r w:rsidRPr="001D336D">
        <w:t xml:space="preserve">.  </w:t>
      </w:r>
      <w:r w:rsidR="00AC064B">
        <w:br w:type="page"/>
      </w:r>
    </w:p>
    <w:p w14:paraId="75B46DFD" w14:textId="69BD8A28" w:rsidR="00B91A3D" w:rsidRPr="00B91A3D" w:rsidRDefault="00390713" w:rsidP="00F00E14">
      <w:pPr>
        <w:pStyle w:val="Heading2"/>
        <w:spacing w:line="276" w:lineRule="auto"/>
      </w:pPr>
      <w:bookmarkStart w:id="8" w:name="_Toc34403599"/>
      <w:r>
        <w:lastRenderedPageBreak/>
        <w:t>Question 2</w:t>
      </w:r>
      <w:bookmarkEnd w:id="8"/>
    </w:p>
    <w:p w14:paraId="25EC7FE4" w14:textId="77777777" w:rsidR="00390713" w:rsidRDefault="00390713" w:rsidP="00F00E14">
      <w:r>
        <w:t xml:space="preserve">Do you have any comments on the proposal that applicants must go through a period of reflection for at least 3 months before obtaining a GRC? </w:t>
      </w:r>
    </w:p>
    <w:p w14:paraId="7983862D" w14:textId="206FDE4E" w:rsidR="00C94B26" w:rsidRDefault="00390713" w:rsidP="00F00E14">
      <w:r>
        <w:t xml:space="preserve">Yes </w:t>
      </w:r>
      <w:r w:rsidRPr="0039242C">
        <w:rPr>
          <w:rFonts w:ascii="Segoe UI Symbol" w:hAnsi="Segoe UI Symbol" w:cs="Segoe UI Symbol"/>
        </w:rPr>
        <w:t>✔</w:t>
      </w:r>
      <w:r>
        <w:t xml:space="preserve"> </w:t>
      </w:r>
      <w:r>
        <w:br/>
        <w:t xml:space="preserve">No </w:t>
      </w:r>
      <w:r>
        <w:rPr>
          <w:rFonts w:ascii="Segoe UI Symbol" w:hAnsi="Segoe UI Symbol" w:cs="Segoe UI Symbol"/>
        </w:rPr>
        <w:t>☐</w:t>
      </w:r>
      <w:r>
        <w:t xml:space="preserve"> </w:t>
      </w:r>
    </w:p>
    <w:p w14:paraId="2A44E7B1" w14:textId="77777777" w:rsidR="00C94B26" w:rsidRDefault="00C94B26" w:rsidP="00F00E14">
      <w:pPr>
        <w:pStyle w:val="ListParagraph"/>
        <w:ind w:left="720"/>
      </w:pPr>
    </w:p>
    <w:p w14:paraId="394FFA99" w14:textId="0A81A288" w:rsidR="00817448" w:rsidRDefault="00817448" w:rsidP="00F00E14">
      <w:pPr>
        <w:pStyle w:val="ListParagraph"/>
        <w:numPr>
          <w:ilvl w:val="0"/>
          <w:numId w:val="36"/>
        </w:numPr>
      </w:pPr>
      <w:r>
        <w:t>The Commission considers that a period of reflection is unnecessary if the process of acquiring a GRC is designed in such a way as to ensure that applicants demonstrate that they fully understand the legal, social and personal implications of a legal change in status.</w:t>
      </w:r>
    </w:p>
    <w:p w14:paraId="4C4D973F" w14:textId="77777777" w:rsidR="00817448" w:rsidRDefault="00817448" w:rsidP="00F00E14">
      <w:pPr>
        <w:pStyle w:val="ListParagraph"/>
        <w:ind w:left="720"/>
      </w:pPr>
    </w:p>
    <w:p w14:paraId="329AF216" w14:textId="786F846D" w:rsidR="00C94B26" w:rsidRDefault="00817448" w:rsidP="00F00E14">
      <w:pPr>
        <w:pStyle w:val="ListParagraph"/>
        <w:numPr>
          <w:ilvl w:val="0"/>
          <w:numId w:val="36"/>
        </w:numPr>
      </w:pPr>
      <w:r>
        <w:t xml:space="preserve">In order to ensure there is full understanding and valid consent, the Commission considers that </w:t>
      </w:r>
      <w:r w:rsidR="00B213F3">
        <w:t xml:space="preserve">the application process must enable applicants to demonstrate that they have received all the necessary information about, and </w:t>
      </w:r>
      <w:r w:rsidR="00707C81">
        <w:t>have</w:t>
      </w:r>
      <w:r w:rsidR="00B213F3">
        <w:t xml:space="preserve"> </w:t>
      </w:r>
      <w:r w:rsidR="00212D5A">
        <w:t>fully understood and considered the legal, social and personal consequences, as set out in our response to Question 1 above.</w:t>
      </w:r>
      <w:r w:rsidR="00B213F3">
        <w:t xml:space="preserve"> </w:t>
      </w:r>
    </w:p>
    <w:p w14:paraId="391CA09B" w14:textId="77777777" w:rsidR="00C94B26" w:rsidRDefault="00C94B26" w:rsidP="00F00E14">
      <w:pPr>
        <w:pStyle w:val="ListParagraph"/>
        <w:ind w:left="720"/>
      </w:pPr>
    </w:p>
    <w:p w14:paraId="7CA84E4A" w14:textId="6877058B" w:rsidR="007C02D3" w:rsidRDefault="007C02D3" w:rsidP="00F00E14">
      <w:pPr>
        <w:pStyle w:val="ListParagraph"/>
        <w:numPr>
          <w:ilvl w:val="0"/>
          <w:numId w:val="36"/>
        </w:numPr>
      </w:pPr>
      <w:r>
        <w:t xml:space="preserve">A statutory declaration to this effect </w:t>
      </w:r>
      <w:r w:rsidR="00584218">
        <w:t xml:space="preserve">would be </w:t>
      </w:r>
      <w:r>
        <w:t xml:space="preserve">a significant step with legal implications. An applicant is responsible for the contents of their declaration, which is a written statement of facts. </w:t>
      </w:r>
      <w:r w:rsidR="00D32134">
        <w:t>The draft Bill makes clear that it would be</w:t>
      </w:r>
      <w:r w:rsidRPr="007C02D3">
        <w:t xml:space="preserve"> an offence </w:t>
      </w:r>
      <w:r w:rsidR="0071001F">
        <w:t xml:space="preserve">potentially </w:t>
      </w:r>
      <w:r w:rsidRPr="007C02D3">
        <w:t xml:space="preserve">punishable by up to two years' imprisonment and/or an unlimited fine </w:t>
      </w:r>
      <w:r>
        <w:t>to make a false statement in a statutory d</w:t>
      </w:r>
      <w:r w:rsidRPr="007C02D3">
        <w:t>eclaration</w:t>
      </w:r>
      <w:r w:rsidR="003A0844">
        <w:t>.</w:t>
      </w:r>
    </w:p>
    <w:p w14:paraId="591845FF" w14:textId="77777777" w:rsidR="007F1B6E" w:rsidRDefault="007F1B6E" w:rsidP="00F00E14">
      <w:pPr>
        <w:pStyle w:val="ListParagraph"/>
        <w:ind w:left="720"/>
      </w:pPr>
    </w:p>
    <w:p w14:paraId="087425B2" w14:textId="68444CB6" w:rsidR="007F1B6E" w:rsidRDefault="007F1B6E" w:rsidP="00F00E14">
      <w:pPr>
        <w:pStyle w:val="ListParagraph"/>
        <w:numPr>
          <w:ilvl w:val="0"/>
          <w:numId w:val="36"/>
        </w:numPr>
      </w:pPr>
      <w:r>
        <w:t>Additionally, we believe individuals applying for a GRC should have a face-to-face meeting with a suitably qualified person</w:t>
      </w:r>
      <w:r w:rsidR="003C0E87">
        <w:t xml:space="preserve"> to ensure their</w:t>
      </w:r>
      <w:r>
        <w:t xml:space="preserve"> understanding and consent</w:t>
      </w:r>
      <w:r w:rsidR="00D32134">
        <w:t xml:space="preserve">. </w:t>
      </w:r>
      <w:r>
        <w:t xml:space="preserve">The process for selecting and appointing </w:t>
      </w:r>
      <w:r w:rsidR="003C0E87">
        <w:t xml:space="preserve">qualified </w:t>
      </w:r>
      <w:r>
        <w:t>persons for this purpose should be done in partnership with trans representative organisations and experts by experience.</w:t>
      </w:r>
    </w:p>
    <w:p w14:paraId="4DABF810" w14:textId="77777777" w:rsidR="007F1B6E" w:rsidRDefault="007F1B6E" w:rsidP="00F00E14">
      <w:pPr>
        <w:pStyle w:val="ListParagraph"/>
      </w:pPr>
    </w:p>
    <w:p w14:paraId="163CE8C5" w14:textId="553BD166" w:rsidR="007F1B6E" w:rsidRDefault="007F1B6E" w:rsidP="00F00E14">
      <w:pPr>
        <w:pStyle w:val="ListParagraph"/>
        <w:numPr>
          <w:ilvl w:val="0"/>
          <w:numId w:val="36"/>
        </w:numPr>
      </w:pPr>
      <w:r>
        <w:t>The qualified person could also answer any questions the applicant might have to ensure that the individual can provide fully informed consent to the process.</w:t>
      </w:r>
    </w:p>
    <w:p w14:paraId="1AAE10D9" w14:textId="40E16A4B" w:rsidR="00DB07E9" w:rsidRDefault="00DB07E9" w:rsidP="00F00E14">
      <w:pPr>
        <w:pStyle w:val="ListParagraph"/>
        <w:ind w:left="720"/>
      </w:pPr>
    </w:p>
    <w:p w14:paraId="51187B92" w14:textId="77777777" w:rsidR="00817448" w:rsidRDefault="00817448" w:rsidP="00F00E14">
      <w:pPr>
        <w:pStyle w:val="ListParagraph"/>
        <w:ind w:left="720"/>
      </w:pPr>
    </w:p>
    <w:p w14:paraId="334970D9" w14:textId="3DE4EE4C" w:rsidR="00390713" w:rsidRDefault="00817448" w:rsidP="00F00E14">
      <w:pPr>
        <w:pStyle w:val="ListParagraph"/>
        <w:numPr>
          <w:ilvl w:val="0"/>
          <w:numId w:val="36"/>
        </w:numPr>
      </w:pPr>
      <w:r>
        <w:lastRenderedPageBreak/>
        <w:t xml:space="preserve">We recommend that all aspects of the new system are reviewed after a defined period, including </w:t>
      </w:r>
      <w:r w:rsidR="00584218">
        <w:t xml:space="preserve">through </w:t>
      </w:r>
      <w:r>
        <w:t>a thorough consultation with those with lived experience and all other affected groups, to consider its effectiveness.</w:t>
      </w:r>
    </w:p>
    <w:p w14:paraId="5EE0190B" w14:textId="77777777" w:rsidR="00AC064B" w:rsidRDefault="00AC064B" w:rsidP="00F00E14">
      <w:pPr>
        <w:keepLines w:val="0"/>
        <w:spacing w:before="0" w:after="160"/>
        <w:rPr>
          <w:rFonts w:asciiTheme="majorHAnsi" w:eastAsiaTheme="majorEastAsia" w:hAnsiTheme="majorHAnsi" w:cstheme="majorBidi"/>
          <w:b/>
          <w:color w:val="0B4E60" w:themeColor="text2"/>
          <w:sz w:val="36"/>
          <w:szCs w:val="32"/>
        </w:rPr>
      </w:pPr>
      <w:r>
        <w:br w:type="page"/>
      </w:r>
    </w:p>
    <w:p w14:paraId="237B0263" w14:textId="12F512D4" w:rsidR="00390713" w:rsidRPr="00B91A3D" w:rsidRDefault="00390713" w:rsidP="00F00E14">
      <w:pPr>
        <w:pStyle w:val="Heading2"/>
        <w:spacing w:line="276" w:lineRule="auto"/>
      </w:pPr>
      <w:bookmarkStart w:id="9" w:name="_Toc34403600"/>
      <w:r>
        <w:lastRenderedPageBreak/>
        <w:t>Question 3</w:t>
      </w:r>
      <w:bookmarkEnd w:id="9"/>
    </w:p>
    <w:p w14:paraId="4117435E" w14:textId="77777777" w:rsidR="00390713" w:rsidRDefault="00390713" w:rsidP="00F00E14">
      <w:r>
        <w:t xml:space="preserve">Should the minimum age at which a person can apply for legal gender recognition be reduced from 18 to 16? </w:t>
      </w:r>
    </w:p>
    <w:p w14:paraId="348037DA" w14:textId="77777777" w:rsidR="00390713" w:rsidRDefault="00390713" w:rsidP="00F00E14">
      <w:r>
        <w:t xml:space="preserve">Yes </w:t>
      </w:r>
      <w:r w:rsidRPr="0039242C">
        <w:rPr>
          <w:rFonts w:ascii="Segoe UI Symbol" w:hAnsi="Segoe UI Symbol" w:cs="Segoe UI Symbol"/>
        </w:rPr>
        <w:t>✔</w:t>
      </w:r>
      <w:r>
        <w:t xml:space="preserve"> </w:t>
      </w:r>
      <w:r>
        <w:br/>
        <w:t xml:space="preserve">No </w:t>
      </w:r>
      <w:r>
        <w:rPr>
          <w:rFonts w:ascii="Segoe UI Symbol" w:hAnsi="Segoe UI Symbol" w:cs="Segoe UI Symbol"/>
        </w:rPr>
        <w:t>☐</w:t>
      </w:r>
      <w:r>
        <w:t xml:space="preserve"> </w:t>
      </w:r>
      <w:r>
        <w:br/>
        <w:t xml:space="preserve">Don’t know </w:t>
      </w:r>
      <w:r>
        <w:rPr>
          <w:rFonts w:ascii="Segoe UI Symbol" w:hAnsi="Segoe UI Symbol" w:cs="Segoe UI Symbol"/>
        </w:rPr>
        <w:t>☐</w:t>
      </w:r>
    </w:p>
    <w:p w14:paraId="35EB83B5" w14:textId="77777777" w:rsidR="00A26DF5" w:rsidRDefault="00A26DF5" w:rsidP="00F00E14">
      <w:pPr>
        <w:keepLines w:val="0"/>
        <w:spacing w:before="0" w:after="160"/>
        <w:rPr>
          <w:rStyle w:val="Howtousethistemplate"/>
          <w:rFonts w:ascii="MS Gothic" w:eastAsia="MS Gothic" w:hAnsi="MS Gothic" w:cs="MS Gothic"/>
        </w:rPr>
      </w:pPr>
    </w:p>
    <w:p w14:paraId="2728849B" w14:textId="77777777" w:rsidR="00A71724" w:rsidRPr="00A71724" w:rsidRDefault="00A71724" w:rsidP="00F00E14">
      <w:pPr>
        <w:pStyle w:val="ListParagraph"/>
        <w:numPr>
          <w:ilvl w:val="0"/>
          <w:numId w:val="36"/>
        </w:numPr>
        <w:rPr>
          <w:rStyle w:val="Howtousethistemplate"/>
          <w:rFonts w:eastAsia="MS Gothic" w:cstheme="minorHAnsi"/>
          <w:color w:val="auto"/>
        </w:rPr>
      </w:pPr>
      <w:r w:rsidRPr="00A71724">
        <w:rPr>
          <w:rStyle w:val="Howtousethistemplate"/>
          <w:rFonts w:eastAsia="MS Gothic" w:cstheme="minorHAnsi"/>
          <w:color w:val="auto"/>
        </w:rPr>
        <w:t xml:space="preserve">16- and 17-year-olds are legal adults in Scotland. The </w:t>
      </w:r>
      <w:r>
        <w:rPr>
          <w:rStyle w:val="Howtousethistemplate"/>
          <w:rFonts w:eastAsia="MS Gothic" w:cstheme="minorHAnsi"/>
          <w:color w:val="auto"/>
        </w:rPr>
        <w:t>Commission</w:t>
      </w:r>
      <w:r w:rsidRPr="00A71724">
        <w:rPr>
          <w:rStyle w:val="Howtousethistemplate"/>
          <w:rFonts w:eastAsia="MS Gothic" w:cstheme="minorHAnsi"/>
          <w:color w:val="auto"/>
        </w:rPr>
        <w:t xml:space="preserve"> agrees that 16- and 17-year-olds should be permitted to apply for legal recognition of their change of gender. This is in line with the current age in Scotland where people have the right to make other major decisions such as vote in the Scottish elections, join the armed services and marry. </w:t>
      </w:r>
    </w:p>
    <w:p w14:paraId="5873FD95" w14:textId="77777777" w:rsidR="00A71724" w:rsidRDefault="00A71724" w:rsidP="00F00E14">
      <w:pPr>
        <w:pStyle w:val="ListParagraph"/>
        <w:ind w:left="720"/>
        <w:rPr>
          <w:rStyle w:val="Howtousethistemplate"/>
          <w:rFonts w:eastAsia="MS Gothic" w:cstheme="minorHAnsi"/>
          <w:color w:val="auto"/>
        </w:rPr>
      </w:pPr>
    </w:p>
    <w:p w14:paraId="74D41DB5" w14:textId="48ECF180" w:rsidR="00A71724" w:rsidRPr="00A71724" w:rsidRDefault="00A71724" w:rsidP="00F00E14">
      <w:pPr>
        <w:pStyle w:val="ListParagraph"/>
        <w:numPr>
          <w:ilvl w:val="0"/>
          <w:numId w:val="36"/>
        </w:numPr>
        <w:rPr>
          <w:rStyle w:val="Howtousethistemplate"/>
          <w:rFonts w:eastAsia="MS Gothic" w:cstheme="minorHAnsi"/>
          <w:color w:val="auto"/>
        </w:rPr>
      </w:pPr>
      <w:r w:rsidRPr="00A71724">
        <w:rPr>
          <w:rStyle w:val="Howtousethistemplate"/>
          <w:rFonts w:eastAsia="MS Gothic" w:cstheme="minorHAnsi"/>
          <w:color w:val="auto"/>
        </w:rPr>
        <w:t>However, there is a clear need for any new system to balance the removal of unnecessary barriers with the introd</w:t>
      </w:r>
      <w:r>
        <w:rPr>
          <w:rStyle w:val="Howtousethistemplate"/>
          <w:rFonts w:eastAsia="MS Gothic" w:cstheme="minorHAnsi"/>
          <w:color w:val="auto"/>
        </w:rPr>
        <w:t xml:space="preserve">uction of adequate safeguards. </w:t>
      </w:r>
      <w:r w:rsidRPr="00A71724">
        <w:rPr>
          <w:rStyle w:val="Howtousethistemplate"/>
          <w:rFonts w:eastAsia="MS Gothic" w:cstheme="minorHAnsi"/>
          <w:color w:val="auto"/>
        </w:rPr>
        <w:t>This is particularly important when the system is extended to younger applicants</w:t>
      </w:r>
      <w:r w:rsidR="008C780B">
        <w:rPr>
          <w:rStyle w:val="Howtousethistemplate"/>
          <w:rFonts w:eastAsia="MS Gothic" w:cstheme="minorHAnsi"/>
          <w:color w:val="auto"/>
        </w:rPr>
        <w:t xml:space="preserve"> such as those aged 16 and 17</w:t>
      </w:r>
      <w:r w:rsidRPr="00A71724">
        <w:rPr>
          <w:rStyle w:val="Howtousethistemplate"/>
          <w:rFonts w:eastAsia="MS Gothic" w:cstheme="minorHAnsi"/>
          <w:color w:val="auto"/>
        </w:rPr>
        <w:t xml:space="preserve">. </w:t>
      </w:r>
      <w:r>
        <w:rPr>
          <w:rStyle w:val="Howtousethistemplate"/>
          <w:rFonts w:eastAsia="MS Gothic" w:cstheme="minorHAnsi"/>
          <w:color w:val="auto"/>
        </w:rPr>
        <w:t xml:space="preserve">We suggest that </w:t>
      </w:r>
      <w:r w:rsidRPr="00A71724">
        <w:rPr>
          <w:rStyle w:val="Howtousethistemplate"/>
          <w:rFonts w:eastAsia="MS Gothic" w:cstheme="minorHAnsi"/>
          <w:color w:val="auto"/>
        </w:rPr>
        <w:t>further consideration is given to whether any additional steps are needed to ensure that a young person fully understands the social, personal and legal implications of their decision, in consultation with young people with lived experience and other relevant stakeholders</w:t>
      </w:r>
      <w:r>
        <w:rPr>
          <w:rStyle w:val="Howtousethistemplate"/>
          <w:rFonts w:eastAsia="MS Gothic" w:cstheme="minorHAnsi"/>
          <w:color w:val="auto"/>
        </w:rPr>
        <w:t xml:space="preserve">. </w:t>
      </w:r>
      <w:r w:rsidR="008179F8">
        <w:rPr>
          <w:rStyle w:val="Howtousethistemplate"/>
          <w:rFonts w:eastAsia="MS Gothic" w:cstheme="minorHAnsi"/>
          <w:color w:val="auto"/>
        </w:rPr>
        <w:t>In particular, we</w:t>
      </w:r>
      <w:r w:rsidRPr="00A71724">
        <w:rPr>
          <w:rStyle w:val="Howtousethistemplate"/>
          <w:rFonts w:eastAsia="MS Gothic" w:cstheme="minorHAnsi"/>
          <w:color w:val="auto"/>
        </w:rPr>
        <w:t xml:space="preserve"> suggest that the Scottish Government considers the use of a process that includes face-to-face information and support, as set out in our response</w:t>
      </w:r>
      <w:r w:rsidR="008179F8">
        <w:rPr>
          <w:rStyle w:val="Howtousethistemplate"/>
          <w:rFonts w:eastAsia="MS Gothic" w:cstheme="minorHAnsi"/>
          <w:color w:val="auto"/>
        </w:rPr>
        <w:t xml:space="preserve"> to Question 2</w:t>
      </w:r>
      <w:r>
        <w:rPr>
          <w:rStyle w:val="Howtousethistemplate"/>
          <w:rFonts w:eastAsia="MS Gothic" w:cstheme="minorHAnsi"/>
          <w:color w:val="auto"/>
        </w:rPr>
        <w:t xml:space="preserve"> above</w:t>
      </w:r>
      <w:r w:rsidRPr="00A71724">
        <w:rPr>
          <w:rStyle w:val="Howtousethistemplate"/>
          <w:rFonts w:eastAsia="MS Gothic" w:cstheme="minorHAnsi"/>
          <w:color w:val="auto"/>
        </w:rPr>
        <w:t>.</w:t>
      </w:r>
    </w:p>
    <w:p w14:paraId="52141107" w14:textId="77777777" w:rsidR="00AC064B" w:rsidRDefault="00AC064B" w:rsidP="00F00E14">
      <w:pPr>
        <w:keepLines w:val="0"/>
        <w:spacing w:before="0" w:after="160"/>
        <w:rPr>
          <w:rFonts w:asciiTheme="majorHAnsi" w:eastAsiaTheme="majorEastAsia" w:hAnsiTheme="majorHAnsi" w:cstheme="majorBidi"/>
          <w:b/>
          <w:color w:val="0B4E60" w:themeColor="text2"/>
          <w:sz w:val="36"/>
          <w:szCs w:val="32"/>
        </w:rPr>
      </w:pPr>
      <w:r>
        <w:br w:type="page"/>
      </w:r>
    </w:p>
    <w:p w14:paraId="0884AE21" w14:textId="0378F322" w:rsidR="00390713" w:rsidRPr="00B91A3D" w:rsidRDefault="00390713" w:rsidP="00F00E14">
      <w:pPr>
        <w:pStyle w:val="Heading2"/>
        <w:spacing w:line="276" w:lineRule="auto"/>
      </w:pPr>
      <w:bookmarkStart w:id="10" w:name="_Toc34403601"/>
      <w:r>
        <w:lastRenderedPageBreak/>
        <w:t>Question 4</w:t>
      </w:r>
      <w:bookmarkEnd w:id="10"/>
    </w:p>
    <w:p w14:paraId="6518E7C0" w14:textId="77777777" w:rsidR="00390713" w:rsidRDefault="00390713" w:rsidP="00F00E14">
      <w:r>
        <w:t xml:space="preserve">Do you have any other comments on the provisions of the draft Bill? </w:t>
      </w:r>
    </w:p>
    <w:p w14:paraId="077FA0B2" w14:textId="77777777" w:rsidR="00390713" w:rsidRDefault="00390713" w:rsidP="00F00E14">
      <w:r>
        <w:t xml:space="preserve">Yes </w:t>
      </w:r>
      <w:r w:rsidRPr="0039242C">
        <w:rPr>
          <w:rFonts w:ascii="Segoe UI Symbol" w:hAnsi="Segoe UI Symbol" w:cs="Segoe UI Symbol"/>
        </w:rPr>
        <w:t>✔</w:t>
      </w:r>
      <w:r>
        <w:t xml:space="preserve"> </w:t>
      </w:r>
      <w:r>
        <w:br/>
        <w:t xml:space="preserve">No </w:t>
      </w:r>
      <w:r>
        <w:rPr>
          <w:rFonts w:ascii="Segoe UI Symbol" w:hAnsi="Segoe UI Symbol" w:cs="Segoe UI Symbol"/>
        </w:rPr>
        <w:t>☐</w:t>
      </w:r>
      <w:r>
        <w:t xml:space="preserve"> </w:t>
      </w:r>
    </w:p>
    <w:p w14:paraId="46448E60" w14:textId="77777777" w:rsidR="005755B3" w:rsidRDefault="005755B3" w:rsidP="00F00E14">
      <w:pPr>
        <w:pStyle w:val="ListParagraph"/>
        <w:ind w:left="720"/>
      </w:pPr>
    </w:p>
    <w:p w14:paraId="4F16DE2D" w14:textId="299F82E4" w:rsidR="005755B3" w:rsidRDefault="005755B3" w:rsidP="00F00E14">
      <w:pPr>
        <w:pStyle w:val="ListParagraph"/>
        <w:numPr>
          <w:ilvl w:val="0"/>
          <w:numId w:val="36"/>
        </w:numPr>
      </w:pPr>
      <w:r>
        <w:t>Our answer to this question first deals with comments on specific provisions within the draft Bill, before outlining our position with respect to the interaction between the GRA and the EA 2010</w:t>
      </w:r>
      <w:r w:rsidR="003C0E87">
        <w:t>.</w:t>
      </w:r>
      <w:r>
        <w:t xml:space="preserve"> </w:t>
      </w:r>
    </w:p>
    <w:p w14:paraId="3B56545E" w14:textId="77777777" w:rsidR="00190EAE" w:rsidRPr="006A49DC" w:rsidRDefault="00190EAE" w:rsidP="006A49DC">
      <w:pPr>
        <w:pStyle w:val="Heading4"/>
      </w:pPr>
      <w:r w:rsidRPr="006A49DC">
        <w:t>Section 2</w:t>
      </w:r>
      <w:r w:rsidR="005755B3" w:rsidRPr="006A49DC">
        <w:t>: P</w:t>
      </w:r>
      <w:r w:rsidRPr="006A49DC">
        <w:t>ersons who may apply</w:t>
      </w:r>
    </w:p>
    <w:p w14:paraId="79EF62D3" w14:textId="77777777" w:rsidR="005755B3" w:rsidRDefault="005755B3" w:rsidP="00F00E14">
      <w:pPr>
        <w:pStyle w:val="ListParagraph"/>
        <w:ind w:left="720"/>
      </w:pPr>
    </w:p>
    <w:p w14:paraId="6FAF4032" w14:textId="77777777" w:rsidR="00190EAE" w:rsidRDefault="005755B3" w:rsidP="00F00E14">
      <w:pPr>
        <w:pStyle w:val="ListParagraph"/>
        <w:numPr>
          <w:ilvl w:val="0"/>
          <w:numId w:val="36"/>
        </w:numPr>
      </w:pPr>
      <w:r>
        <w:t>The draft B</w:t>
      </w:r>
      <w:r w:rsidR="00190EAE">
        <w:t>ill provides that applicants should have been born in Scotland or adopted in Scotland, or be ordinarily resident in Scotland.</w:t>
      </w:r>
    </w:p>
    <w:p w14:paraId="313EAEA2" w14:textId="77777777" w:rsidR="005755B3" w:rsidRDefault="005755B3" w:rsidP="00F00E14">
      <w:pPr>
        <w:pStyle w:val="ListParagraph"/>
        <w:ind w:left="720"/>
      </w:pPr>
    </w:p>
    <w:p w14:paraId="4CBE490E" w14:textId="34D1EBE1" w:rsidR="00190EAE" w:rsidRDefault="00190EAE" w:rsidP="00F00E14">
      <w:pPr>
        <w:pStyle w:val="ListParagraph"/>
        <w:numPr>
          <w:ilvl w:val="0"/>
          <w:numId w:val="36"/>
        </w:numPr>
      </w:pPr>
      <w:r>
        <w:t xml:space="preserve">The Commission believes that any new process should be open to everyone. </w:t>
      </w:r>
      <w:r w:rsidR="00D37BD2">
        <w:t>Applying for legal gender recognition</w:t>
      </w:r>
      <w:r>
        <w:t xml:space="preserve"> in Scotland will only affect the applicant’s legal gender </w:t>
      </w:r>
      <w:r w:rsidR="00F00E14">
        <w:t>recognition</w:t>
      </w:r>
      <w:r>
        <w:t xml:space="preserve"> in Scotland and in countries that recognise Scotland’s process.</w:t>
      </w:r>
    </w:p>
    <w:p w14:paraId="3B056D83" w14:textId="77777777" w:rsidR="005755B3" w:rsidRDefault="005755B3" w:rsidP="00F00E14">
      <w:pPr>
        <w:pStyle w:val="ListParagraph"/>
        <w:ind w:left="720"/>
      </w:pPr>
    </w:p>
    <w:p w14:paraId="5A4702BF" w14:textId="7BD038E3" w:rsidR="00190EAE" w:rsidRDefault="00190EAE" w:rsidP="00F00E14">
      <w:pPr>
        <w:pStyle w:val="ListParagraph"/>
        <w:numPr>
          <w:ilvl w:val="0"/>
          <w:numId w:val="36"/>
        </w:numPr>
      </w:pPr>
      <w:r>
        <w:t>Opening up legal gender recognition to everyone would ensure that trans people who reside ou</w:t>
      </w:r>
      <w:r w:rsidR="004D6090">
        <w:t>twith</w:t>
      </w:r>
      <w:r>
        <w:t xml:space="preserve"> Scotland but are planning to move to Scotland are able to make an application. This will ensure that trans people are able to live in their acquired gender and integrate into Scottish society with full legal recognition of their acquired gender from the moment that they start their life in Scotland. Yogyakarta Principle 31 states that the immigration status of an applicant should not prevent them from applying</w:t>
      </w:r>
      <w:r w:rsidR="00F00E14">
        <w:t xml:space="preserve"> for</w:t>
      </w:r>
      <w:r>
        <w:t xml:space="preserve"> or obtaining legal gender recognition.</w:t>
      </w:r>
    </w:p>
    <w:p w14:paraId="71413027" w14:textId="77777777" w:rsidR="005755B3" w:rsidRDefault="005755B3" w:rsidP="00F00E14">
      <w:pPr>
        <w:pStyle w:val="ListParagraph"/>
        <w:ind w:left="720"/>
      </w:pPr>
    </w:p>
    <w:p w14:paraId="7E7294A2" w14:textId="2E947C2E" w:rsidR="00A273E9" w:rsidRDefault="00190EAE" w:rsidP="00F00E14">
      <w:pPr>
        <w:pStyle w:val="ListParagraph"/>
        <w:numPr>
          <w:ilvl w:val="0"/>
          <w:numId w:val="36"/>
        </w:numPr>
      </w:pPr>
      <w:r>
        <w:t xml:space="preserve">The Scottish Government should also seek to ensure that a legal recognition certificate </w:t>
      </w:r>
      <w:r w:rsidR="005755B3">
        <w:t xml:space="preserve">issued </w:t>
      </w:r>
      <w:r>
        <w:t>in Scotland is recognised elsewhere in the UK and in other jurisdictions.</w:t>
      </w:r>
    </w:p>
    <w:p w14:paraId="30E12918" w14:textId="77777777" w:rsidR="00A273E9" w:rsidRPr="00313C41" w:rsidRDefault="00A273E9" w:rsidP="00F00E14">
      <w:pPr>
        <w:pStyle w:val="Heading4"/>
        <w:spacing w:line="276" w:lineRule="auto"/>
      </w:pPr>
      <w:r>
        <w:t>Section 4: Grounds on which application to be granted</w:t>
      </w:r>
    </w:p>
    <w:p w14:paraId="48F23850" w14:textId="77777777" w:rsidR="00A273E9" w:rsidRDefault="00A273E9" w:rsidP="00F00E14">
      <w:pPr>
        <w:pStyle w:val="ListParagraph"/>
        <w:ind w:left="720"/>
      </w:pPr>
    </w:p>
    <w:p w14:paraId="0F67308E" w14:textId="51DC4E41" w:rsidR="00A273E9" w:rsidRDefault="00A273E9" w:rsidP="00F00E14">
      <w:pPr>
        <w:pStyle w:val="ListParagraph"/>
        <w:numPr>
          <w:ilvl w:val="0"/>
          <w:numId w:val="36"/>
        </w:numPr>
      </w:pPr>
      <w:r>
        <w:t xml:space="preserve">As noted above, we consider that requiring individuals to sign a statutory declaration is an appropriate and proportionate measure to allow applicants to demonstrate their seriousness of intent. </w:t>
      </w:r>
    </w:p>
    <w:p w14:paraId="0BB3000A" w14:textId="77777777" w:rsidR="00A273E9" w:rsidRDefault="00A273E9" w:rsidP="00F00E14">
      <w:pPr>
        <w:pStyle w:val="ListParagraph"/>
        <w:ind w:left="720"/>
      </w:pPr>
    </w:p>
    <w:p w14:paraId="410F0CE5" w14:textId="7142E923" w:rsidR="00A273E9" w:rsidRDefault="00A273E9" w:rsidP="00F00E14">
      <w:pPr>
        <w:pStyle w:val="ListParagraph"/>
        <w:numPr>
          <w:ilvl w:val="0"/>
          <w:numId w:val="36"/>
        </w:numPr>
      </w:pPr>
      <w:r>
        <w:lastRenderedPageBreak/>
        <w:t>Section 4 of the draft Bill provides for clause 8C (1)(a)(iv), which requires the Registrar General to grant an application if</w:t>
      </w:r>
      <w:r w:rsidR="0071001F">
        <w:t>, among</w:t>
      </w:r>
      <w:r w:rsidR="007D2008">
        <w:t xml:space="preserve"> </w:t>
      </w:r>
      <w:r w:rsidR="0071001F">
        <w:t>other things,</w:t>
      </w:r>
      <w:r>
        <w:t xml:space="preserve"> the applicant’s statutory declaration confirms</w:t>
      </w:r>
      <w:r w:rsidR="00F00E14">
        <w:t xml:space="preserve"> </w:t>
      </w:r>
      <w:r>
        <w:t>that the applicant “intends to continue to live in the acquired gender permanently”.</w:t>
      </w:r>
    </w:p>
    <w:p w14:paraId="472AF480" w14:textId="77777777" w:rsidR="00A75E70" w:rsidRDefault="00A75E70" w:rsidP="00F00E14">
      <w:pPr>
        <w:pStyle w:val="ListParagraph"/>
      </w:pPr>
    </w:p>
    <w:p w14:paraId="4D5A408E" w14:textId="21C402E6" w:rsidR="00A75E70" w:rsidRDefault="00A75E70" w:rsidP="00F00E14">
      <w:pPr>
        <w:pStyle w:val="ListParagraph"/>
        <w:numPr>
          <w:ilvl w:val="0"/>
          <w:numId w:val="36"/>
        </w:numPr>
      </w:pPr>
      <w:r>
        <w:t xml:space="preserve">However, we recognise the possibility that, in exceptional circumstances, an individual may come to realise that gaining legal recognition of their acquired gender was not the right </w:t>
      </w:r>
      <w:r w:rsidR="0071001F">
        <w:t xml:space="preserve">decision </w:t>
      </w:r>
      <w:r>
        <w:t>and may want to change back to their sex recorded at birth. Such occurrences should be rare if the process for ensuring the implications of changing legal sex are fully understood is robust.</w:t>
      </w:r>
    </w:p>
    <w:p w14:paraId="6A35C405" w14:textId="77777777" w:rsidR="00A75E70" w:rsidRDefault="00A75E70" w:rsidP="00F00E14">
      <w:pPr>
        <w:pStyle w:val="ListParagraph"/>
      </w:pPr>
    </w:p>
    <w:p w14:paraId="7D4F1CEC" w14:textId="35B4D95C" w:rsidR="00A273E9" w:rsidRDefault="00A75E70" w:rsidP="00F00E14">
      <w:pPr>
        <w:pStyle w:val="ListParagraph"/>
        <w:numPr>
          <w:ilvl w:val="0"/>
          <w:numId w:val="36"/>
        </w:numPr>
      </w:pPr>
      <w:r>
        <w:t xml:space="preserve">The </w:t>
      </w:r>
      <w:hyperlink r:id="rId13" w:history="1">
        <w:r w:rsidRPr="00A75E70">
          <w:rPr>
            <w:rStyle w:val="Hyperlink"/>
          </w:rPr>
          <w:t xml:space="preserve">Commission previously considered that a limit </w:t>
        </w:r>
        <w:r w:rsidR="00584218">
          <w:rPr>
            <w:rStyle w:val="Hyperlink"/>
          </w:rPr>
          <w:t>of</w:t>
        </w:r>
        <w:r w:rsidRPr="00A75E70">
          <w:rPr>
            <w:rStyle w:val="Hyperlink"/>
          </w:rPr>
          <w:t xml:space="preserve"> two applications per individual would be appropriate</w:t>
        </w:r>
      </w:hyperlink>
      <w:r>
        <w:t xml:space="preserve"> to ensure that the rights of applicants are respected while providing a proportionate safeguard against misuse of the system. Further consultations with stakeholders have brought to our attention rare situations in which a limit of two applications could cause undue distress for an individual.</w:t>
      </w:r>
      <w:r>
        <w:rPr>
          <w:rStyle w:val="FootnoteReference"/>
        </w:rPr>
        <w:footnoteReference w:id="7"/>
      </w:r>
      <w:r>
        <w:t xml:space="preserve"> We therefore do not suggest a limit to the number of applications, but instead propose that the process outlined above is robust and thorough in order to provide appropriate safeguards for the applicant and others. It may therefore be appropriate to apply a more stringent process for second and subsequent applications.</w:t>
      </w:r>
    </w:p>
    <w:p w14:paraId="15D6A1F9" w14:textId="77777777" w:rsidR="005755B3" w:rsidRDefault="005755B3" w:rsidP="00F00E14">
      <w:pPr>
        <w:pStyle w:val="Heading4"/>
        <w:spacing w:line="276" w:lineRule="auto"/>
      </w:pPr>
      <w:r>
        <w:t>Section 11: Further provision about applications</w:t>
      </w:r>
    </w:p>
    <w:p w14:paraId="6610935D" w14:textId="77777777" w:rsidR="005755B3" w:rsidRDefault="005755B3" w:rsidP="00F00E14">
      <w:pPr>
        <w:pStyle w:val="ListParagraph"/>
        <w:ind w:left="720"/>
      </w:pPr>
    </w:p>
    <w:p w14:paraId="24F242AF" w14:textId="77777777" w:rsidR="005755B3" w:rsidRDefault="005755B3" w:rsidP="00F00E14">
      <w:pPr>
        <w:pStyle w:val="ListParagraph"/>
        <w:numPr>
          <w:ilvl w:val="0"/>
          <w:numId w:val="36"/>
        </w:numPr>
      </w:pPr>
      <w:r>
        <w:t xml:space="preserve">This section of the draft Bill would enable the Registrar General to set any application fee by regulations. </w:t>
      </w:r>
    </w:p>
    <w:p w14:paraId="7CF4FCA0" w14:textId="77777777" w:rsidR="005755B3" w:rsidRDefault="005755B3" w:rsidP="00F00E14">
      <w:pPr>
        <w:pStyle w:val="ListParagraph"/>
        <w:ind w:left="720"/>
      </w:pPr>
    </w:p>
    <w:p w14:paraId="5D8C8A26" w14:textId="71AB0ECB" w:rsidR="005755B3" w:rsidRDefault="005755B3" w:rsidP="00F00E14">
      <w:pPr>
        <w:pStyle w:val="ListParagraph"/>
        <w:numPr>
          <w:ilvl w:val="0"/>
          <w:numId w:val="36"/>
        </w:numPr>
      </w:pPr>
      <w:r w:rsidRPr="005755B3">
        <w:lastRenderedPageBreak/>
        <w:t>The Commission understands that it is necessary for the Government to charge for the provision of some public services, including those which involve a change of legal status</w:t>
      </w:r>
      <w:r w:rsidR="00F00E14">
        <w:t>.</w:t>
      </w:r>
      <w:r w:rsidR="007C163D">
        <w:t xml:space="preserve"> However</w:t>
      </w:r>
      <w:r w:rsidRPr="005755B3">
        <w:t xml:space="preserve">, this fee should not </w:t>
      </w:r>
      <w:r w:rsidR="008179F8">
        <w:t>act as a barrier</w:t>
      </w:r>
      <w:r w:rsidRPr="005755B3">
        <w:t xml:space="preserve"> to applicants</w:t>
      </w:r>
      <w:r w:rsidR="008179F8">
        <w:t xml:space="preserve"> receiving </w:t>
      </w:r>
      <w:r w:rsidR="00C30DB5">
        <w:t>an essential public service</w:t>
      </w:r>
      <w:r w:rsidRPr="005755B3">
        <w:t>.</w:t>
      </w:r>
    </w:p>
    <w:p w14:paraId="739CAFBD" w14:textId="77777777" w:rsidR="00E90C32" w:rsidRDefault="00E90C32" w:rsidP="00F00E14">
      <w:pPr>
        <w:pStyle w:val="ListParagraph"/>
      </w:pPr>
    </w:p>
    <w:p w14:paraId="337964E7" w14:textId="2D176B83" w:rsidR="00313C41" w:rsidRDefault="00E90C32" w:rsidP="00F00E14">
      <w:pPr>
        <w:pStyle w:val="ListParagraph"/>
        <w:numPr>
          <w:ilvl w:val="0"/>
          <w:numId w:val="36"/>
        </w:numPr>
      </w:pPr>
      <w:r>
        <w:t>We are concerned that the current fee of £140 may pose an unnecessary barrier for some trans people</w:t>
      </w:r>
      <w:r w:rsidR="00C978A0">
        <w:t>, particularly younger people,</w:t>
      </w:r>
      <w:r>
        <w:t xml:space="preserve"> seeking legal recognition of their acquired gender. In light of this, and on the assumption that the de-medicalisation of the process as set out in the draft Bill will reduce costs associated with </w:t>
      </w:r>
      <w:r w:rsidR="00CF4306">
        <w:t xml:space="preserve">dealing with </w:t>
      </w:r>
      <w:r>
        <w:t>an application, we support the Registrar General having the power to vary the fee on the basis that this power is used to set a more proportionate fee.</w:t>
      </w:r>
      <w:r w:rsidR="00C30DB5">
        <w:t xml:space="preserve"> We would support both a general reduction in cost to applicants, and the introduction of a system which enabled a further reduced fee based on income or other hardship criteria.</w:t>
      </w:r>
    </w:p>
    <w:p w14:paraId="1EDA4984" w14:textId="77777777" w:rsidR="00E90C32" w:rsidRDefault="00D20724" w:rsidP="00F00E14">
      <w:pPr>
        <w:pStyle w:val="Heading4"/>
        <w:spacing w:line="276" w:lineRule="auto"/>
      </w:pPr>
      <w:r>
        <w:t>Interaction between the GRA and the EA 2010</w:t>
      </w:r>
      <w:r w:rsidR="00D525E3">
        <w:t>: single-sex and separate-sex services</w:t>
      </w:r>
    </w:p>
    <w:p w14:paraId="37430D3E" w14:textId="77777777" w:rsidR="00C80FB9" w:rsidRDefault="00C80FB9" w:rsidP="00F00E14">
      <w:pPr>
        <w:pStyle w:val="ListParagraph"/>
        <w:ind w:left="720"/>
      </w:pPr>
    </w:p>
    <w:p w14:paraId="5D3BFED9" w14:textId="2570E4E9" w:rsidR="00C30DB5" w:rsidRPr="00F00E14" w:rsidRDefault="00C978A0" w:rsidP="00F00E14">
      <w:pPr>
        <w:pStyle w:val="ListParagraph"/>
        <w:numPr>
          <w:ilvl w:val="0"/>
          <w:numId w:val="36"/>
        </w:numPr>
      </w:pPr>
      <w:r>
        <w:t xml:space="preserve">As noted at </w:t>
      </w:r>
      <w:r w:rsidR="00F00E14" w:rsidRPr="00F00E14">
        <w:t>paragraph 7</w:t>
      </w:r>
      <w:r w:rsidRPr="00F00E14">
        <w:t xml:space="preserve"> above</w:t>
      </w:r>
      <w:r>
        <w:t xml:space="preserve">, the </w:t>
      </w:r>
      <w:r w:rsidR="00A85A57">
        <w:t>EA 2010</w:t>
      </w:r>
      <w:r>
        <w:t xml:space="preserve"> protected characteristic </w:t>
      </w:r>
      <w:r w:rsidR="00A85A57">
        <w:t xml:space="preserve">of gender reassignment </w:t>
      </w:r>
      <w:r>
        <w:t>applies to any individual who “</w:t>
      </w:r>
      <w:r w:rsidRPr="008B4F9C">
        <w:rPr>
          <w:rFonts w:cs="Arial"/>
          <w:szCs w:val="28"/>
        </w:rPr>
        <w:t>is proposing to undergo, is undergoing or has undergone a process (or part of a process) for the purpose of reassigning the person’s sex by changing physiological or other attributes of sex</w:t>
      </w:r>
      <w:r>
        <w:rPr>
          <w:rFonts w:cs="Arial"/>
          <w:szCs w:val="28"/>
        </w:rPr>
        <w:t>”</w:t>
      </w:r>
      <w:r w:rsidR="00A85A57">
        <w:rPr>
          <w:rFonts w:cs="Arial"/>
          <w:szCs w:val="28"/>
        </w:rPr>
        <w:t xml:space="preserve">. It does not require any medical intervention or diagnosis of gender dysphoria. Any change to the GRA will not affect this. </w:t>
      </w:r>
    </w:p>
    <w:p w14:paraId="770A7D6E" w14:textId="77777777" w:rsidR="00F00E14" w:rsidRDefault="00F00E14" w:rsidP="00F00E14">
      <w:pPr>
        <w:pStyle w:val="ListParagraph"/>
        <w:ind w:left="720"/>
      </w:pPr>
    </w:p>
    <w:p w14:paraId="40407239" w14:textId="22CD7B6F" w:rsidR="00F00E14" w:rsidRPr="00F00E14" w:rsidRDefault="00C80FB9" w:rsidP="00F00E14">
      <w:pPr>
        <w:pStyle w:val="ListParagraph"/>
        <w:numPr>
          <w:ilvl w:val="0"/>
          <w:numId w:val="36"/>
        </w:numPr>
      </w:pPr>
      <w:r>
        <w:t xml:space="preserve">The EA 2010 includes exceptions to the general principle of non-discrimination for the operation of </w:t>
      </w:r>
      <w:r w:rsidRPr="00C80FB9">
        <w:t>single-sex and separate-sex service</w:t>
      </w:r>
      <w:r>
        <w:t>s where that is justified. Such services may include</w:t>
      </w:r>
      <w:r w:rsidRPr="00C65CB4">
        <w:rPr>
          <w:rFonts w:cs="Arial"/>
          <w:szCs w:val="28"/>
        </w:rPr>
        <w:t>, for example, women-only gyms, post-natal health services, male-only or female-only hairdressers, separate hospital wards</w:t>
      </w:r>
      <w:r w:rsidR="00C30DB5">
        <w:rPr>
          <w:rFonts w:cs="Arial"/>
          <w:szCs w:val="28"/>
        </w:rPr>
        <w:t>,</w:t>
      </w:r>
      <w:r w:rsidRPr="00C65CB4">
        <w:rPr>
          <w:rFonts w:cs="Arial"/>
          <w:szCs w:val="28"/>
        </w:rPr>
        <w:t xml:space="preserve"> and separate prisons for men </w:t>
      </w:r>
      <w:r w:rsidRPr="006E6B62">
        <w:rPr>
          <w:rFonts w:cs="Arial"/>
          <w:szCs w:val="28"/>
        </w:rPr>
        <w:t xml:space="preserve">and women. They also include women-only domestic </w:t>
      </w:r>
      <w:r w:rsidR="00C30DB5">
        <w:rPr>
          <w:rFonts w:cs="Arial"/>
          <w:szCs w:val="28"/>
        </w:rPr>
        <w:t>abuse</w:t>
      </w:r>
      <w:r w:rsidR="00C30DB5" w:rsidRPr="006E6B62">
        <w:rPr>
          <w:rFonts w:cs="Arial"/>
          <w:szCs w:val="28"/>
        </w:rPr>
        <w:t xml:space="preserve"> </w:t>
      </w:r>
      <w:r w:rsidRPr="006E6B62">
        <w:rPr>
          <w:rFonts w:cs="Arial"/>
          <w:szCs w:val="28"/>
        </w:rPr>
        <w:t>services and sexual assault support services.</w:t>
      </w:r>
    </w:p>
    <w:p w14:paraId="19E2AB39" w14:textId="77777777" w:rsidR="00F00E14" w:rsidRDefault="00F00E14" w:rsidP="00F00E14">
      <w:pPr>
        <w:pStyle w:val="ListParagraph"/>
        <w:keepLines w:val="0"/>
        <w:spacing w:before="0"/>
        <w:ind w:left="720"/>
        <w:contextualSpacing/>
        <w:rPr>
          <w:rFonts w:cs="Arial"/>
          <w:szCs w:val="28"/>
        </w:rPr>
      </w:pPr>
    </w:p>
    <w:p w14:paraId="4FC6D3FE" w14:textId="7B662D3E" w:rsidR="00210807" w:rsidRDefault="00210807" w:rsidP="00F00E14">
      <w:pPr>
        <w:pStyle w:val="ListParagraph"/>
        <w:keepLines w:val="0"/>
        <w:numPr>
          <w:ilvl w:val="0"/>
          <w:numId w:val="36"/>
        </w:numPr>
        <w:spacing w:before="0"/>
        <w:contextualSpacing/>
        <w:rPr>
          <w:rFonts w:cs="Arial"/>
          <w:szCs w:val="28"/>
        </w:rPr>
      </w:pPr>
      <w:r w:rsidRPr="00556DF9">
        <w:rPr>
          <w:rFonts w:cs="Arial"/>
          <w:szCs w:val="28"/>
        </w:rPr>
        <w:t xml:space="preserve">Separate-sex services (whether equal or different for each sex) and single-sex services (only to persons of one sex) are permitted under </w:t>
      </w:r>
      <w:r>
        <w:rPr>
          <w:rFonts w:cs="Arial"/>
          <w:szCs w:val="28"/>
        </w:rPr>
        <w:t>S</w:t>
      </w:r>
      <w:r w:rsidRPr="00556DF9">
        <w:rPr>
          <w:rFonts w:cs="Arial"/>
          <w:szCs w:val="28"/>
        </w:rPr>
        <w:t>chedule 3 to the EA 2010</w:t>
      </w:r>
      <w:r w:rsidR="008C780B">
        <w:rPr>
          <w:rFonts w:cs="Arial"/>
          <w:szCs w:val="28"/>
        </w:rPr>
        <w:t>,</w:t>
      </w:r>
      <w:r w:rsidRPr="00556DF9">
        <w:rPr>
          <w:rFonts w:cs="Arial"/>
          <w:szCs w:val="28"/>
        </w:rPr>
        <w:t xml:space="preserve"> where it is proportionate</w:t>
      </w:r>
      <w:r w:rsidR="008C780B">
        <w:rPr>
          <w:rFonts w:cs="Arial"/>
          <w:szCs w:val="28"/>
        </w:rPr>
        <w:t>,</w:t>
      </w:r>
      <w:r w:rsidRPr="00556DF9">
        <w:rPr>
          <w:rFonts w:cs="Arial"/>
          <w:szCs w:val="28"/>
        </w:rPr>
        <w:t xml:space="preserve"> </w:t>
      </w:r>
      <w:r w:rsidR="008C780B">
        <w:rPr>
          <w:rFonts w:cs="Arial"/>
          <w:szCs w:val="28"/>
        </w:rPr>
        <w:t>on the grounds that</w:t>
      </w:r>
      <w:r w:rsidRPr="00556DF9">
        <w:rPr>
          <w:rFonts w:cs="Arial"/>
          <w:szCs w:val="28"/>
        </w:rPr>
        <w:t xml:space="preserve"> a joint service for both sexes would be less effective or it would not be reasonably practicable because of the extent to which the service is required by one sex. A single-sex service could be appropriate, for instance, where services are used by two or more people at the same </w:t>
      </w:r>
      <w:r w:rsidRPr="00556DF9">
        <w:rPr>
          <w:rFonts w:cs="Arial"/>
          <w:szCs w:val="28"/>
        </w:rPr>
        <w:lastRenderedPageBreak/>
        <w:t xml:space="preserve">time and users of one sex might reasonably object to the presence of a person of the other sex. </w:t>
      </w:r>
    </w:p>
    <w:p w14:paraId="19BF8D25" w14:textId="77777777" w:rsidR="00210807" w:rsidRDefault="00210807" w:rsidP="00F00E14">
      <w:pPr>
        <w:pStyle w:val="ListParagraph"/>
        <w:ind w:left="720"/>
      </w:pPr>
    </w:p>
    <w:p w14:paraId="64967E0F" w14:textId="13C24494" w:rsidR="0029113D" w:rsidRPr="003C0E87" w:rsidRDefault="00210807" w:rsidP="00F00E14">
      <w:pPr>
        <w:pStyle w:val="ListParagraph"/>
        <w:numPr>
          <w:ilvl w:val="0"/>
          <w:numId w:val="36"/>
        </w:numPr>
        <w:rPr>
          <w:rStyle w:val="CommentReference"/>
          <w:sz w:val="24"/>
          <w:szCs w:val="22"/>
        </w:rPr>
      </w:pPr>
      <w:r>
        <w:rPr>
          <w:rFonts w:cs="Arial"/>
          <w:szCs w:val="28"/>
        </w:rPr>
        <w:t>The Commission considers that the inclusion of these exceptions in the EA 2010 is both necessary and proportionate.</w:t>
      </w:r>
      <w:r w:rsidR="00A85A57">
        <w:rPr>
          <w:rFonts w:cs="Arial"/>
          <w:szCs w:val="28"/>
        </w:rPr>
        <w:t xml:space="preserve"> Violence against women and girls is a significant issue in our society</w:t>
      </w:r>
      <w:r w:rsidR="007C02D3">
        <w:rPr>
          <w:rFonts w:cs="Arial"/>
          <w:szCs w:val="28"/>
        </w:rPr>
        <w:t>.</w:t>
      </w:r>
      <w:r w:rsidR="00A85A57">
        <w:rPr>
          <w:rStyle w:val="CommentReference"/>
        </w:rPr>
        <w:t xml:space="preserve"> </w:t>
      </w:r>
    </w:p>
    <w:p w14:paraId="7270EDDB" w14:textId="77777777" w:rsidR="003C0E87" w:rsidRDefault="003C0E87" w:rsidP="00F00E14">
      <w:pPr>
        <w:pStyle w:val="ListParagraph"/>
      </w:pPr>
    </w:p>
    <w:p w14:paraId="7C6EF96F" w14:textId="5650B3E0" w:rsidR="0029113D" w:rsidRPr="00F00E14" w:rsidRDefault="003C0E87" w:rsidP="00F00E14">
      <w:pPr>
        <w:pStyle w:val="ListParagraph"/>
        <w:numPr>
          <w:ilvl w:val="0"/>
          <w:numId w:val="36"/>
        </w:numPr>
      </w:pPr>
      <w:r w:rsidRPr="00312F7D">
        <w:rPr>
          <w:rFonts w:cs="Arial"/>
          <w:szCs w:val="28"/>
        </w:rPr>
        <w:t>Paragraph 28 of Schedule 3 permits different treatment of trans people in ‘anything done in relation to’ the lawful operation of separate services for the sexes and single-sex services, provided such conduct is objectively justified – ‘a proportionate means of achieving a legitimate aim’.</w:t>
      </w:r>
    </w:p>
    <w:p w14:paraId="43EFDBE4" w14:textId="58BCB681" w:rsidR="00210807" w:rsidRPr="00312F7D" w:rsidRDefault="00210807" w:rsidP="00F00E14">
      <w:pPr>
        <w:pStyle w:val="ListParagraph"/>
        <w:keepLines w:val="0"/>
        <w:spacing w:before="0"/>
        <w:ind w:left="720"/>
        <w:contextualSpacing/>
        <w:rPr>
          <w:rFonts w:cs="Arial"/>
          <w:szCs w:val="28"/>
        </w:rPr>
      </w:pPr>
      <w:r w:rsidRPr="00312F7D">
        <w:rPr>
          <w:rFonts w:cs="Arial"/>
          <w:szCs w:val="28"/>
        </w:rPr>
        <w:t xml:space="preserve"> </w:t>
      </w:r>
    </w:p>
    <w:p w14:paraId="63D39EAE" w14:textId="132A216E" w:rsidR="00210807" w:rsidRPr="008C780B" w:rsidRDefault="00312F7D" w:rsidP="00F00E14">
      <w:pPr>
        <w:pStyle w:val="ListParagraph"/>
        <w:keepLines w:val="0"/>
        <w:numPr>
          <w:ilvl w:val="0"/>
          <w:numId w:val="36"/>
        </w:numPr>
        <w:spacing w:before="0"/>
        <w:contextualSpacing/>
        <w:rPr>
          <w:rFonts w:cs="Arial"/>
          <w:szCs w:val="28"/>
        </w:rPr>
      </w:pPr>
      <w:r>
        <w:rPr>
          <w:rFonts w:cs="Arial"/>
          <w:szCs w:val="28"/>
        </w:rPr>
        <w:t xml:space="preserve">Any </w:t>
      </w:r>
      <w:r w:rsidR="00210807" w:rsidRPr="004747DD">
        <w:rPr>
          <w:rFonts w:cs="Arial"/>
          <w:szCs w:val="28"/>
        </w:rPr>
        <w:t>exception from the general principle of non-discrimination</w:t>
      </w:r>
      <w:r>
        <w:rPr>
          <w:rFonts w:cs="Arial"/>
          <w:szCs w:val="28"/>
        </w:rPr>
        <w:t xml:space="preserve"> </w:t>
      </w:r>
      <w:r w:rsidR="00210807" w:rsidRPr="004747DD">
        <w:rPr>
          <w:rFonts w:cs="Arial"/>
          <w:szCs w:val="28"/>
        </w:rPr>
        <w:t>appl</w:t>
      </w:r>
      <w:r w:rsidR="00B242C6">
        <w:rPr>
          <w:rFonts w:cs="Arial"/>
          <w:szCs w:val="28"/>
        </w:rPr>
        <w:t>ies</w:t>
      </w:r>
      <w:r w:rsidR="00210807" w:rsidRPr="004747DD">
        <w:rPr>
          <w:rFonts w:cs="Arial"/>
          <w:szCs w:val="28"/>
        </w:rPr>
        <w:t xml:space="preserve"> only </w:t>
      </w:r>
      <w:r w:rsidR="00210807">
        <w:rPr>
          <w:rFonts w:cs="Arial"/>
          <w:szCs w:val="28"/>
        </w:rPr>
        <w:t xml:space="preserve">in situations </w:t>
      </w:r>
      <w:r w:rsidR="00210807" w:rsidRPr="004747DD">
        <w:rPr>
          <w:rFonts w:cs="Arial"/>
          <w:szCs w:val="28"/>
        </w:rPr>
        <w:t xml:space="preserve">where </w:t>
      </w:r>
      <w:r w:rsidR="00210807">
        <w:rPr>
          <w:rFonts w:cs="Arial"/>
          <w:szCs w:val="28"/>
        </w:rPr>
        <w:t xml:space="preserve">it is both </w:t>
      </w:r>
      <w:r w:rsidR="00210807" w:rsidRPr="004747DD">
        <w:rPr>
          <w:rFonts w:cs="Arial"/>
          <w:szCs w:val="28"/>
        </w:rPr>
        <w:t xml:space="preserve">appropriate and necessary. </w:t>
      </w:r>
      <w:r>
        <w:rPr>
          <w:rFonts w:cs="Arial"/>
          <w:szCs w:val="28"/>
        </w:rPr>
        <w:t xml:space="preserve">The exclusion of a trans person from single or separate sex </w:t>
      </w:r>
      <w:r w:rsidR="003C4555">
        <w:rPr>
          <w:rFonts w:cs="Arial"/>
          <w:szCs w:val="28"/>
        </w:rPr>
        <w:t xml:space="preserve">services </w:t>
      </w:r>
      <w:r w:rsidR="00210807" w:rsidRPr="004747DD">
        <w:rPr>
          <w:rFonts w:cs="Arial"/>
          <w:szCs w:val="28"/>
        </w:rPr>
        <w:t>must be rationally connected to a legitimate aim. Where there are alternatives, the least discriminatory approach must be pursued</w:t>
      </w:r>
      <w:r w:rsidR="00210807">
        <w:rPr>
          <w:rFonts w:cs="Arial"/>
          <w:szCs w:val="28"/>
        </w:rPr>
        <w:t xml:space="preserve">, </w:t>
      </w:r>
      <w:r w:rsidR="00210807" w:rsidRPr="00EA1131">
        <w:rPr>
          <w:rFonts w:cs="Arial"/>
          <w:szCs w:val="28"/>
        </w:rPr>
        <w:t>strik</w:t>
      </w:r>
      <w:r w:rsidR="00210807">
        <w:rPr>
          <w:rFonts w:cs="Arial"/>
          <w:szCs w:val="28"/>
        </w:rPr>
        <w:t>ing</w:t>
      </w:r>
      <w:r w:rsidR="00210807" w:rsidRPr="00EA1131">
        <w:rPr>
          <w:rFonts w:cs="Arial"/>
          <w:szCs w:val="28"/>
        </w:rPr>
        <w:t xml:space="preserve"> a fair balance in the particular circumstances of each case between the relevant interests of trans people, service providers and other service users. </w:t>
      </w:r>
    </w:p>
    <w:p w14:paraId="487B65C8" w14:textId="77777777" w:rsidR="0029113D" w:rsidRPr="0029113D" w:rsidRDefault="0029113D" w:rsidP="00F00E14">
      <w:pPr>
        <w:pStyle w:val="ListParagraph"/>
        <w:rPr>
          <w:rFonts w:cs="Arial"/>
          <w:szCs w:val="28"/>
        </w:rPr>
      </w:pPr>
    </w:p>
    <w:p w14:paraId="40FC8B10" w14:textId="214B44FC" w:rsidR="0029113D" w:rsidRPr="000B527F" w:rsidRDefault="0029113D" w:rsidP="00F00E14">
      <w:pPr>
        <w:pStyle w:val="ListParagraph"/>
        <w:keepLines w:val="0"/>
        <w:numPr>
          <w:ilvl w:val="0"/>
          <w:numId w:val="36"/>
        </w:numPr>
        <w:spacing w:before="0"/>
        <w:contextualSpacing/>
        <w:rPr>
          <w:rFonts w:cs="Arial"/>
          <w:szCs w:val="28"/>
        </w:rPr>
      </w:pPr>
      <w:r>
        <w:t>Crucially, t</w:t>
      </w:r>
      <w:r w:rsidRPr="00D525E3">
        <w:t>he operation of these exceptions does not depend on the existence of a GRC, and they w</w:t>
      </w:r>
      <w:r>
        <w:t>ould</w:t>
      </w:r>
      <w:r w:rsidRPr="00D525E3">
        <w:t xml:space="preserve"> continue to operate as they do now </w:t>
      </w:r>
      <w:r w:rsidR="00035E8E">
        <w:t xml:space="preserve">– and have done since 2010 – </w:t>
      </w:r>
      <w:r>
        <w:t>should the draft Bill become law.</w:t>
      </w:r>
      <w:r w:rsidR="000B527F">
        <w:t xml:space="preserve"> We note that the EA 2010 became law several years after the GRA, and had the intention been for a GRC to be a pivotal factor in the operation of the exceptions, the EA 2010 could have been drafted as such – but </w:t>
      </w:r>
      <w:r w:rsidR="00CF4306">
        <w:t xml:space="preserve">it </w:t>
      </w:r>
      <w:r w:rsidR="000B527F">
        <w:t>was not.</w:t>
      </w:r>
    </w:p>
    <w:p w14:paraId="336FC3BF" w14:textId="77777777" w:rsidR="000B527F" w:rsidRPr="000B527F" w:rsidRDefault="000B527F" w:rsidP="00F00E14">
      <w:pPr>
        <w:pStyle w:val="ListParagraph"/>
        <w:rPr>
          <w:rFonts w:cs="Arial"/>
          <w:szCs w:val="28"/>
        </w:rPr>
      </w:pPr>
    </w:p>
    <w:p w14:paraId="61B5558B" w14:textId="2CB182A7" w:rsidR="000B527F" w:rsidRDefault="000B527F" w:rsidP="00F00E14">
      <w:pPr>
        <w:pStyle w:val="ListParagraph"/>
        <w:keepLines w:val="0"/>
        <w:numPr>
          <w:ilvl w:val="0"/>
          <w:numId w:val="36"/>
        </w:numPr>
        <w:spacing w:before="0"/>
        <w:contextualSpacing/>
        <w:rPr>
          <w:rFonts w:cs="Arial"/>
          <w:szCs w:val="28"/>
        </w:rPr>
      </w:pPr>
      <w:r>
        <w:rPr>
          <w:rFonts w:cs="Arial"/>
          <w:szCs w:val="28"/>
        </w:rPr>
        <w:t xml:space="preserve">We also note that evidence from providers of </w:t>
      </w:r>
      <w:r w:rsidR="00284A63">
        <w:rPr>
          <w:rFonts w:cs="Arial"/>
          <w:szCs w:val="28"/>
        </w:rPr>
        <w:t xml:space="preserve">existing trans-inclusive </w:t>
      </w:r>
      <w:r>
        <w:rPr>
          <w:rFonts w:cs="Arial"/>
          <w:szCs w:val="28"/>
        </w:rPr>
        <w:t xml:space="preserve">single-sex services to </w:t>
      </w:r>
      <w:r w:rsidR="00284A63">
        <w:rPr>
          <w:rFonts w:cs="Arial"/>
          <w:szCs w:val="28"/>
        </w:rPr>
        <w:t>the Scottish Go</w:t>
      </w:r>
      <w:r w:rsidR="00556D99">
        <w:rPr>
          <w:rFonts w:cs="Arial"/>
          <w:szCs w:val="28"/>
        </w:rPr>
        <w:t>vernment’s 2018 consultation did not identify</w:t>
      </w:r>
      <w:r w:rsidR="00284A63">
        <w:rPr>
          <w:rFonts w:cs="Arial"/>
          <w:szCs w:val="28"/>
        </w:rPr>
        <w:t xml:space="preserve"> any instances of men falsely claiming to be trans women in order to access single-sex services, and that </w:t>
      </w:r>
      <w:r w:rsidR="00DE0837">
        <w:rPr>
          <w:rFonts w:cs="Arial"/>
          <w:szCs w:val="28"/>
        </w:rPr>
        <w:t>access to these services is not based on sight of a service user’s birth certificate. Therefore, reform to the GRA will not impact on how they provide these services.</w:t>
      </w:r>
      <w:r w:rsidR="00DE0837">
        <w:rPr>
          <w:rStyle w:val="FootnoteReference"/>
          <w:rFonts w:cs="Arial"/>
          <w:szCs w:val="28"/>
        </w:rPr>
        <w:footnoteReference w:id="8"/>
      </w:r>
      <w:r w:rsidR="00DE0837">
        <w:rPr>
          <w:rFonts w:cs="Arial"/>
          <w:szCs w:val="28"/>
        </w:rPr>
        <w:t xml:space="preserve"> </w:t>
      </w:r>
    </w:p>
    <w:p w14:paraId="049FA990" w14:textId="77777777" w:rsidR="00B242C6" w:rsidRPr="00B242C6" w:rsidRDefault="00B242C6" w:rsidP="00F00E14">
      <w:pPr>
        <w:pStyle w:val="ListParagraph"/>
        <w:rPr>
          <w:rFonts w:cs="Arial"/>
          <w:szCs w:val="28"/>
        </w:rPr>
      </w:pPr>
    </w:p>
    <w:p w14:paraId="7A8942AB" w14:textId="77777777" w:rsidR="00AC064B" w:rsidRDefault="00AC064B" w:rsidP="00F00E14">
      <w:pPr>
        <w:keepLines w:val="0"/>
        <w:spacing w:before="0" w:after="160"/>
        <w:rPr>
          <w:rFonts w:asciiTheme="majorHAnsi" w:eastAsiaTheme="majorEastAsia" w:hAnsiTheme="majorHAnsi" w:cstheme="majorBidi"/>
          <w:b/>
          <w:color w:val="0B4E60" w:themeColor="text2"/>
          <w:sz w:val="36"/>
          <w:szCs w:val="32"/>
        </w:rPr>
      </w:pPr>
      <w:r>
        <w:br w:type="page"/>
      </w:r>
    </w:p>
    <w:p w14:paraId="275D5B22" w14:textId="0E62ACBB" w:rsidR="00390713" w:rsidRPr="00B91A3D" w:rsidRDefault="00390713" w:rsidP="00F00E14">
      <w:pPr>
        <w:pStyle w:val="Heading2"/>
        <w:spacing w:line="276" w:lineRule="auto"/>
      </w:pPr>
      <w:bookmarkStart w:id="11" w:name="_Toc34403602"/>
      <w:r>
        <w:lastRenderedPageBreak/>
        <w:t>Question 5</w:t>
      </w:r>
      <w:bookmarkEnd w:id="11"/>
    </w:p>
    <w:p w14:paraId="437DDF53" w14:textId="77777777" w:rsidR="00390713" w:rsidRDefault="00390713" w:rsidP="00F00E14">
      <w:r>
        <w:t xml:space="preserve">Do you have any comments on the draft Impact Assessments? </w:t>
      </w:r>
    </w:p>
    <w:p w14:paraId="4EED40ED" w14:textId="77777777" w:rsidR="00390713" w:rsidRDefault="00390713" w:rsidP="00F00E14">
      <w:pPr>
        <w:keepLines w:val="0"/>
        <w:spacing w:before="0" w:after="160"/>
        <w:rPr>
          <w:rStyle w:val="Howtousethistemplate"/>
          <w:rFonts w:ascii="MS Gothic" w:eastAsia="MS Gothic" w:hAnsi="MS Gothic" w:cs="MS Gothic"/>
        </w:rPr>
      </w:pPr>
      <w:r>
        <w:t xml:space="preserve">Yes </w:t>
      </w:r>
      <w:r>
        <w:rPr>
          <w:rFonts w:ascii="Segoe UI Symbol" w:hAnsi="Segoe UI Symbol" w:cs="Segoe UI Symbol"/>
        </w:rPr>
        <w:t>☐</w:t>
      </w:r>
      <w:r>
        <w:br/>
        <w:t xml:space="preserve">No </w:t>
      </w:r>
      <w:r w:rsidRPr="0039242C">
        <w:rPr>
          <w:rFonts w:ascii="Segoe UI Symbol" w:hAnsi="Segoe UI Symbol" w:cs="Segoe UI Symbol"/>
        </w:rPr>
        <w:t>✔</w:t>
      </w:r>
    </w:p>
    <w:p w14:paraId="7EE0B2C3" w14:textId="77777777" w:rsidR="00A26DF5" w:rsidRDefault="00A26DF5" w:rsidP="00F00E14">
      <w:pPr>
        <w:pStyle w:val="Heading1"/>
        <w:spacing w:line="276" w:lineRule="auto"/>
      </w:pPr>
      <w:bookmarkStart w:id="12" w:name="_Toc34403603"/>
      <w:r>
        <w:lastRenderedPageBreak/>
        <w:t>Contacts</w:t>
      </w:r>
      <w:bookmarkEnd w:id="12"/>
    </w:p>
    <w:p w14:paraId="0D36EDE9" w14:textId="77777777" w:rsidR="00B740F1" w:rsidRPr="009D0BF2" w:rsidRDefault="00B740F1" w:rsidP="00F00E14">
      <w:r w:rsidRPr="009D0BF2">
        <w:t xml:space="preserve">This publication and related equality and human rights resources are available from </w:t>
      </w:r>
      <w:hyperlink r:id="rId14" w:history="1">
        <w:r w:rsidRPr="008116DB">
          <w:rPr>
            <w:rStyle w:val="Hyperlink"/>
            <w:kern w:val="28"/>
          </w:rPr>
          <w:t>our website</w:t>
        </w:r>
      </w:hyperlink>
      <w:r>
        <w:t>.</w:t>
      </w:r>
    </w:p>
    <w:p w14:paraId="0F51BBEB" w14:textId="77777777" w:rsidR="00B740F1" w:rsidRDefault="00B740F1" w:rsidP="00F00E14">
      <w:r w:rsidRPr="009D0BF2">
        <w:t xml:space="preserve">Questions and comments regarding this publication may be addressed to: </w:t>
      </w:r>
      <w:hyperlink r:id="rId15" w:history="1">
        <w:r w:rsidRPr="00671F8C">
          <w:rPr>
            <w:rStyle w:val="Hyperlink"/>
            <w:kern w:val="28"/>
          </w:rPr>
          <w:t>correspondence@equalityhumanrights.com</w:t>
        </w:r>
      </w:hyperlink>
      <w:r w:rsidRPr="009D0BF2">
        <w:t xml:space="preserve">. </w:t>
      </w:r>
      <w:r>
        <w:t>We welcome</w:t>
      </w:r>
      <w:r w:rsidRPr="009D0BF2">
        <w:t xml:space="preserve"> your feedback</w:t>
      </w:r>
      <w:r>
        <w:t>.</w:t>
      </w:r>
    </w:p>
    <w:p w14:paraId="4DA2E9A8" w14:textId="77777777" w:rsidR="00B740F1" w:rsidRPr="00B740F1" w:rsidRDefault="00B740F1" w:rsidP="00F00E14">
      <w:pPr>
        <w:rPr>
          <w:rStyle w:val="Hyperlink"/>
          <w:kern w:val="28"/>
          <w:u w:val="none"/>
        </w:rPr>
      </w:pPr>
      <w:r w:rsidRPr="00D74E35">
        <w:t xml:space="preserve">For information on accessing </w:t>
      </w:r>
      <w:r>
        <w:t>one of our</w:t>
      </w:r>
      <w:r w:rsidRPr="00D74E35">
        <w:t xml:space="preserve"> publication</w:t>
      </w:r>
      <w:r>
        <w:t>s</w:t>
      </w:r>
      <w:r w:rsidRPr="00D74E35">
        <w:t xml:space="preserve"> in an alternative format, please contact: </w:t>
      </w:r>
      <w:hyperlink r:id="rId16" w:history="1">
        <w:r w:rsidRPr="00D74E35">
          <w:rPr>
            <w:rStyle w:val="Hyperlink"/>
            <w:kern w:val="28"/>
          </w:rPr>
          <w:t>correspondence@equalityhumanrights.com</w:t>
        </w:r>
      </w:hyperlink>
      <w:r w:rsidRPr="00D74E35">
        <w:rPr>
          <w:rStyle w:val="Hyperlink"/>
          <w:kern w:val="28"/>
        </w:rPr>
        <w:t>.</w:t>
      </w:r>
    </w:p>
    <w:p w14:paraId="7DEAB036" w14:textId="77777777" w:rsidR="00B740F1" w:rsidRPr="008116DB" w:rsidRDefault="00B740F1" w:rsidP="00F00E14">
      <w:pPr>
        <w:rPr>
          <w:rStyle w:val="Hyperlink"/>
          <w:kern w:val="28"/>
        </w:rPr>
      </w:pPr>
      <w:r>
        <w:rPr>
          <w:rStyle w:val="Hyperlink"/>
          <w:kern w:val="28"/>
        </w:rPr>
        <w:t xml:space="preserve">Keep up to date with our latest news, events and publications by </w:t>
      </w:r>
      <w:hyperlink r:id="rId17" w:history="1">
        <w:r w:rsidRPr="008116DB">
          <w:rPr>
            <w:rStyle w:val="Hyperlink"/>
            <w:kern w:val="28"/>
          </w:rPr>
          <w:t>signing up to our e-newsletter</w:t>
        </w:r>
      </w:hyperlink>
      <w:r>
        <w:rPr>
          <w:rStyle w:val="Hyperlink"/>
          <w:kern w:val="28"/>
        </w:rPr>
        <w:t>.</w:t>
      </w:r>
    </w:p>
    <w:p w14:paraId="2F77142F" w14:textId="77777777" w:rsidR="00B740F1" w:rsidRPr="00E460A5" w:rsidRDefault="00B740F1" w:rsidP="00F00E14">
      <w:pPr>
        <w:pStyle w:val="Heading2"/>
        <w:spacing w:line="276" w:lineRule="auto"/>
      </w:pPr>
      <w:bookmarkStart w:id="13" w:name="_Toc34403604"/>
      <w:r w:rsidRPr="00E460A5">
        <w:t>EASS</w:t>
      </w:r>
      <w:bookmarkEnd w:id="13"/>
    </w:p>
    <w:p w14:paraId="064E1FA0" w14:textId="77777777" w:rsidR="00B740F1" w:rsidRPr="009D0BF2" w:rsidRDefault="00B740F1" w:rsidP="00F00E14">
      <w:r w:rsidRPr="009D0BF2">
        <w:t xml:space="preserve">For advice, information or guidance on equality, discrimination or human rights issues, please contact the </w:t>
      </w:r>
      <w:hyperlink r:id="rId18" w:history="1">
        <w:r w:rsidRPr="008116DB">
          <w:rPr>
            <w:rStyle w:val="Hyperlink"/>
            <w:kern w:val="28"/>
          </w:rPr>
          <w:t>Equality Advisory and Support Service</w:t>
        </w:r>
      </w:hyperlink>
      <w:r w:rsidRPr="009D0BF2">
        <w:t>, a free and independent service.</w:t>
      </w:r>
    </w:p>
    <w:p w14:paraId="7E1FFAB6" w14:textId="77777777" w:rsidR="00B740F1" w:rsidRPr="009D0BF2" w:rsidRDefault="00B740F1" w:rsidP="00F00E14">
      <w:pPr>
        <w:rPr>
          <w:color w:val="000000"/>
        </w:rPr>
      </w:pPr>
      <w:r w:rsidRPr="009D0BF2">
        <w:rPr>
          <w:color w:val="000000"/>
        </w:rPr>
        <w:t xml:space="preserve">Telephone </w:t>
      </w:r>
      <w:r w:rsidRPr="009D0BF2">
        <w:rPr>
          <w:color w:val="000000"/>
        </w:rPr>
        <w:tab/>
        <w:t>0808 800 0082</w:t>
      </w:r>
    </w:p>
    <w:p w14:paraId="2BE22429" w14:textId="77777777" w:rsidR="00B740F1" w:rsidRPr="009D0BF2" w:rsidRDefault="00B740F1" w:rsidP="00F00E14">
      <w:pPr>
        <w:rPr>
          <w:color w:val="000000"/>
        </w:rPr>
      </w:pPr>
      <w:r w:rsidRPr="009D0BF2">
        <w:rPr>
          <w:color w:val="000000"/>
        </w:rPr>
        <w:t xml:space="preserve">Textphone </w:t>
      </w:r>
      <w:r w:rsidRPr="009D0BF2">
        <w:rPr>
          <w:color w:val="000000"/>
        </w:rPr>
        <w:tab/>
        <w:t>0808 800 0084</w:t>
      </w:r>
    </w:p>
    <w:p w14:paraId="1D91FF1B" w14:textId="77777777" w:rsidR="00B740F1" w:rsidRPr="009D0BF2" w:rsidRDefault="00B740F1" w:rsidP="00F00E14">
      <w:pPr>
        <w:rPr>
          <w:color w:val="000000"/>
        </w:rPr>
      </w:pPr>
      <w:r>
        <w:rPr>
          <w:color w:val="000000"/>
        </w:rPr>
        <w:t xml:space="preserve">Hours </w:t>
      </w:r>
      <w:r>
        <w:rPr>
          <w:color w:val="000000"/>
        </w:rPr>
        <w:tab/>
      </w:r>
      <w:r>
        <w:rPr>
          <w:color w:val="000000"/>
        </w:rPr>
        <w:tab/>
        <w:t>09:00 to 19</w:t>
      </w:r>
      <w:r w:rsidRPr="009D0BF2">
        <w:rPr>
          <w:color w:val="000000"/>
        </w:rPr>
        <w:t>:00 (Monday to Friday)</w:t>
      </w:r>
    </w:p>
    <w:p w14:paraId="04F469DB" w14:textId="77777777" w:rsidR="00B740F1" w:rsidRPr="009D0BF2" w:rsidRDefault="00B740F1" w:rsidP="00F00E14">
      <w:pPr>
        <w:rPr>
          <w:color w:val="000000"/>
        </w:rPr>
      </w:pPr>
      <w:r w:rsidRPr="009D0BF2">
        <w:rPr>
          <w:color w:val="000000"/>
        </w:rPr>
        <w:tab/>
      </w:r>
      <w:r w:rsidRPr="009D0BF2">
        <w:rPr>
          <w:color w:val="000000"/>
        </w:rPr>
        <w:tab/>
        <w:t>10:00 to 14:00 (Saturday)</w:t>
      </w:r>
    </w:p>
    <w:p w14:paraId="2F8DAF21" w14:textId="77777777" w:rsidR="00B740F1" w:rsidRPr="004E2C9C" w:rsidRDefault="00B740F1" w:rsidP="00F00E14">
      <w:pPr>
        <w:rPr>
          <w:color w:val="000000"/>
        </w:rPr>
      </w:pPr>
      <w:r w:rsidRPr="009D0BF2">
        <w:rPr>
          <w:color w:val="000000"/>
        </w:rPr>
        <w:t xml:space="preserve">Post </w:t>
      </w:r>
      <w:r w:rsidRPr="009D0BF2">
        <w:rPr>
          <w:color w:val="000000"/>
        </w:rPr>
        <w:tab/>
      </w:r>
      <w:r w:rsidRPr="009D0BF2">
        <w:rPr>
          <w:color w:val="000000"/>
        </w:rPr>
        <w:tab/>
        <w:t xml:space="preserve">FREEPOST </w:t>
      </w:r>
      <w:r>
        <w:rPr>
          <w:color w:val="000000"/>
        </w:rPr>
        <w:t xml:space="preserve">EASS HELPLINE </w:t>
      </w:r>
      <w:r w:rsidRPr="009D0BF2">
        <w:rPr>
          <w:color w:val="000000"/>
        </w:rPr>
        <w:t>FPN</w:t>
      </w:r>
      <w:r>
        <w:rPr>
          <w:color w:val="000000"/>
        </w:rPr>
        <w:t>6521</w:t>
      </w:r>
    </w:p>
    <w:p w14:paraId="69846425" w14:textId="77777777" w:rsidR="00B740F1" w:rsidRPr="009D0BF2" w:rsidRDefault="00B740F1" w:rsidP="00F00E14">
      <w:pPr>
        <w:spacing w:before="400"/>
      </w:pPr>
      <w:r>
        <w:t xml:space="preserve">© </w:t>
      </w:r>
      <w:r w:rsidR="00390713">
        <w:t xml:space="preserve">2020 </w:t>
      </w:r>
      <w:r w:rsidRPr="009D0BF2">
        <w:t>Equality and Human Rights Commission</w:t>
      </w:r>
    </w:p>
    <w:p w14:paraId="1702D382" w14:textId="77777777" w:rsidR="00B740F1" w:rsidRDefault="00B740F1" w:rsidP="00F00E14">
      <w:r>
        <w:t xml:space="preserve">Published </w:t>
      </w:r>
      <w:r w:rsidR="00390713">
        <w:t>March 2020</w:t>
      </w:r>
    </w:p>
    <w:p w14:paraId="6278E390" w14:textId="77777777" w:rsidR="00155E46" w:rsidRPr="00B740F1" w:rsidRDefault="00155E46" w:rsidP="00F00E14">
      <w:pPr>
        <w:rPr>
          <w:b/>
        </w:rPr>
      </w:pPr>
    </w:p>
    <w:sectPr w:rsidR="00155E46" w:rsidRPr="00B740F1" w:rsidSect="00FB7D65">
      <w:headerReference w:type="default" r:id="rId19"/>
      <w:footerReference w:type="even" r:id="rId20"/>
      <w:footerReference w:type="default" r:id="rId21"/>
      <w:headerReference w:type="first" r:id="rId22"/>
      <w:footerReference w:type="first" r:id="rId23"/>
      <w:pgSz w:w="11906" w:h="16838"/>
      <w:pgMar w:top="1814" w:right="1644" w:bottom="567" w:left="1644" w:header="340" w:footer="454"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51CA6" w14:textId="77777777" w:rsidR="00AB5CC7" w:rsidRDefault="00AB5CC7" w:rsidP="005E4512">
      <w:r>
        <w:separator/>
      </w:r>
    </w:p>
    <w:p w14:paraId="1B08E998" w14:textId="77777777" w:rsidR="00AB5CC7" w:rsidRDefault="00AB5CC7"/>
  </w:endnote>
  <w:endnote w:type="continuationSeparator" w:id="0">
    <w:p w14:paraId="60FC97E5" w14:textId="77777777" w:rsidR="00AB5CC7" w:rsidRDefault="00AB5CC7" w:rsidP="005E4512">
      <w:r>
        <w:continuationSeparator/>
      </w:r>
    </w:p>
    <w:p w14:paraId="555C0BA6" w14:textId="77777777" w:rsidR="00AB5CC7" w:rsidRDefault="00AB5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2E74C" w14:textId="77777777" w:rsidR="00325310" w:rsidRDefault="00325310">
    <w:pPr>
      <w:pStyle w:val="Footer"/>
    </w:pPr>
  </w:p>
  <w:p w14:paraId="71803E8D" w14:textId="77777777" w:rsidR="00B751E2" w:rsidRDefault="00B751E2"/>
  <w:p w14:paraId="5FEC8F72" w14:textId="77777777" w:rsidR="00213015" w:rsidRDefault="002130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0FD51" w14:textId="7E90F02E" w:rsidR="00213015" w:rsidRPr="00FB7D65" w:rsidRDefault="00AB5CC7" w:rsidP="00FB7D65">
    <w:pPr>
      <w:pStyle w:val="Footer"/>
      <w:pBdr>
        <w:top w:val="single" w:sz="12" w:space="4" w:color="0B4E60" w:themeColor="text2"/>
      </w:pBdr>
      <w:ind w:left="-851" w:right="-738"/>
      <w:jc w:val="center"/>
    </w:pPr>
    <w:sdt>
      <w:sdtPr>
        <w:id w:val="-1629386642"/>
        <w:docPartObj>
          <w:docPartGallery w:val="Page Numbers (Bottom of Page)"/>
          <w:docPartUnique/>
        </w:docPartObj>
      </w:sdtPr>
      <w:sdtEndPr>
        <w:rPr>
          <w:noProof/>
        </w:rPr>
      </w:sdtEndPr>
      <w:sdtContent>
        <w:r w:rsidR="008E6A27" w:rsidRPr="00325310">
          <w:fldChar w:fldCharType="begin"/>
        </w:r>
        <w:r w:rsidR="008E6A27" w:rsidRPr="00325310">
          <w:instrText xml:space="preserve"> PAGE   \* MERGEFORMAT </w:instrText>
        </w:r>
        <w:r w:rsidR="008E6A27" w:rsidRPr="00325310">
          <w:fldChar w:fldCharType="separate"/>
        </w:r>
        <w:r w:rsidR="00F34098">
          <w:rPr>
            <w:noProof/>
          </w:rPr>
          <w:t>16</w:t>
        </w:r>
        <w:r w:rsidR="008E6A27" w:rsidRPr="00325310">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F1A60" w14:textId="77777777" w:rsidR="008E6A27" w:rsidRPr="00CF43D8" w:rsidRDefault="00AB5CC7" w:rsidP="00A329F4">
    <w:pPr>
      <w:pStyle w:val="Footer"/>
      <w:ind w:right="-880"/>
      <w:jc w:val="right"/>
      <w:rPr>
        <w:b/>
        <w:color w:val="009C98" w:themeColor="accent1"/>
      </w:rPr>
    </w:pPr>
    <w:hyperlink r:id="rId1" w:history="1">
      <w:r w:rsidR="000E6F22" w:rsidRPr="00CF43D8">
        <w:rPr>
          <w:rStyle w:val="Hyperlink"/>
          <w:b/>
          <w:color w:val="009C98" w:themeColor="accent1"/>
          <w:u w:val="none"/>
        </w:rPr>
        <w:t>equalityhumanrights.com</w:t>
      </w:r>
    </w:hyperlink>
  </w:p>
  <w:p w14:paraId="16739D7C" w14:textId="77777777" w:rsidR="008E6A27" w:rsidRDefault="008E6A27" w:rsidP="00B54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61287" w14:textId="77777777" w:rsidR="00AB5CC7" w:rsidRPr="00A91B02" w:rsidRDefault="00AB5CC7" w:rsidP="00A91B02">
      <w:pPr>
        <w:pStyle w:val="Footer"/>
        <w:pBdr>
          <w:between w:val="single" w:sz="18" w:space="1" w:color="009C98" w:themeColor="accent1"/>
        </w:pBdr>
      </w:pPr>
      <w:r>
        <w:separator/>
      </w:r>
    </w:p>
    <w:p w14:paraId="0C117E84" w14:textId="77777777" w:rsidR="00AB5CC7" w:rsidRDefault="00AB5CC7"/>
  </w:footnote>
  <w:footnote w:type="continuationSeparator" w:id="0">
    <w:p w14:paraId="2FC2758E" w14:textId="77777777" w:rsidR="00AB5CC7" w:rsidRDefault="00AB5CC7" w:rsidP="005E4512">
      <w:r>
        <w:continuationSeparator/>
      </w:r>
    </w:p>
    <w:p w14:paraId="52248E6B" w14:textId="77777777" w:rsidR="00AB5CC7" w:rsidRDefault="00AB5CC7"/>
  </w:footnote>
  <w:footnote w:id="1">
    <w:p w14:paraId="62CE74CB" w14:textId="77777777" w:rsidR="00972469" w:rsidRDefault="00972469">
      <w:pPr>
        <w:pStyle w:val="FootnoteText"/>
      </w:pPr>
      <w:r>
        <w:rPr>
          <w:rStyle w:val="FootnoteReference"/>
        </w:rPr>
        <w:footnoteRef/>
      </w:r>
      <w:r>
        <w:t xml:space="preserve"> </w:t>
      </w:r>
      <w:hyperlink r:id="rId1" w:history="1">
        <w:r w:rsidRPr="00704220">
          <w:rPr>
            <w:rStyle w:val="Hyperlink"/>
            <w:rFonts w:cs="Arial"/>
            <w:szCs w:val="28"/>
          </w:rPr>
          <w:t>Our response to the Scottish Government’s previous consultation on gender recognition reform</w:t>
        </w:r>
        <w:r>
          <w:rPr>
            <w:rStyle w:val="Hyperlink"/>
            <w:rFonts w:cs="Arial"/>
            <w:szCs w:val="28"/>
          </w:rPr>
          <w:t>, which provides more specific detail,</w:t>
        </w:r>
        <w:r w:rsidRPr="00704220">
          <w:rPr>
            <w:rStyle w:val="Hyperlink"/>
            <w:rFonts w:cs="Arial"/>
            <w:szCs w:val="28"/>
          </w:rPr>
          <w:t xml:space="preserve"> is available on our website</w:t>
        </w:r>
      </w:hyperlink>
      <w:r>
        <w:rPr>
          <w:rFonts w:cs="Arial"/>
          <w:szCs w:val="28"/>
        </w:rPr>
        <w:t>.</w:t>
      </w:r>
    </w:p>
  </w:footnote>
  <w:footnote w:id="2">
    <w:p w14:paraId="2563767A" w14:textId="2654BE22" w:rsidR="008B4F9C" w:rsidRPr="00B73AAC" w:rsidRDefault="008B4F9C" w:rsidP="008B4F9C">
      <w:pPr>
        <w:pStyle w:val="FootnoteText"/>
        <w:rPr>
          <w:rFonts w:cs="Arial"/>
          <w:highlight w:val="yellow"/>
        </w:rPr>
      </w:pPr>
      <w:r w:rsidRPr="008B4F9C">
        <w:rPr>
          <w:rStyle w:val="FootnoteReference"/>
          <w:rFonts w:cs="Arial"/>
          <w:color w:val="auto"/>
        </w:rPr>
        <w:footnoteRef/>
      </w:r>
      <w:r w:rsidRPr="008B4F9C">
        <w:rPr>
          <w:rFonts w:cs="Arial"/>
          <w:color w:val="auto"/>
        </w:rPr>
        <w:t xml:space="preserve"> </w:t>
      </w:r>
      <w:hyperlink r:id="rId2" w:history="1">
        <w:r w:rsidRPr="008B4F9C">
          <w:rPr>
            <w:rStyle w:val="Hyperlink"/>
            <w:rFonts w:cs="Arial"/>
          </w:rPr>
          <w:t>This</w:t>
        </w:r>
        <w:r w:rsidR="004344FA">
          <w:rPr>
            <w:rStyle w:val="Hyperlink"/>
            <w:rFonts w:cs="Arial"/>
          </w:rPr>
          <w:t xml:space="preserve"> is clear from relevant European case law, which is</w:t>
        </w:r>
        <w:r w:rsidRPr="008B4F9C">
          <w:rPr>
            <w:rStyle w:val="Hyperlink"/>
            <w:rFonts w:cs="Arial"/>
          </w:rPr>
          <w:t xml:space="preserve"> </w:t>
        </w:r>
        <w:r w:rsidR="004344FA">
          <w:rPr>
            <w:rStyle w:val="Hyperlink"/>
            <w:rFonts w:cs="Arial"/>
          </w:rPr>
          <w:t>summarised in this document</w:t>
        </w:r>
      </w:hyperlink>
      <w:r>
        <w:rPr>
          <w:rFonts w:cs="Arial"/>
          <w:color w:val="auto"/>
        </w:rPr>
        <w:t>.</w:t>
      </w:r>
      <w:r w:rsidRPr="008B4F9C">
        <w:rPr>
          <w:rFonts w:cs="Arial"/>
          <w:color w:val="auto"/>
        </w:rPr>
        <w:t xml:space="preserve"> </w:t>
      </w:r>
    </w:p>
  </w:footnote>
  <w:footnote w:id="3">
    <w:p w14:paraId="171A13C7" w14:textId="1FCBFD64" w:rsidR="004344FA" w:rsidRDefault="004344FA">
      <w:pPr>
        <w:pStyle w:val="FootnoteText"/>
      </w:pPr>
      <w:r w:rsidRPr="00F00E14">
        <w:rPr>
          <w:rStyle w:val="FootnoteReference"/>
          <w:color w:val="004E4B" w:themeColor="accent1" w:themeShade="80"/>
        </w:rPr>
        <w:footnoteRef/>
      </w:r>
      <w:r w:rsidRPr="00F00E14">
        <w:rPr>
          <w:color w:val="004E4B" w:themeColor="accent1" w:themeShade="80"/>
        </w:rPr>
        <w:t xml:space="preserve"> However, we acknowledge that in practice </w:t>
      </w:r>
      <w:r w:rsidR="00EE0726">
        <w:rPr>
          <w:color w:val="004E4B" w:themeColor="accent1" w:themeShade="80"/>
        </w:rPr>
        <w:t>‘</w:t>
      </w:r>
      <w:r w:rsidR="00DB48AD" w:rsidRPr="00F00E14">
        <w:rPr>
          <w:color w:val="004E4B" w:themeColor="accent1" w:themeShade="80"/>
        </w:rPr>
        <w:t>sex</w:t>
      </w:r>
      <w:r w:rsidR="00EE0726">
        <w:rPr>
          <w:color w:val="004E4B" w:themeColor="accent1" w:themeShade="80"/>
        </w:rPr>
        <w:t>’</w:t>
      </w:r>
      <w:r w:rsidR="00DB48AD" w:rsidRPr="00F00E14">
        <w:rPr>
          <w:color w:val="004E4B" w:themeColor="accent1" w:themeShade="80"/>
        </w:rPr>
        <w:t xml:space="preserve"> and </w:t>
      </w:r>
      <w:r w:rsidR="00EE0726">
        <w:rPr>
          <w:color w:val="004E4B" w:themeColor="accent1" w:themeShade="80"/>
        </w:rPr>
        <w:t>‘</w:t>
      </w:r>
      <w:r w:rsidR="00DB48AD" w:rsidRPr="00F00E14">
        <w:rPr>
          <w:color w:val="004E4B" w:themeColor="accent1" w:themeShade="80"/>
        </w:rPr>
        <w:t>gender</w:t>
      </w:r>
      <w:r w:rsidR="00EE0726">
        <w:rPr>
          <w:color w:val="004E4B" w:themeColor="accent1" w:themeShade="80"/>
        </w:rPr>
        <w:t>’</w:t>
      </w:r>
      <w:r w:rsidRPr="00F00E14">
        <w:rPr>
          <w:color w:val="004E4B" w:themeColor="accent1" w:themeShade="80"/>
        </w:rPr>
        <w:t xml:space="preserve"> are often used interchangeably, including by public authorities.</w:t>
      </w:r>
    </w:p>
  </w:footnote>
  <w:footnote w:id="4">
    <w:p w14:paraId="4DA12BEB" w14:textId="77777777" w:rsidR="00F13B8E" w:rsidRPr="00F00E14" w:rsidRDefault="008B4F9C" w:rsidP="008B4F9C">
      <w:pPr>
        <w:pStyle w:val="FootnoteText"/>
        <w:tabs>
          <w:tab w:val="left" w:pos="1313"/>
        </w:tabs>
        <w:rPr>
          <w:rFonts w:cs="Arial"/>
          <w:color w:val="004E4B" w:themeColor="accent1" w:themeShade="80"/>
          <w:szCs w:val="24"/>
        </w:rPr>
      </w:pPr>
      <w:r w:rsidRPr="00F00E14">
        <w:rPr>
          <w:rStyle w:val="FootnoteReference"/>
          <w:rFonts w:cs="Arial"/>
          <w:color w:val="004E4B" w:themeColor="accent1" w:themeShade="80"/>
          <w:szCs w:val="24"/>
        </w:rPr>
        <w:footnoteRef/>
      </w:r>
      <w:r w:rsidRPr="00F00E14">
        <w:rPr>
          <w:rFonts w:cs="Arial"/>
          <w:color w:val="004E4B" w:themeColor="accent1" w:themeShade="80"/>
          <w:szCs w:val="24"/>
        </w:rPr>
        <w:t xml:space="preserve"> The Explanatory Notes to the Act make clear that a person does not have to be under medical supervision to come within the definition of gender reassignment.</w:t>
      </w:r>
      <w:r w:rsidR="003C36C8" w:rsidRPr="00F00E14">
        <w:rPr>
          <w:rFonts w:cs="Arial"/>
          <w:color w:val="004E4B" w:themeColor="accent1" w:themeShade="80"/>
          <w:szCs w:val="24"/>
        </w:rPr>
        <w:t xml:space="preserve"> </w:t>
      </w:r>
      <w:r w:rsidR="00156D84" w:rsidRPr="00F00E14">
        <w:rPr>
          <w:rFonts w:cs="Arial"/>
          <w:color w:val="004E4B" w:themeColor="accent1" w:themeShade="80"/>
          <w:szCs w:val="24"/>
        </w:rPr>
        <w:t>The gender reassignment protected characteristic does not cover non-binary gender identities.</w:t>
      </w:r>
      <w:r w:rsidR="00405715" w:rsidRPr="00F00E14">
        <w:rPr>
          <w:rFonts w:cs="Arial"/>
          <w:color w:val="004E4B" w:themeColor="accent1" w:themeShade="80"/>
          <w:szCs w:val="24"/>
        </w:rPr>
        <w:t xml:space="preserve"> </w:t>
      </w:r>
    </w:p>
    <w:p w14:paraId="73C4DAEB" w14:textId="0125E9C0" w:rsidR="003C36C8" w:rsidRPr="006A541D" w:rsidRDefault="00405715" w:rsidP="008B4F9C">
      <w:pPr>
        <w:pStyle w:val="FootnoteText"/>
        <w:tabs>
          <w:tab w:val="left" w:pos="1313"/>
        </w:tabs>
        <w:rPr>
          <w:rFonts w:cs="Arial"/>
          <w:color w:val="auto"/>
          <w:sz w:val="16"/>
        </w:rPr>
      </w:pPr>
      <w:r w:rsidRPr="00F00E14">
        <w:rPr>
          <w:rFonts w:cs="Arial"/>
          <w:color w:val="004E4B" w:themeColor="accent1" w:themeShade="80"/>
          <w:szCs w:val="24"/>
        </w:rPr>
        <w:t>It’s also worth noting that language has evolved since the passage of EA 2010, which used the term ‘transsexual’ to describe someone who has the protected characteristic of gender reassignment. Transsexual is now generally considered to be an outdated term and is not used by most trans people.</w:t>
      </w:r>
      <w:r w:rsidR="00F13B8E" w:rsidRPr="00F00E14">
        <w:rPr>
          <w:rFonts w:cs="Arial"/>
          <w:color w:val="004E4B" w:themeColor="accent1" w:themeShade="80"/>
          <w:szCs w:val="24"/>
        </w:rPr>
        <w:t xml:space="preserve"> We use the term ‘trans’ to refer to a person with the protected characteristic of gender reassignment.</w:t>
      </w:r>
    </w:p>
  </w:footnote>
  <w:footnote w:id="5">
    <w:p w14:paraId="620F56D7" w14:textId="77777777" w:rsidR="008B4F9C" w:rsidRPr="00F00E14" w:rsidRDefault="008B4F9C" w:rsidP="008B4F9C">
      <w:pPr>
        <w:pStyle w:val="FootnoteText"/>
        <w:rPr>
          <w:rFonts w:cs="Arial"/>
          <w:color w:val="auto"/>
          <w:szCs w:val="24"/>
          <w:highlight w:val="yellow"/>
        </w:rPr>
      </w:pPr>
      <w:r w:rsidRPr="00F00E14">
        <w:rPr>
          <w:rStyle w:val="FootnoteReference"/>
          <w:rFonts w:cs="Arial"/>
          <w:color w:val="004E4B" w:themeColor="accent1" w:themeShade="80"/>
          <w:szCs w:val="24"/>
        </w:rPr>
        <w:footnoteRef/>
      </w:r>
      <w:r w:rsidRPr="00F00E14">
        <w:rPr>
          <w:rFonts w:cs="Arial"/>
          <w:color w:val="004E4B" w:themeColor="accent1" w:themeShade="80"/>
          <w:szCs w:val="24"/>
        </w:rPr>
        <w:t xml:space="preserve"> The one exception to this is the provision relating to solemnisation of marriage through religious ceremony in Part 6</w:t>
      </w:r>
      <w:r w:rsidR="00401604" w:rsidRPr="00F00E14">
        <w:rPr>
          <w:rFonts w:cs="Arial"/>
          <w:color w:val="004E4B" w:themeColor="accent1" w:themeShade="80"/>
          <w:szCs w:val="24"/>
        </w:rPr>
        <w:t>ZA</w:t>
      </w:r>
      <w:r w:rsidRPr="00F00E14">
        <w:rPr>
          <w:rFonts w:cs="Arial"/>
          <w:color w:val="004E4B" w:themeColor="accent1" w:themeShade="80"/>
          <w:szCs w:val="24"/>
        </w:rPr>
        <w:t xml:space="preserve"> of Schedule 3.</w:t>
      </w:r>
    </w:p>
  </w:footnote>
  <w:footnote w:id="6">
    <w:p w14:paraId="2DE8518A" w14:textId="77777777" w:rsidR="009718D1" w:rsidRDefault="009718D1" w:rsidP="009718D1">
      <w:pPr>
        <w:pStyle w:val="FootnoteText"/>
      </w:pPr>
      <w:r>
        <w:rPr>
          <w:rStyle w:val="FootnoteReference"/>
        </w:rPr>
        <w:footnoteRef/>
      </w:r>
      <w:r>
        <w:t xml:space="preserve"> LGBT Foundation, ‘</w:t>
      </w:r>
      <w:hyperlink r:id="rId3" w:history="1">
        <w:r w:rsidRPr="009718D1">
          <w:rPr>
            <w:rStyle w:val="Hyperlink"/>
          </w:rPr>
          <w:t>Transforming outcomes: a review of the needs and assets of the trans community</w:t>
        </w:r>
      </w:hyperlink>
      <w:r>
        <w:t>’.</w:t>
      </w:r>
    </w:p>
  </w:footnote>
  <w:footnote w:id="7">
    <w:p w14:paraId="390692C4" w14:textId="5ECC9BBA" w:rsidR="00A75E70" w:rsidRDefault="00A75E70">
      <w:pPr>
        <w:pStyle w:val="FootnoteText"/>
      </w:pPr>
      <w:r>
        <w:rPr>
          <w:rStyle w:val="FootnoteReference"/>
        </w:rPr>
        <w:footnoteRef/>
      </w:r>
      <w:r>
        <w:t xml:space="preserve"> For example, where individuals are faced with a lack of support such that they personally feel unable to live in their acquired gender, and as a result revert to their sex recorded at birth, but later feel better supported and able to live in their acquired gender and wish to again obtain legal recognition of a change in sex. The process set out in this submission aims to minimise the risk of this kind of situation arising by ensuring that applicants have fully considered the legal, social and personal consequences of changing legal sex and</w:t>
      </w:r>
      <w:r w:rsidR="009B6FEC">
        <w:t xml:space="preserve"> are</w:t>
      </w:r>
      <w:r>
        <w:t xml:space="preserve"> informed about how to access further support.</w:t>
      </w:r>
    </w:p>
  </w:footnote>
  <w:footnote w:id="8">
    <w:p w14:paraId="27CC6F80" w14:textId="77777777" w:rsidR="00DE0837" w:rsidRPr="00F00E14" w:rsidRDefault="00DE0837">
      <w:pPr>
        <w:pStyle w:val="FootnoteText"/>
        <w:rPr>
          <w:szCs w:val="24"/>
        </w:rPr>
      </w:pPr>
      <w:r w:rsidRPr="00F00E14">
        <w:rPr>
          <w:rStyle w:val="FootnoteReference"/>
          <w:szCs w:val="24"/>
        </w:rPr>
        <w:footnoteRef/>
      </w:r>
      <w:r w:rsidRPr="00F00E14">
        <w:rPr>
          <w:szCs w:val="24"/>
        </w:rPr>
        <w:t xml:space="preserve"> See, for example, the ‘</w:t>
      </w:r>
      <w:hyperlink r:id="rId4" w:history="1">
        <w:r w:rsidRPr="00F00E14">
          <w:rPr>
            <w:rStyle w:val="Hyperlink"/>
            <w:szCs w:val="24"/>
          </w:rPr>
          <w:t>Scottish Women’s Sector Response</w:t>
        </w:r>
      </w:hyperlink>
      <w:r w:rsidRPr="00F00E14">
        <w:rPr>
          <w:szCs w:val="24"/>
        </w:rPr>
        <w:t xml:space="preserve">’, developed by Close the Gap, Engender Scotland, Equate Scotland, Rape Crisis Scotland, Scottish Women’s Aid, and Zero Tolerance.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AF6E1" w14:textId="7B198C05" w:rsidR="00B751E2" w:rsidRDefault="00AB5CC7" w:rsidP="00605567">
    <w:pPr>
      <w:pStyle w:val="Header"/>
      <w:pBdr>
        <w:top w:val="single" w:sz="36" w:space="5" w:color="009C98" w:themeColor="accent1"/>
      </w:pBdr>
      <w:ind w:left="-851" w:right="-738"/>
      <w:jc w:val="center"/>
    </w:pPr>
    <w:sdt>
      <w:sdtPr>
        <w:alias w:val="Title"/>
        <w:tag w:val=""/>
        <w:id w:val="-347718907"/>
        <w:dataBinding w:prefixMappings="xmlns:ns0='http://purl.org/dc/elements/1.1/' xmlns:ns1='http://schemas.openxmlformats.org/package/2006/metadata/core-properties' " w:xpath="/ns1:coreProperties[1]/ns0:title[1]" w:storeItemID="{6C3C8BC8-F283-45AE-878A-BAB7291924A1}"/>
        <w:text/>
      </w:sdtPr>
      <w:sdtEndPr/>
      <w:sdtContent>
        <w:r w:rsidR="00913F19">
          <w:t>Gender Recognition Reform (Scotland) Bill</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4F3D0" w14:textId="77777777" w:rsidR="00CF75AD" w:rsidRPr="00342F83" w:rsidRDefault="00342F83" w:rsidP="000E6F22">
    <w:pPr>
      <w:pStyle w:val="Header"/>
      <w:spacing w:before="640" w:after="2000"/>
      <w:ind w:right="-1021"/>
      <w:jc w:val="right"/>
      <w:rPr>
        <w:b/>
        <w:bCs/>
      </w:rPr>
    </w:pPr>
    <w:r>
      <w:rPr>
        <w:noProof/>
        <w:lang w:eastAsia="en-GB"/>
      </w:rPr>
      <w:drawing>
        <wp:inline distT="0" distB="0" distL="0" distR="0" wp14:anchorId="65F2F41A" wp14:editId="348B65D5">
          <wp:extent cx="3683635" cy="673100"/>
          <wp:effectExtent l="0" t="0" r="0" b="0"/>
          <wp:docPr id="16" name="Picture 16" title="Equality and Human Rights Commission"/>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83635" cy="673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5076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7A47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269B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2E9D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D83C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5C4B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F679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28AA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1871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846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E16DE"/>
    <w:multiLevelType w:val="hybridMultilevel"/>
    <w:tmpl w:val="F774A3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361A4A"/>
    <w:multiLevelType w:val="hybridMultilevel"/>
    <w:tmpl w:val="8B024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4E4BFE"/>
    <w:multiLevelType w:val="multilevel"/>
    <w:tmpl w:val="165ACE1C"/>
    <w:styleLink w:val="StyleBulletedSymbolsymbolLeft063cmHanging063cm1"/>
    <w:lvl w:ilvl="0">
      <w:start w:val="1"/>
      <w:numFmt w:val="bullet"/>
      <w:lvlText w:val=""/>
      <w:lvlJc w:val="left"/>
      <w:pPr>
        <w:ind w:left="539" w:hanging="539"/>
      </w:pPr>
      <w:rPr>
        <w:rFonts w:ascii="Symbol" w:hAnsi="Symbol" w:hint="default"/>
        <w:sz w:val="28"/>
      </w:rPr>
    </w:lvl>
    <w:lvl w:ilvl="1">
      <w:start w:val="1"/>
      <w:numFmt w:val="bullet"/>
      <w:lvlText w:val="̶"/>
      <w:lvlJc w:val="left"/>
      <w:pPr>
        <w:ind w:left="902" w:hanging="539"/>
      </w:pPr>
      <w:rPr>
        <w:rFonts w:ascii="Courier New" w:hAnsi="Courier New" w:hint="default"/>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13" w15:restartNumberingAfterBreak="0">
    <w:nsid w:val="08A00F76"/>
    <w:multiLevelType w:val="hybridMultilevel"/>
    <w:tmpl w:val="B8EAA05A"/>
    <w:lvl w:ilvl="0" w:tplc="0A6ACC3C">
      <w:start w:val="28"/>
      <w:numFmt w:val="bullet"/>
      <w:lvlText w:val="-"/>
      <w:lvlJc w:val="left"/>
      <w:pPr>
        <w:ind w:left="720" w:hanging="360"/>
      </w:pPr>
      <w:rPr>
        <w:rFonts w:ascii="Arial" w:eastAsia="Calibr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81296D"/>
    <w:multiLevelType w:val="hybridMultilevel"/>
    <w:tmpl w:val="F1F4A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296468"/>
    <w:multiLevelType w:val="multilevel"/>
    <w:tmpl w:val="DE9827B8"/>
    <w:styleLink w:val="StyleOutlinenumberedLatinHeadingsArialComplexHeadi2"/>
    <w:lvl w:ilvl="0">
      <w:start w:val="1"/>
      <w:numFmt w:val="decimal"/>
      <w:lvlText w:val="%1"/>
      <w:lvlJc w:val="left"/>
      <w:pPr>
        <w:ind w:left="540" w:hanging="540"/>
      </w:pPr>
      <w:rPr>
        <w:rFonts w:hint="default"/>
        <w:sz w:val="32"/>
      </w:rPr>
    </w:lvl>
    <w:lvl w:ilvl="1">
      <w:start w:val="1"/>
      <w:numFmt w:val="decimal"/>
      <w:lvlText w:val="%1.%2"/>
      <w:lvlJc w:val="left"/>
      <w:pPr>
        <w:ind w:left="720" w:hanging="720"/>
      </w:pPr>
      <w:rPr>
        <w:rFonts w:asciiTheme="majorHAnsi" w:hAnsiTheme="majorHAnsi" w:cstheme="majorBidi"/>
        <w:b/>
        <w:color w:val="0B4E60" w:themeColor="text2"/>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77C382A"/>
    <w:multiLevelType w:val="multilevel"/>
    <w:tmpl w:val="DE9827B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91B4B53"/>
    <w:multiLevelType w:val="hybridMultilevel"/>
    <w:tmpl w:val="F774A3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9B14E30"/>
    <w:multiLevelType w:val="multilevel"/>
    <w:tmpl w:val="9B34CA48"/>
    <w:lvl w:ilvl="0">
      <w:start w:val="2"/>
      <w:numFmt w:val="bullet"/>
      <w:pStyle w:val="Boxbullets"/>
      <w:lvlText w:val="̶"/>
      <w:lvlJc w:val="left"/>
      <w:pPr>
        <w:ind w:left="709" w:hanging="567"/>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19" w15:restartNumberingAfterBreak="0">
    <w:nsid w:val="1FC03DC8"/>
    <w:multiLevelType w:val="hybridMultilevel"/>
    <w:tmpl w:val="D3805B1E"/>
    <w:lvl w:ilvl="0" w:tplc="0809000F">
      <w:start w:val="1"/>
      <w:numFmt w:val="decimal"/>
      <w:lvlText w:val="%1."/>
      <w:lvlJc w:val="left"/>
      <w:pPr>
        <w:ind w:left="720" w:hanging="360"/>
      </w:pPr>
    </w:lvl>
    <w:lvl w:ilvl="1" w:tplc="9258B28E">
      <w:start w:val="1"/>
      <w:numFmt w:val="lowerLetter"/>
      <w:lvlText w:val="%2."/>
      <w:lvlJc w:val="left"/>
      <w:pPr>
        <w:ind w:left="1800" w:hanging="720"/>
      </w:pPr>
      <w:rPr>
        <w:rFonts w:hint="default"/>
      </w:rPr>
    </w:lvl>
    <w:lvl w:ilvl="2" w:tplc="1AF483A6">
      <w:start w:val="34"/>
      <w:numFmt w:val="bullet"/>
      <w:lvlText w:val="•"/>
      <w:lvlJc w:val="left"/>
      <w:pPr>
        <w:ind w:left="2700" w:hanging="72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FC45341"/>
    <w:multiLevelType w:val="multilevel"/>
    <w:tmpl w:val="0809001D"/>
    <w:styleLink w:val="Basicbulletlist"/>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1637E87"/>
    <w:multiLevelType w:val="hybridMultilevel"/>
    <w:tmpl w:val="BAEC86DA"/>
    <w:lvl w:ilvl="0" w:tplc="0809000F">
      <w:start w:val="1"/>
      <w:numFmt w:val="decimal"/>
      <w:lvlText w:val="%1."/>
      <w:lvlJc w:val="left"/>
      <w:pPr>
        <w:ind w:left="720" w:hanging="360"/>
      </w:pPr>
    </w:lvl>
    <w:lvl w:ilvl="1" w:tplc="0A6ACC3C">
      <w:start w:val="28"/>
      <w:numFmt w:val="bullet"/>
      <w:lvlText w:val="-"/>
      <w:lvlJc w:val="left"/>
      <w:pPr>
        <w:ind w:left="1440" w:hanging="360"/>
      </w:pPr>
      <w:rPr>
        <w:rFonts w:ascii="Arial" w:eastAsia="Calibri" w:hAnsi="Arial" w:cs="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7D5A1D"/>
    <w:multiLevelType w:val="multilevel"/>
    <w:tmpl w:val="AE50A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9DC196A"/>
    <w:multiLevelType w:val="multilevel"/>
    <w:tmpl w:val="EAB48ED2"/>
    <w:lvl w:ilvl="0">
      <w:start w:val="1"/>
      <w:numFmt w:val="bullet"/>
      <w:pStyle w:val="List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D8336BE"/>
    <w:multiLevelType w:val="multilevel"/>
    <w:tmpl w:val="48624524"/>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2AB19A0"/>
    <w:multiLevelType w:val="hybridMultilevel"/>
    <w:tmpl w:val="C47A2D24"/>
    <w:lvl w:ilvl="0" w:tplc="01FEEF86">
      <w:start w:val="1"/>
      <w:numFmt w:val="decimal"/>
      <w:suff w:val="space"/>
      <w:lvlText w:val="%1."/>
      <w:lvlJc w:val="left"/>
      <w:pPr>
        <w:ind w:left="567" w:hanging="283"/>
      </w:pPr>
      <w:rPr>
        <w:rFonts w:hint="default"/>
        <w:b w:val="0"/>
        <w:i w:val="0"/>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69437D"/>
    <w:multiLevelType w:val="multilevel"/>
    <w:tmpl w:val="DE9827B8"/>
    <w:numStyleLink w:val="StyleOutlinenumberedLatinHeadingsArialComplexHeadi2"/>
  </w:abstractNum>
  <w:abstractNum w:abstractNumId="27" w15:restartNumberingAfterBreak="0">
    <w:nsid w:val="446E7419"/>
    <w:multiLevelType w:val="hybridMultilevel"/>
    <w:tmpl w:val="45BE0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242756"/>
    <w:multiLevelType w:val="multilevel"/>
    <w:tmpl w:val="E33C0118"/>
    <w:styleLink w:val="StyleNumberedLeft0cmHanging127cm"/>
    <w:lvl w:ilvl="0">
      <w:start w:val="1"/>
      <w:numFmt w:val="decimal"/>
      <w:lvlText w:val="%1."/>
      <w:lvlJc w:val="left"/>
      <w:pPr>
        <w:ind w:left="539" w:hanging="539"/>
      </w:pPr>
      <w:rPr>
        <w:rFonts w:hint="default"/>
        <w:sz w:val="28"/>
      </w:rPr>
    </w:lvl>
    <w:lvl w:ilvl="1">
      <w:start w:val="1"/>
      <w:numFmt w:val="lowerLetter"/>
      <w:lvlText w:val="%2."/>
      <w:lvlJc w:val="left"/>
      <w:pPr>
        <w:ind w:left="902" w:hanging="539"/>
      </w:pPr>
      <w:rPr>
        <w:rFonts w:hint="default"/>
      </w:rPr>
    </w:lvl>
    <w:lvl w:ilvl="2">
      <w:start w:val="1"/>
      <w:numFmt w:val="lowerRoman"/>
      <w:lvlText w:val="%3."/>
      <w:lvlJc w:val="right"/>
      <w:pPr>
        <w:ind w:left="1265" w:hanging="539"/>
      </w:pPr>
      <w:rPr>
        <w:rFonts w:hint="default"/>
      </w:rPr>
    </w:lvl>
    <w:lvl w:ilvl="3">
      <w:start w:val="1"/>
      <w:numFmt w:val="decimal"/>
      <w:lvlText w:val="%4."/>
      <w:lvlJc w:val="left"/>
      <w:pPr>
        <w:ind w:left="1628" w:hanging="539"/>
      </w:pPr>
      <w:rPr>
        <w:rFonts w:hint="default"/>
      </w:rPr>
    </w:lvl>
    <w:lvl w:ilvl="4">
      <w:start w:val="1"/>
      <w:numFmt w:val="lowerLetter"/>
      <w:lvlText w:val="%5."/>
      <w:lvlJc w:val="left"/>
      <w:pPr>
        <w:ind w:left="1991" w:hanging="539"/>
      </w:pPr>
      <w:rPr>
        <w:rFonts w:hint="default"/>
      </w:rPr>
    </w:lvl>
    <w:lvl w:ilvl="5">
      <w:start w:val="1"/>
      <w:numFmt w:val="lowerRoman"/>
      <w:lvlText w:val="%6."/>
      <w:lvlJc w:val="right"/>
      <w:pPr>
        <w:ind w:left="2354" w:hanging="539"/>
      </w:pPr>
      <w:rPr>
        <w:rFonts w:hint="default"/>
      </w:rPr>
    </w:lvl>
    <w:lvl w:ilvl="6">
      <w:start w:val="1"/>
      <w:numFmt w:val="decimal"/>
      <w:lvlText w:val="%7."/>
      <w:lvlJc w:val="left"/>
      <w:pPr>
        <w:ind w:left="2717" w:hanging="539"/>
      </w:pPr>
      <w:rPr>
        <w:rFonts w:hint="default"/>
      </w:rPr>
    </w:lvl>
    <w:lvl w:ilvl="7">
      <w:start w:val="1"/>
      <w:numFmt w:val="lowerLetter"/>
      <w:lvlText w:val="%8."/>
      <w:lvlJc w:val="left"/>
      <w:pPr>
        <w:ind w:left="3080" w:hanging="539"/>
      </w:pPr>
      <w:rPr>
        <w:rFonts w:hint="default"/>
      </w:rPr>
    </w:lvl>
    <w:lvl w:ilvl="8">
      <w:start w:val="1"/>
      <w:numFmt w:val="lowerRoman"/>
      <w:lvlText w:val="%9."/>
      <w:lvlJc w:val="right"/>
      <w:pPr>
        <w:ind w:left="3443" w:hanging="539"/>
      </w:pPr>
      <w:rPr>
        <w:rFonts w:hint="default"/>
      </w:rPr>
    </w:lvl>
  </w:abstractNum>
  <w:abstractNum w:abstractNumId="29" w15:restartNumberingAfterBreak="0">
    <w:nsid w:val="4D8D58A0"/>
    <w:multiLevelType w:val="hybridMultilevel"/>
    <w:tmpl w:val="96A81F30"/>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F633DE4"/>
    <w:multiLevelType w:val="multilevel"/>
    <w:tmpl w:val="74404BA8"/>
    <w:styleLink w:val="Boxbulletlist"/>
    <w:lvl w:ilvl="0">
      <w:start w:val="2"/>
      <w:numFmt w:val="bullet"/>
      <w:lvlText w:val="̶"/>
      <w:lvlJc w:val="left"/>
      <w:pPr>
        <w:ind w:left="539" w:hanging="539"/>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31" w15:restartNumberingAfterBreak="0">
    <w:nsid w:val="53825B74"/>
    <w:multiLevelType w:val="multilevel"/>
    <w:tmpl w:val="DE9827B8"/>
    <w:styleLink w:val="StyleOutlinenumberedLatinHeadingsArialComplexHeadi"/>
    <w:lvl w:ilvl="0">
      <w:start w:val="1"/>
      <w:numFmt w:val="decimal"/>
      <w:lvlText w:val="%1"/>
      <w:lvlJc w:val="left"/>
      <w:pPr>
        <w:ind w:left="540" w:hanging="540"/>
      </w:pPr>
      <w:rPr>
        <w:rFonts w:hint="default"/>
        <w:sz w:val="24"/>
      </w:rPr>
    </w:lvl>
    <w:lvl w:ilvl="1">
      <w:start w:val="1"/>
      <w:numFmt w:val="decimal"/>
      <w:lvlText w:val="%1.%2"/>
      <w:lvlJc w:val="left"/>
      <w:pPr>
        <w:ind w:left="720" w:hanging="720"/>
      </w:pPr>
      <w:rPr>
        <w:rFonts w:asciiTheme="majorHAnsi" w:hAnsiTheme="majorHAnsi" w:cstheme="majorBidi"/>
        <w:b/>
        <w:color w:val="0B4E60" w:themeColor="text2"/>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57F3D2B"/>
    <w:multiLevelType w:val="multilevel"/>
    <w:tmpl w:val="C778C7E0"/>
    <w:lvl w:ilvl="0">
      <w:start w:val="1"/>
      <w:numFmt w:val="decimal"/>
      <w:pStyle w:val="ListNumber"/>
      <w:lvlText w:val="%1."/>
      <w:lvlJc w:val="left"/>
      <w:pPr>
        <w:ind w:left="567" w:hanging="567"/>
      </w:pPr>
      <w:rPr>
        <w:rFonts w:hint="default"/>
        <w:color w:val="722856" w:themeColor="accent5"/>
      </w:rPr>
    </w:lvl>
    <w:lvl w:ilvl="1">
      <w:start w:val="1"/>
      <w:numFmt w:val="lowerLetter"/>
      <w:lvlText w:val="%2."/>
      <w:lvlJc w:val="left"/>
      <w:pPr>
        <w:ind w:left="1134" w:hanging="567"/>
      </w:pPr>
      <w:rPr>
        <w:rFonts w:hint="default"/>
      </w:rPr>
    </w:lvl>
    <w:lvl w:ilvl="2">
      <w:start w:val="1"/>
      <w:numFmt w:val="lowerRoman"/>
      <w:lvlText w:val="%3"/>
      <w:lvlJc w:val="left"/>
      <w:pPr>
        <w:ind w:left="187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6844DFB"/>
    <w:multiLevelType w:val="multilevel"/>
    <w:tmpl w:val="31FA925A"/>
    <w:lvl w:ilvl="0">
      <w:start w:val="1"/>
      <w:numFmt w:val="bullet"/>
      <w:lvlText w:val=""/>
      <w:lvlJc w:val="left"/>
      <w:pPr>
        <w:ind w:left="425" w:hanging="425"/>
      </w:pPr>
      <w:rPr>
        <w:rFonts w:ascii="Symbol" w:hAnsi="Symbol" w:hint="default"/>
        <w:sz w:val="28"/>
      </w:rPr>
    </w:lvl>
    <w:lvl w:ilvl="1">
      <w:start w:val="1"/>
      <w:numFmt w:val="bullet"/>
      <w:lvlText w:val="̶"/>
      <w:lvlJc w:val="left"/>
      <w:pPr>
        <w:ind w:left="782" w:hanging="425"/>
      </w:pPr>
      <w:rPr>
        <w:rFonts w:ascii="Courier New" w:hAnsi="Courier New" w:hint="default"/>
      </w:rPr>
    </w:lvl>
    <w:lvl w:ilvl="2">
      <w:start w:val="1"/>
      <w:numFmt w:val="bullet"/>
      <w:lvlText w:val=""/>
      <w:lvlJc w:val="left"/>
      <w:pPr>
        <w:ind w:left="1139" w:hanging="425"/>
      </w:pPr>
      <w:rPr>
        <w:rFonts w:ascii="Wingdings" w:hAnsi="Wingdings" w:hint="default"/>
      </w:rPr>
    </w:lvl>
    <w:lvl w:ilvl="3">
      <w:start w:val="1"/>
      <w:numFmt w:val="bullet"/>
      <w:lvlText w:val=""/>
      <w:lvlJc w:val="left"/>
      <w:pPr>
        <w:ind w:left="1496" w:hanging="425"/>
      </w:pPr>
      <w:rPr>
        <w:rFonts w:ascii="Symbol" w:hAnsi="Symbol" w:hint="default"/>
      </w:rPr>
    </w:lvl>
    <w:lvl w:ilvl="4">
      <w:start w:val="1"/>
      <w:numFmt w:val="bullet"/>
      <w:lvlText w:val="o"/>
      <w:lvlJc w:val="left"/>
      <w:pPr>
        <w:ind w:left="1853" w:hanging="425"/>
      </w:pPr>
      <w:rPr>
        <w:rFonts w:ascii="Courier New" w:hAnsi="Courier New" w:cs="Courier New" w:hint="default"/>
      </w:rPr>
    </w:lvl>
    <w:lvl w:ilvl="5">
      <w:start w:val="1"/>
      <w:numFmt w:val="bullet"/>
      <w:lvlText w:val=""/>
      <w:lvlJc w:val="left"/>
      <w:pPr>
        <w:ind w:left="2210" w:hanging="425"/>
      </w:pPr>
      <w:rPr>
        <w:rFonts w:ascii="Wingdings" w:hAnsi="Wingdings" w:hint="default"/>
      </w:rPr>
    </w:lvl>
    <w:lvl w:ilvl="6">
      <w:start w:val="1"/>
      <w:numFmt w:val="bullet"/>
      <w:pStyle w:val="Heading7"/>
      <w:lvlText w:val=""/>
      <w:lvlJc w:val="left"/>
      <w:pPr>
        <w:ind w:left="2567" w:hanging="425"/>
      </w:pPr>
      <w:rPr>
        <w:rFonts w:ascii="Symbol" w:hAnsi="Symbol" w:hint="default"/>
      </w:rPr>
    </w:lvl>
    <w:lvl w:ilvl="7">
      <w:start w:val="1"/>
      <w:numFmt w:val="bullet"/>
      <w:lvlText w:val="o"/>
      <w:lvlJc w:val="left"/>
      <w:pPr>
        <w:ind w:left="2924" w:hanging="425"/>
      </w:pPr>
      <w:rPr>
        <w:rFonts w:ascii="Courier New" w:hAnsi="Courier New" w:cs="Courier New" w:hint="default"/>
      </w:rPr>
    </w:lvl>
    <w:lvl w:ilvl="8">
      <w:start w:val="1"/>
      <w:numFmt w:val="bullet"/>
      <w:lvlText w:val=""/>
      <w:lvlJc w:val="left"/>
      <w:pPr>
        <w:ind w:left="3281" w:hanging="425"/>
      </w:pPr>
      <w:rPr>
        <w:rFonts w:ascii="Wingdings" w:hAnsi="Wingdings" w:hint="default"/>
      </w:rPr>
    </w:lvl>
  </w:abstractNum>
  <w:abstractNum w:abstractNumId="34" w15:restartNumberingAfterBreak="0">
    <w:nsid w:val="57D436A0"/>
    <w:multiLevelType w:val="multilevel"/>
    <w:tmpl w:val="DE9827B8"/>
    <w:numStyleLink w:val="StyleOutlinenumberedLatinHeadingsArialComplexHeadi"/>
  </w:abstractNum>
  <w:abstractNum w:abstractNumId="35" w15:restartNumberingAfterBreak="0">
    <w:nsid w:val="5DB52683"/>
    <w:multiLevelType w:val="hybridMultilevel"/>
    <w:tmpl w:val="69C62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036B92"/>
    <w:multiLevelType w:val="multilevel"/>
    <w:tmpl w:val="31FA925A"/>
    <w:lvl w:ilvl="0">
      <w:start w:val="1"/>
      <w:numFmt w:val="bullet"/>
      <w:lvlText w:val=""/>
      <w:lvlJc w:val="left"/>
      <w:pPr>
        <w:ind w:left="425" w:hanging="425"/>
      </w:pPr>
      <w:rPr>
        <w:rFonts w:ascii="Symbol" w:hAnsi="Symbol" w:hint="default"/>
        <w:sz w:val="28"/>
      </w:rPr>
    </w:lvl>
    <w:lvl w:ilvl="1">
      <w:start w:val="1"/>
      <w:numFmt w:val="bullet"/>
      <w:lvlText w:val="̶"/>
      <w:lvlJc w:val="left"/>
      <w:pPr>
        <w:ind w:left="782" w:hanging="425"/>
      </w:pPr>
      <w:rPr>
        <w:rFonts w:ascii="Courier New" w:hAnsi="Courier New" w:hint="default"/>
      </w:rPr>
    </w:lvl>
    <w:lvl w:ilvl="2">
      <w:start w:val="1"/>
      <w:numFmt w:val="bullet"/>
      <w:lvlText w:val=""/>
      <w:lvlJc w:val="left"/>
      <w:pPr>
        <w:ind w:left="1139" w:hanging="425"/>
      </w:pPr>
      <w:rPr>
        <w:rFonts w:ascii="Wingdings" w:hAnsi="Wingdings" w:hint="default"/>
      </w:rPr>
    </w:lvl>
    <w:lvl w:ilvl="3">
      <w:start w:val="1"/>
      <w:numFmt w:val="bullet"/>
      <w:lvlText w:val=""/>
      <w:lvlJc w:val="left"/>
      <w:pPr>
        <w:ind w:left="1496" w:hanging="425"/>
      </w:pPr>
      <w:rPr>
        <w:rFonts w:ascii="Symbol" w:hAnsi="Symbol" w:hint="default"/>
      </w:rPr>
    </w:lvl>
    <w:lvl w:ilvl="4">
      <w:start w:val="1"/>
      <w:numFmt w:val="bullet"/>
      <w:lvlText w:val="o"/>
      <w:lvlJc w:val="left"/>
      <w:pPr>
        <w:ind w:left="1853" w:hanging="425"/>
      </w:pPr>
      <w:rPr>
        <w:rFonts w:ascii="Courier New" w:hAnsi="Courier New" w:cs="Courier New" w:hint="default"/>
      </w:rPr>
    </w:lvl>
    <w:lvl w:ilvl="5">
      <w:start w:val="1"/>
      <w:numFmt w:val="bullet"/>
      <w:lvlText w:val=""/>
      <w:lvlJc w:val="left"/>
      <w:pPr>
        <w:ind w:left="2210" w:hanging="425"/>
      </w:pPr>
      <w:rPr>
        <w:rFonts w:ascii="Wingdings" w:hAnsi="Wingdings" w:hint="default"/>
      </w:rPr>
    </w:lvl>
    <w:lvl w:ilvl="6">
      <w:start w:val="1"/>
      <w:numFmt w:val="bullet"/>
      <w:lvlText w:val=""/>
      <w:lvlJc w:val="left"/>
      <w:pPr>
        <w:ind w:left="2567" w:hanging="425"/>
      </w:pPr>
      <w:rPr>
        <w:rFonts w:ascii="Symbol" w:hAnsi="Symbol" w:hint="default"/>
      </w:rPr>
    </w:lvl>
    <w:lvl w:ilvl="7">
      <w:start w:val="1"/>
      <w:numFmt w:val="bullet"/>
      <w:lvlText w:val="o"/>
      <w:lvlJc w:val="left"/>
      <w:pPr>
        <w:ind w:left="2924" w:hanging="425"/>
      </w:pPr>
      <w:rPr>
        <w:rFonts w:ascii="Courier New" w:hAnsi="Courier New" w:cs="Courier New" w:hint="default"/>
      </w:rPr>
    </w:lvl>
    <w:lvl w:ilvl="8">
      <w:start w:val="1"/>
      <w:numFmt w:val="bullet"/>
      <w:lvlText w:val=""/>
      <w:lvlJc w:val="left"/>
      <w:pPr>
        <w:ind w:left="3281" w:hanging="425"/>
      </w:pPr>
      <w:rPr>
        <w:rFonts w:ascii="Wingdings" w:hAnsi="Wingdings" w:hint="default"/>
      </w:rPr>
    </w:lvl>
  </w:abstractNum>
  <w:abstractNum w:abstractNumId="37" w15:restartNumberingAfterBreak="0">
    <w:nsid w:val="66EA7569"/>
    <w:multiLevelType w:val="multilevel"/>
    <w:tmpl w:val="DE9827B8"/>
    <w:styleLink w:val="StyleOutlinenumberedLatinHeadingsArialComplexHeadi1"/>
    <w:lvl w:ilvl="0">
      <w:start w:val="1"/>
      <w:numFmt w:val="decimal"/>
      <w:lvlText w:val="%1"/>
      <w:lvlJc w:val="left"/>
      <w:pPr>
        <w:ind w:left="540" w:hanging="540"/>
      </w:pPr>
      <w:rPr>
        <w:rFonts w:hint="default"/>
        <w:sz w:val="28"/>
      </w:rPr>
    </w:lvl>
    <w:lvl w:ilvl="1">
      <w:start w:val="1"/>
      <w:numFmt w:val="decimal"/>
      <w:lvlText w:val="%1.%2"/>
      <w:lvlJc w:val="left"/>
      <w:pPr>
        <w:ind w:left="720" w:hanging="720"/>
      </w:pPr>
      <w:rPr>
        <w:rFonts w:asciiTheme="majorHAnsi" w:hAnsiTheme="majorHAnsi" w:cstheme="majorBidi"/>
        <w:b/>
        <w:color w:val="0B4E60" w:themeColor="text2"/>
        <w:sz w:val="28"/>
        <w:szCs w:val="32"/>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38" w15:restartNumberingAfterBreak="0">
    <w:nsid w:val="6F1C42E1"/>
    <w:multiLevelType w:val="hybridMultilevel"/>
    <w:tmpl w:val="54968D48"/>
    <w:lvl w:ilvl="0" w:tplc="90D832B8">
      <w:start w:val="1"/>
      <w:numFmt w:val="decimal"/>
      <w:pStyle w:val="Boxnumberedlist"/>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72586039"/>
    <w:multiLevelType w:val="multilevel"/>
    <w:tmpl w:val="2DCAF8B0"/>
    <w:styleLink w:val="StyleBulletedLatinCourierNewLeft19cmHanging063"/>
    <w:lvl w:ilvl="0">
      <w:start w:val="2"/>
      <w:numFmt w:val="bullet"/>
      <w:lvlText w:val="̶"/>
      <w:lvlJc w:val="left"/>
      <w:pPr>
        <w:ind w:left="539" w:hanging="539"/>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40" w15:restartNumberingAfterBreak="0">
    <w:nsid w:val="746A4627"/>
    <w:multiLevelType w:val="multilevel"/>
    <w:tmpl w:val="DE9827B8"/>
    <w:numStyleLink w:val="StyleOutlinenumberedLatinHeadingsArialComplexHeadi1"/>
  </w:abstractNum>
  <w:num w:numId="1">
    <w:abstractNumId w:val="9"/>
  </w:num>
  <w:num w:numId="2">
    <w:abstractNumId w:val="7"/>
  </w:num>
  <w:num w:numId="3">
    <w:abstractNumId w:val="6"/>
  </w:num>
  <w:num w:numId="4">
    <w:abstractNumId w:val="5"/>
  </w:num>
  <w:num w:numId="5">
    <w:abstractNumId w:val="36"/>
  </w:num>
  <w:num w:numId="6">
    <w:abstractNumId w:val="33"/>
  </w:num>
  <w:num w:numId="7">
    <w:abstractNumId w:val="12"/>
  </w:num>
  <w:num w:numId="8">
    <w:abstractNumId w:val="32"/>
  </w:num>
  <w:num w:numId="9">
    <w:abstractNumId w:val="28"/>
  </w:num>
  <w:num w:numId="10">
    <w:abstractNumId w:val="39"/>
  </w:num>
  <w:num w:numId="11">
    <w:abstractNumId w:val="38"/>
  </w:num>
  <w:num w:numId="12">
    <w:abstractNumId w:val="20"/>
  </w:num>
  <w:num w:numId="13">
    <w:abstractNumId w:val="30"/>
  </w:num>
  <w:num w:numId="14">
    <w:abstractNumId w:val="18"/>
  </w:num>
  <w:num w:numId="15">
    <w:abstractNumId w:val="23"/>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7"/>
  </w:num>
  <w:num w:numId="23">
    <w:abstractNumId w:val="24"/>
  </w:num>
  <w:num w:numId="24">
    <w:abstractNumId w:val="22"/>
  </w:num>
  <w:num w:numId="25">
    <w:abstractNumId w:val="16"/>
  </w:num>
  <w:num w:numId="26">
    <w:abstractNumId w:val="11"/>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4"/>
  </w:num>
  <w:num w:numId="30">
    <w:abstractNumId w:val="37"/>
  </w:num>
  <w:num w:numId="31">
    <w:abstractNumId w:val="40"/>
  </w:num>
  <w:num w:numId="32">
    <w:abstractNumId w:val="15"/>
  </w:num>
  <w:num w:numId="33">
    <w:abstractNumId w:val="26"/>
  </w:num>
  <w:num w:numId="34">
    <w:abstractNumId w:val="25"/>
  </w:num>
  <w:num w:numId="35">
    <w:abstractNumId w:val="29"/>
  </w:num>
  <w:num w:numId="36">
    <w:abstractNumId w:val="17"/>
  </w:num>
  <w:num w:numId="37">
    <w:abstractNumId w:val="13"/>
  </w:num>
  <w:num w:numId="38">
    <w:abstractNumId w:val="35"/>
  </w:num>
  <w:num w:numId="39">
    <w:abstractNumId w:val="19"/>
  </w:num>
  <w:num w:numId="40">
    <w:abstractNumId w:val="21"/>
  </w:num>
  <w:num w:numId="41">
    <w:abstractNumId w:val="14"/>
  </w:num>
  <w:num w:numId="4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19"/>
    <w:rsid w:val="000129C4"/>
    <w:rsid w:val="00014FC3"/>
    <w:rsid w:val="00015484"/>
    <w:rsid w:val="00022B38"/>
    <w:rsid w:val="0002676F"/>
    <w:rsid w:val="000310D5"/>
    <w:rsid w:val="00032565"/>
    <w:rsid w:val="00035E8E"/>
    <w:rsid w:val="0003789C"/>
    <w:rsid w:val="00041F60"/>
    <w:rsid w:val="00042CE1"/>
    <w:rsid w:val="000530C5"/>
    <w:rsid w:val="00057FC5"/>
    <w:rsid w:val="00063824"/>
    <w:rsid w:val="00064EC8"/>
    <w:rsid w:val="00072BE4"/>
    <w:rsid w:val="00075ABB"/>
    <w:rsid w:val="00083530"/>
    <w:rsid w:val="00085543"/>
    <w:rsid w:val="00086816"/>
    <w:rsid w:val="00095255"/>
    <w:rsid w:val="00097C17"/>
    <w:rsid w:val="00097E41"/>
    <w:rsid w:val="000A4006"/>
    <w:rsid w:val="000A4201"/>
    <w:rsid w:val="000A4CC3"/>
    <w:rsid w:val="000A58DB"/>
    <w:rsid w:val="000A5D1E"/>
    <w:rsid w:val="000B1802"/>
    <w:rsid w:val="000B272D"/>
    <w:rsid w:val="000B4D99"/>
    <w:rsid w:val="000B527F"/>
    <w:rsid w:val="000C0566"/>
    <w:rsid w:val="000D1B8F"/>
    <w:rsid w:val="000D320A"/>
    <w:rsid w:val="000D32CF"/>
    <w:rsid w:val="000D32FB"/>
    <w:rsid w:val="000E6F22"/>
    <w:rsid w:val="000F63D8"/>
    <w:rsid w:val="0011349B"/>
    <w:rsid w:val="00123A50"/>
    <w:rsid w:val="001253D3"/>
    <w:rsid w:val="001259F9"/>
    <w:rsid w:val="0012743B"/>
    <w:rsid w:val="001316EA"/>
    <w:rsid w:val="00140296"/>
    <w:rsid w:val="001411A7"/>
    <w:rsid w:val="00145B30"/>
    <w:rsid w:val="001505F0"/>
    <w:rsid w:val="00150ED8"/>
    <w:rsid w:val="001530E7"/>
    <w:rsid w:val="001555CA"/>
    <w:rsid w:val="00155E46"/>
    <w:rsid w:val="001565FF"/>
    <w:rsid w:val="00156D84"/>
    <w:rsid w:val="001641F1"/>
    <w:rsid w:val="00172127"/>
    <w:rsid w:val="00173F52"/>
    <w:rsid w:val="001746B7"/>
    <w:rsid w:val="00180F0F"/>
    <w:rsid w:val="00190EAE"/>
    <w:rsid w:val="00194A63"/>
    <w:rsid w:val="001B4690"/>
    <w:rsid w:val="001C0254"/>
    <w:rsid w:val="001C2F6C"/>
    <w:rsid w:val="001C7725"/>
    <w:rsid w:val="001D336D"/>
    <w:rsid w:val="001D3AF7"/>
    <w:rsid w:val="001D5489"/>
    <w:rsid w:val="001D70B9"/>
    <w:rsid w:val="001E017A"/>
    <w:rsid w:val="001E09DE"/>
    <w:rsid w:val="001E6028"/>
    <w:rsid w:val="001F688B"/>
    <w:rsid w:val="001F71B8"/>
    <w:rsid w:val="00201E04"/>
    <w:rsid w:val="00203666"/>
    <w:rsid w:val="00205A4B"/>
    <w:rsid w:val="00210807"/>
    <w:rsid w:val="00212B2D"/>
    <w:rsid w:val="00212D5A"/>
    <w:rsid w:val="00213015"/>
    <w:rsid w:val="00217C70"/>
    <w:rsid w:val="00222098"/>
    <w:rsid w:val="00223CA6"/>
    <w:rsid w:val="00230678"/>
    <w:rsid w:val="00230F01"/>
    <w:rsid w:val="00237647"/>
    <w:rsid w:val="00240672"/>
    <w:rsid w:val="002429CB"/>
    <w:rsid w:val="002450C3"/>
    <w:rsid w:val="00245360"/>
    <w:rsid w:val="00245A71"/>
    <w:rsid w:val="002475B9"/>
    <w:rsid w:val="00254309"/>
    <w:rsid w:val="002552F9"/>
    <w:rsid w:val="00270B19"/>
    <w:rsid w:val="00276C39"/>
    <w:rsid w:val="00277333"/>
    <w:rsid w:val="00283666"/>
    <w:rsid w:val="00284A63"/>
    <w:rsid w:val="002877E2"/>
    <w:rsid w:val="0029113D"/>
    <w:rsid w:val="00297813"/>
    <w:rsid w:val="002A041D"/>
    <w:rsid w:val="002A1AC0"/>
    <w:rsid w:val="002A589D"/>
    <w:rsid w:val="002A65B9"/>
    <w:rsid w:val="002A7B89"/>
    <w:rsid w:val="002C0A2F"/>
    <w:rsid w:val="002C11E4"/>
    <w:rsid w:val="002C271E"/>
    <w:rsid w:val="002D221B"/>
    <w:rsid w:val="002D7B90"/>
    <w:rsid w:val="002E08E4"/>
    <w:rsid w:val="002F0C36"/>
    <w:rsid w:val="002F4282"/>
    <w:rsid w:val="00303660"/>
    <w:rsid w:val="00312F7D"/>
    <w:rsid w:val="00313C41"/>
    <w:rsid w:val="00313F25"/>
    <w:rsid w:val="00315E91"/>
    <w:rsid w:val="003174FA"/>
    <w:rsid w:val="00325310"/>
    <w:rsid w:val="00326B78"/>
    <w:rsid w:val="00330757"/>
    <w:rsid w:val="003338E8"/>
    <w:rsid w:val="00341836"/>
    <w:rsid w:val="00341DD6"/>
    <w:rsid w:val="00342F83"/>
    <w:rsid w:val="00347E8A"/>
    <w:rsid w:val="003535A7"/>
    <w:rsid w:val="00360FA4"/>
    <w:rsid w:val="003616C5"/>
    <w:rsid w:val="00365E5D"/>
    <w:rsid w:val="0038266E"/>
    <w:rsid w:val="00384E88"/>
    <w:rsid w:val="00384EFE"/>
    <w:rsid w:val="00390682"/>
    <w:rsid w:val="00390713"/>
    <w:rsid w:val="0039242C"/>
    <w:rsid w:val="00392943"/>
    <w:rsid w:val="003A0844"/>
    <w:rsid w:val="003A7D00"/>
    <w:rsid w:val="003B5712"/>
    <w:rsid w:val="003B7D03"/>
    <w:rsid w:val="003C0E87"/>
    <w:rsid w:val="003C36C8"/>
    <w:rsid w:val="003C4555"/>
    <w:rsid w:val="003C7799"/>
    <w:rsid w:val="003D463A"/>
    <w:rsid w:val="003D5EC0"/>
    <w:rsid w:val="003D6F4F"/>
    <w:rsid w:val="003E0710"/>
    <w:rsid w:val="003E3346"/>
    <w:rsid w:val="003F7BE7"/>
    <w:rsid w:val="00401604"/>
    <w:rsid w:val="00401D2A"/>
    <w:rsid w:val="00405715"/>
    <w:rsid w:val="00407C5D"/>
    <w:rsid w:val="0041136B"/>
    <w:rsid w:val="004113C5"/>
    <w:rsid w:val="00411997"/>
    <w:rsid w:val="004149B7"/>
    <w:rsid w:val="00420E5D"/>
    <w:rsid w:val="0042713F"/>
    <w:rsid w:val="004303BC"/>
    <w:rsid w:val="004326EA"/>
    <w:rsid w:val="004344FA"/>
    <w:rsid w:val="00444CDB"/>
    <w:rsid w:val="00452FCD"/>
    <w:rsid w:val="00457EE1"/>
    <w:rsid w:val="00461040"/>
    <w:rsid w:val="00465B9E"/>
    <w:rsid w:val="00465E0B"/>
    <w:rsid w:val="004704A3"/>
    <w:rsid w:val="00470881"/>
    <w:rsid w:val="0047425A"/>
    <w:rsid w:val="00474664"/>
    <w:rsid w:val="004762D3"/>
    <w:rsid w:val="00477539"/>
    <w:rsid w:val="004A0C14"/>
    <w:rsid w:val="004A3B13"/>
    <w:rsid w:val="004A47A5"/>
    <w:rsid w:val="004A5BF6"/>
    <w:rsid w:val="004A6194"/>
    <w:rsid w:val="004A7094"/>
    <w:rsid w:val="004B24E5"/>
    <w:rsid w:val="004B3DBB"/>
    <w:rsid w:val="004B5F48"/>
    <w:rsid w:val="004C1C7A"/>
    <w:rsid w:val="004C5C6A"/>
    <w:rsid w:val="004D3925"/>
    <w:rsid w:val="004D3FC1"/>
    <w:rsid w:val="004D6090"/>
    <w:rsid w:val="004E026D"/>
    <w:rsid w:val="004E2C9C"/>
    <w:rsid w:val="004E3294"/>
    <w:rsid w:val="004F0D64"/>
    <w:rsid w:val="004F2B23"/>
    <w:rsid w:val="004F5444"/>
    <w:rsid w:val="00511918"/>
    <w:rsid w:val="00514A49"/>
    <w:rsid w:val="005204F5"/>
    <w:rsid w:val="00525E6A"/>
    <w:rsid w:val="00526047"/>
    <w:rsid w:val="00527586"/>
    <w:rsid w:val="00532C97"/>
    <w:rsid w:val="00533F29"/>
    <w:rsid w:val="00534454"/>
    <w:rsid w:val="005344C2"/>
    <w:rsid w:val="005379E2"/>
    <w:rsid w:val="00547695"/>
    <w:rsid w:val="00551A6C"/>
    <w:rsid w:val="00556505"/>
    <w:rsid w:val="00556D99"/>
    <w:rsid w:val="005602FB"/>
    <w:rsid w:val="00564669"/>
    <w:rsid w:val="005653CB"/>
    <w:rsid w:val="005755B3"/>
    <w:rsid w:val="005779B4"/>
    <w:rsid w:val="0058159A"/>
    <w:rsid w:val="00584218"/>
    <w:rsid w:val="005854D3"/>
    <w:rsid w:val="00587947"/>
    <w:rsid w:val="005923FC"/>
    <w:rsid w:val="0059411C"/>
    <w:rsid w:val="005A4164"/>
    <w:rsid w:val="005B2250"/>
    <w:rsid w:val="005B5C1E"/>
    <w:rsid w:val="005C1574"/>
    <w:rsid w:val="005D039A"/>
    <w:rsid w:val="005E4512"/>
    <w:rsid w:val="005F1448"/>
    <w:rsid w:val="005F2E97"/>
    <w:rsid w:val="005F32A7"/>
    <w:rsid w:val="00605567"/>
    <w:rsid w:val="00611FD8"/>
    <w:rsid w:val="0061686B"/>
    <w:rsid w:val="00622D39"/>
    <w:rsid w:val="00624702"/>
    <w:rsid w:val="0063765E"/>
    <w:rsid w:val="006414DD"/>
    <w:rsid w:val="006430F1"/>
    <w:rsid w:val="006451FF"/>
    <w:rsid w:val="00653530"/>
    <w:rsid w:val="00655DCF"/>
    <w:rsid w:val="00657385"/>
    <w:rsid w:val="0066009D"/>
    <w:rsid w:val="00685B8F"/>
    <w:rsid w:val="0069230C"/>
    <w:rsid w:val="006978A0"/>
    <w:rsid w:val="006A1408"/>
    <w:rsid w:val="006A27C3"/>
    <w:rsid w:val="006A49DC"/>
    <w:rsid w:val="006A541D"/>
    <w:rsid w:val="006A77C2"/>
    <w:rsid w:val="006B5664"/>
    <w:rsid w:val="006B7D0A"/>
    <w:rsid w:val="006C33F0"/>
    <w:rsid w:val="006C5A43"/>
    <w:rsid w:val="006D2B04"/>
    <w:rsid w:val="006D611F"/>
    <w:rsid w:val="006E41F3"/>
    <w:rsid w:val="00702328"/>
    <w:rsid w:val="00704220"/>
    <w:rsid w:val="00705AC7"/>
    <w:rsid w:val="00707C81"/>
    <w:rsid w:val="0071001F"/>
    <w:rsid w:val="00711475"/>
    <w:rsid w:val="0071584B"/>
    <w:rsid w:val="007256FA"/>
    <w:rsid w:val="00734196"/>
    <w:rsid w:val="00741B1E"/>
    <w:rsid w:val="00742F24"/>
    <w:rsid w:val="00747564"/>
    <w:rsid w:val="00766CD1"/>
    <w:rsid w:val="00772C5D"/>
    <w:rsid w:val="00776236"/>
    <w:rsid w:val="007822D0"/>
    <w:rsid w:val="00795B43"/>
    <w:rsid w:val="007A00B2"/>
    <w:rsid w:val="007A0465"/>
    <w:rsid w:val="007A3B56"/>
    <w:rsid w:val="007A5B63"/>
    <w:rsid w:val="007B22F7"/>
    <w:rsid w:val="007B3195"/>
    <w:rsid w:val="007B33CC"/>
    <w:rsid w:val="007B485A"/>
    <w:rsid w:val="007B7561"/>
    <w:rsid w:val="007C02D3"/>
    <w:rsid w:val="007C163D"/>
    <w:rsid w:val="007C1DEA"/>
    <w:rsid w:val="007C2194"/>
    <w:rsid w:val="007D2008"/>
    <w:rsid w:val="007D50DD"/>
    <w:rsid w:val="007E120D"/>
    <w:rsid w:val="007E2661"/>
    <w:rsid w:val="007E44E5"/>
    <w:rsid w:val="007E44E8"/>
    <w:rsid w:val="007F1B6E"/>
    <w:rsid w:val="008139C1"/>
    <w:rsid w:val="00817448"/>
    <w:rsid w:val="008177A8"/>
    <w:rsid w:val="008179F8"/>
    <w:rsid w:val="00824B39"/>
    <w:rsid w:val="008256C1"/>
    <w:rsid w:val="00826DCF"/>
    <w:rsid w:val="00831202"/>
    <w:rsid w:val="008317E5"/>
    <w:rsid w:val="0083182E"/>
    <w:rsid w:val="00831EF0"/>
    <w:rsid w:val="0083473E"/>
    <w:rsid w:val="0083574A"/>
    <w:rsid w:val="00841C02"/>
    <w:rsid w:val="008449CD"/>
    <w:rsid w:val="008462DE"/>
    <w:rsid w:val="00846F9D"/>
    <w:rsid w:val="0086276D"/>
    <w:rsid w:val="00863D5E"/>
    <w:rsid w:val="008677AF"/>
    <w:rsid w:val="00870E83"/>
    <w:rsid w:val="00877DA5"/>
    <w:rsid w:val="0088092E"/>
    <w:rsid w:val="00880F69"/>
    <w:rsid w:val="008820F6"/>
    <w:rsid w:val="008826E6"/>
    <w:rsid w:val="008842C1"/>
    <w:rsid w:val="00894B5D"/>
    <w:rsid w:val="008A08BC"/>
    <w:rsid w:val="008A4181"/>
    <w:rsid w:val="008B1A83"/>
    <w:rsid w:val="008B368F"/>
    <w:rsid w:val="008B4F9C"/>
    <w:rsid w:val="008C2539"/>
    <w:rsid w:val="008C780B"/>
    <w:rsid w:val="008D03BA"/>
    <w:rsid w:val="008D33EF"/>
    <w:rsid w:val="008D4A5F"/>
    <w:rsid w:val="008E6A27"/>
    <w:rsid w:val="008F4255"/>
    <w:rsid w:val="008F52F9"/>
    <w:rsid w:val="00906752"/>
    <w:rsid w:val="00912934"/>
    <w:rsid w:val="00913F19"/>
    <w:rsid w:val="00915C63"/>
    <w:rsid w:val="00917D9B"/>
    <w:rsid w:val="00921CB3"/>
    <w:rsid w:val="0092660D"/>
    <w:rsid w:val="00926CB1"/>
    <w:rsid w:val="00950BE2"/>
    <w:rsid w:val="00961657"/>
    <w:rsid w:val="0096568E"/>
    <w:rsid w:val="00966279"/>
    <w:rsid w:val="009718D1"/>
    <w:rsid w:val="00972469"/>
    <w:rsid w:val="00972D5B"/>
    <w:rsid w:val="00977773"/>
    <w:rsid w:val="009815AA"/>
    <w:rsid w:val="00985A4E"/>
    <w:rsid w:val="00995C2B"/>
    <w:rsid w:val="0099634F"/>
    <w:rsid w:val="00996B23"/>
    <w:rsid w:val="009A1AC8"/>
    <w:rsid w:val="009A203F"/>
    <w:rsid w:val="009B02D1"/>
    <w:rsid w:val="009B18F9"/>
    <w:rsid w:val="009B1AA5"/>
    <w:rsid w:val="009B6FEC"/>
    <w:rsid w:val="009C1718"/>
    <w:rsid w:val="009C2218"/>
    <w:rsid w:val="009C37B9"/>
    <w:rsid w:val="009C71D5"/>
    <w:rsid w:val="009D0D69"/>
    <w:rsid w:val="009D6553"/>
    <w:rsid w:val="009D7F58"/>
    <w:rsid w:val="009E0C25"/>
    <w:rsid w:val="009E1A6C"/>
    <w:rsid w:val="009F1529"/>
    <w:rsid w:val="009F68AD"/>
    <w:rsid w:val="00A02EA3"/>
    <w:rsid w:val="00A03D5D"/>
    <w:rsid w:val="00A05A2D"/>
    <w:rsid w:val="00A1016E"/>
    <w:rsid w:val="00A23764"/>
    <w:rsid w:val="00A26DF5"/>
    <w:rsid w:val="00A273E9"/>
    <w:rsid w:val="00A27840"/>
    <w:rsid w:val="00A329F4"/>
    <w:rsid w:val="00A444F9"/>
    <w:rsid w:val="00A457FE"/>
    <w:rsid w:val="00A46816"/>
    <w:rsid w:val="00A5273A"/>
    <w:rsid w:val="00A55000"/>
    <w:rsid w:val="00A6507F"/>
    <w:rsid w:val="00A66B52"/>
    <w:rsid w:val="00A67B13"/>
    <w:rsid w:val="00A71724"/>
    <w:rsid w:val="00A73E9F"/>
    <w:rsid w:val="00A75E70"/>
    <w:rsid w:val="00A82FF5"/>
    <w:rsid w:val="00A85A57"/>
    <w:rsid w:val="00A91B02"/>
    <w:rsid w:val="00A93370"/>
    <w:rsid w:val="00A955BF"/>
    <w:rsid w:val="00AA016D"/>
    <w:rsid w:val="00AA30E0"/>
    <w:rsid w:val="00AA394F"/>
    <w:rsid w:val="00AB488C"/>
    <w:rsid w:val="00AB5CC7"/>
    <w:rsid w:val="00AC064B"/>
    <w:rsid w:val="00AC3A2F"/>
    <w:rsid w:val="00AC4E1D"/>
    <w:rsid w:val="00AD1533"/>
    <w:rsid w:val="00AE7D1B"/>
    <w:rsid w:val="00B02B52"/>
    <w:rsid w:val="00B03B19"/>
    <w:rsid w:val="00B14602"/>
    <w:rsid w:val="00B14A1F"/>
    <w:rsid w:val="00B15AE8"/>
    <w:rsid w:val="00B16F8A"/>
    <w:rsid w:val="00B213F3"/>
    <w:rsid w:val="00B242C6"/>
    <w:rsid w:val="00B25013"/>
    <w:rsid w:val="00B275C8"/>
    <w:rsid w:val="00B277C1"/>
    <w:rsid w:val="00B27819"/>
    <w:rsid w:val="00B315CD"/>
    <w:rsid w:val="00B34191"/>
    <w:rsid w:val="00B36488"/>
    <w:rsid w:val="00B437EB"/>
    <w:rsid w:val="00B46BDD"/>
    <w:rsid w:val="00B47EC7"/>
    <w:rsid w:val="00B54ABC"/>
    <w:rsid w:val="00B740F1"/>
    <w:rsid w:val="00B751E2"/>
    <w:rsid w:val="00B77265"/>
    <w:rsid w:val="00B84D3D"/>
    <w:rsid w:val="00B91A3D"/>
    <w:rsid w:val="00B974E8"/>
    <w:rsid w:val="00BA14D7"/>
    <w:rsid w:val="00BA4B02"/>
    <w:rsid w:val="00BA5A7C"/>
    <w:rsid w:val="00BC24C0"/>
    <w:rsid w:val="00BC332A"/>
    <w:rsid w:val="00BC7BCF"/>
    <w:rsid w:val="00BD569F"/>
    <w:rsid w:val="00BD5C30"/>
    <w:rsid w:val="00BD779F"/>
    <w:rsid w:val="00BE1E67"/>
    <w:rsid w:val="00BF02FD"/>
    <w:rsid w:val="00BF569D"/>
    <w:rsid w:val="00BF59AA"/>
    <w:rsid w:val="00C01F14"/>
    <w:rsid w:val="00C04155"/>
    <w:rsid w:val="00C06697"/>
    <w:rsid w:val="00C105E4"/>
    <w:rsid w:val="00C1245A"/>
    <w:rsid w:val="00C2460D"/>
    <w:rsid w:val="00C2787E"/>
    <w:rsid w:val="00C30DB5"/>
    <w:rsid w:val="00C319B6"/>
    <w:rsid w:val="00C31AF2"/>
    <w:rsid w:val="00C3520D"/>
    <w:rsid w:val="00C405CB"/>
    <w:rsid w:val="00C42854"/>
    <w:rsid w:val="00C4621C"/>
    <w:rsid w:val="00C50BF9"/>
    <w:rsid w:val="00C51831"/>
    <w:rsid w:val="00C54941"/>
    <w:rsid w:val="00C57A76"/>
    <w:rsid w:val="00C608EC"/>
    <w:rsid w:val="00C66D45"/>
    <w:rsid w:val="00C72AD9"/>
    <w:rsid w:val="00C72EA0"/>
    <w:rsid w:val="00C74255"/>
    <w:rsid w:val="00C744BD"/>
    <w:rsid w:val="00C76302"/>
    <w:rsid w:val="00C76EBA"/>
    <w:rsid w:val="00C80FB9"/>
    <w:rsid w:val="00C94B26"/>
    <w:rsid w:val="00C978A0"/>
    <w:rsid w:val="00CA272F"/>
    <w:rsid w:val="00CA2C7A"/>
    <w:rsid w:val="00CB4B82"/>
    <w:rsid w:val="00CC0205"/>
    <w:rsid w:val="00CC63B2"/>
    <w:rsid w:val="00CC7505"/>
    <w:rsid w:val="00CD2A8E"/>
    <w:rsid w:val="00CD2D4F"/>
    <w:rsid w:val="00CD6476"/>
    <w:rsid w:val="00CD7BA9"/>
    <w:rsid w:val="00CE47FC"/>
    <w:rsid w:val="00CF0CC1"/>
    <w:rsid w:val="00CF4306"/>
    <w:rsid w:val="00CF43D8"/>
    <w:rsid w:val="00CF49AC"/>
    <w:rsid w:val="00CF75AD"/>
    <w:rsid w:val="00CF7B08"/>
    <w:rsid w:val="00D01D9A"/>
    <w:rsid w:val="00D1027A"/>
    <w:rsid w:val="00D10663"/>
    <w:rsid w:val="00D12DCC"/>
    <w:rsid w:val="00D14EAD"/>
    <w:rsid w:val="00D16E4D"/>
    <w:rsid w:val="00D17ECD"/>
    <w:rsid w:val="00D20338"/>
    <w:rsid w:val="00D20724"/>
    <w:rsid w:val="00D23E57"/>
    <w:rsid w:val="00D25D5E"/>
    <w:rsid w:val="00D26766"/>
    <w:rsid w:val="00D30929"/>
    <w:rsid w:val="00D32134"/>
    <w:rsid w:val="00D33C3E"/>
    <w:rsid w:val="00D34653"/>
    <w:rsid w:val="00D37BD2"/>
    <w:rsid w:val="00D46EE9"/>
    <w:rsid w:val="00D525E3"/>
    <w:rsid w:val="00D53D92"/>
    <w:rsid w:val="00D5553E"/>
    <w:rsid w:val="00D60914"/>
    <w:rsid w:val="00D90A9D"/>
    <w:rsid w:val="00D93B3E"/>
    <w:rsid w:val="00D9573B"/>
    <w:rsid w:val="00D95E8C"/>
    <w:rsid w:val="00D96F66"/>
    <w:rsid w:val="00DA3716"/>
    <w:rsid w:val="00DA41BB"/>
    <w:rsid w:val="00DB07E9"/>
    <w:rsid w:val="00DB3289"/>
    <w:rsid w:val="00DB4546"/>
    <w:rsid w:val="00DB48AD"/>
    <w:rsid w:val="00DB752B"/>
    <w:rsid w:val="00DC151A"/>
    <w:rsid w:val="00DD00FA"/>
    <w:rsid w:val="00DE0837"/>
    <w:rsid w:val="00DE364D"/>
    <w:rsid w:val="00DE6EBF"/>
    <w:rsid w:val="00DF7ED8"/>
    <w:rsid w:val="00E00C03"/>
    <w:rsid w:val="00E00D76"/>
    <w:rsid w:val="00E0182D"/>
    <w:rsid w:val="00E022B8"/>
    <w:rsid w:val="00E023E3"/>
    <w:rsid w:val="00E07F2A"/>
    <w:rsid w:val="00E13F1B"/>
    <w:rsid w:val="00E13F3B"/>
    <w:rsid w:val="00E15F4E"/>
    <w:rsid w:val="00E2433D"/>
    <w:rsid w:val="00E27704"/>
    <w:rsid w:val="00E3122A"/>
    <w:rsid w:val="00E37EF6"/>
    <w:rsid w:val="00E40113"/>
    <w:rsid w:val="00E41136"/>
    <w:rsid w:val="00E44C29"/>
    <w:rsid w:val="00E45625"/>
    <w:rsid w:val="00E45E94"/>
    <w:rsid w:val="00E507A1"/>
    <w:rsid w:val="00E5391F"/>
    <w:rsid w:val="00E56433"/>
    <w:rsid w:val="00E569EA"/>
    <w:rsid w:val="00E61D84"/>
    <w:rsid w:val="00E66087"/>
    <w:rsid w:val="00E672BD"/>
    <w:rsid w:val="00E70259"/>
    <w:rsid w:val="00E72819"/>
    <w:rsid w:val="00E8298C"/>
    <w:rsid w:val="00E90C32"/>
    <w:rsid w:val="00E93AC5"/>
    <w:rsid w:val="00E976F4"/>
    <w:rsid w:val="00EA4698"/>
    <w:rsid w:val="00EA645A"/>
    <w:rsid w:val="00EB0097"/>
    <w:rsid w:val="00EB5D82"/>
    <w:rsid w:val="00EC45B0"/>
    <w:rsid w:val="00ED42D8"/>
    <w:rsid w:val="00ED4824"/>
    <w:rsid w:val="00EE0726"/>
    <w:rsid w:val="00EE18C4"/>
    <w:rsid w:val="00EE31FF"/>
    <w:rsid w:val="00EF1FA9"/>
    <w:rsid w:val="00EF4080"/>
    <w:rsid w:val="00EF6963"/>
    <w:rsid w:val="00EF75A6"/>
    <w:rsid w:val="00F00E14"/>
    <w:rsid w:val="00F01F0F"/>
    <w:rsid w:val="00F064EB"/>
    <w:rsid w:val="00F127CB"/>
    <w:rsid w:val="00F127DD"/>
    <w:rsid w:val="00F13B8E"/>
    <w:rsid w:val="00F15E3B"/>
    <w:rsid w:val="00F16534"/>
    <w:rsid w:val="00F171F1"/>
    <w:rsid w:val="00F23B7C"/>
    <w:rsid w:val="00F23C46"/>
    <w:rsid w:val="00F34098"/>
    <w:rsid w:val="00F47B4A"/>
    <w:rsid w:val="00F55A04"/>
    <w:rsid w:val="00F5756D"/>
    <w:rsid w:val="00F71090"/>
    <w:rsid w:val="00F710B0"/>
    <w:rsid w:val="00F72D83"/>
    <w:rsid w:val="00F72DA0"/>
    <w:rsid w:val="00F7524D"/>
    <w:rsid w:val="00F80066"/>
    <w:rsid w:val="00F81BF2"/>
    <w:rsid w:val="00F915DF"/>
    <w:rsid w:val="00FA05B6"/>
    <w:rsid w:val="00FA1675"/>
    <w:rsid w:val="00FB1F47"/>
    <w:rsid w:val="00FB71BD"/>
    <w:rsid w:val="00FB7D65"/>
    <w:rsid w:val="00FC0D68"/>
    <w:rsid w:val="00FE14FA"/>
    <w:rsid w:val="00FE1DC8"/>
    <w:rsid w:val="00FF1B90"/>
    <w:rsid w:val="00FF6B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56C10"/>
  <w15:chartTrackingRefBased/>
  <w15:docId w15:val="{5B0DDFD1-2AE0-49A1-86ED-64EBD9DD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DF5"/>
    <w:pPr>
      <w:keepLines/>
      <w:spacing w:before="240" w:after="0" w:line="276" w:lineRule="auto"/>
    </w:pPr>
    <w:rPr>
      <w:sz w:val="24"/>
    </w:rPr>
  </w:style>
  <w:style w:type="paragraph" w:styleId="Heading1">
    <w:name w:val="heading 1"/>
    <w:basedOn w:val="Normal"/>
    <w:next w:val="Normal"/>
    <w:link w:val="Heading1Char"/>
    <w:uiPriority w:val="1"/>
    <w:qFormat/>
    <w:rsid w:val="00465B9E"/>
    <w:pPr>
      <w:keepNext/>
      <w:pageBreakBefore/>
      <w:spacing w:after="720" w:line="240" w:lineRule="auto"/>
      <w:outlineLvl w:val="0"/>
    </w:pPr>
    <w:rPr>
      <w:rFonts w:asciiTheme="majorHAnsi" w:eastAsiaTheme="majorEastAsia" w:hAnsiTheme="majorHAnsi" w:cstheme="majorBidi"/>
      <w:color w:val="FFFFFF" w:themeColor="background1"/>
      <w:sz w:val="56"/>
      <w:szCs w:val="52"/>
      <w:bdr w:val="single" w:sz="48" w:space="0" w:color="009C98" w:themeColor="accent1"/>
      <w:shd w:val="clear" w:color="auto" w:fill="009C98" w:themeFill="accent1"/>
    </w:rPr>
  </w:style>
  <w:style w:type="paragraph" w:styleId="Heading2">
    <w:name w:val="heading 2"/>
    <w:basedOn w:val="Heading1"/>
    <w:next w:val="Normal"/>
    <w:link w:val="Heading2Char"/>
    <w:uiPriority w:val="1"/>
    <w:unhideWhenUsed/>
    <w:qFormat/>
    <w:rsid w:val="002D221B"/>
    <w:pPr>
      <w:pageBreakBefore w:val="0"/>
      <w:pBdr>
        <w:top w:val="single" w:sz="24" w:space="9" w:color="009C98" w:themeColor="accent1"/>
      </w:pBdr>
      <w:spacing w:before="720" w:after="60"/>
      <w:outlineLvl w:val="1"/>
    </w:pPr>
    <w:rPr>
      <w:b/>
      <w:color w:val="0B4E60" w:themeColor="text2"/>
      <w:sz w:val="36"/>
      <w:szCs w:val="32"/>
      <w:bdr w:val="none" w:sz="0" w:space="0" w:color="auto"/>
      <w:shd w:val="clear" w:color="auto" w:fill="auto"/>
    </w:rPr>
  </w:style>
  <w:style w:type="paragraph" w:styleId="Heading3">
    <w:name w:val="heading 3"/>
    <w:basedOn w:val="Heading2"/>
    <w:next w:val="Normal"/>
    <w:link w:val="Heading3Char"/>
    <w:uiPriority w:val="1"/>
    <w:unhideWhenUsed/>
    <w:qFormat/>
    <w:rsid w:val="004E2C9C"/>
    <w:pPr>
      <w:pBdr>
        <w:top w:val="none" w:sz="0" w:space="0" w:color="auto"/>
      </w:pBdr>
      <w:spacing w:before="400" w:after="40"/>
      <w:outlineLvl w:val="2"/>
    </w:pPr>
    <w:rPr>
      <w:color w:val="auto"/>
      <w:sz w:val="32"/>
      <w:szCs w:val="30"/>
    </w:rPr>
  </w:style>
  <w:style w:type="paragraph" w:styleId="Heading4">
    <w:name w:val="heading 4"/>
    <w:basedOn w:val="Heading3"/>
    <w:next w:val="Normal"/>
    <w:link w:val="Heading4Char"/>
    <w:uiPriority w:val="1"/>
    <w:unhideWhenUsed/>
    <w:qFormat/>
    <w:rsid w:val="002D221B"/>
    <w:pPr>
      <w:spacing w:before="360"/>
      <w:outlineLvl w:val="3"/>
    </w:pPr>
    <w:rPr>
      <w:color w:val="004E4B" w:themeColor="accent1" w:themeShade="80"/>
      <w:sz w:val="28"/>
      <w:szCs w:val="29"/>
    </w:rPr>
  </w:style>
  <w:style w:type="paragraph" w:styleId="Heading5">
    <w:name w:val="heading 5"/>
    <w:basedOn w:val="Normal"/>
    <w:next w:val="Normal"/>
    <w:link w:val="Heading5Char1"/>
    <w:uiPriority w:val="9"/>
    <w:unhideWhenUsed/>
    <w:rsid w:val="004E2C9C"/>
    <w:pPr>
      <w:keepNext/>
      <w:spacing w:before="160"/>
      <w:outlineLvl w:val="4"/>
    </w:pPr>
    <w:rPr>
      <w:rFonts w:asciiTheme="majorHAnsi" w:eastAsiaTheme="majorEastAsia" w:hAnsiTheme="majorHAnsi" w:cstheme="majorBidi"/>
      <w:b/>
    </w:rPr>
  </w:style>
  <w:style w:type="paragraph" w:styleId="Heading6">
    <w:name w:val="heading 6"/>
    <w:basedOn w:val="Normal"/>
    <w:next w:val="Normal"/>
    <w:link w:val="Heading6Char1"/>
    <w:uiPriority w:val="9"/>
    <w:semiHidden/>
    <w:unhideWhenUsed/>
    <w:rsid w:val="004E2C9C"/>
    <w:pPr>
      <w:keepNext/>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3B7D03"/>
    <w:pPr>
      <w:keepNext/>
      <w:numPr>
        <w:ilvl w:val="6"/>
        <w:numId w:val="6"/>
      </w:numPr>
      <w:spacing w:before="40"/>
      <w:outlineLvl w:val="6"/>
    </w:pPr>
    <w:rPr>
      <w:rFonts w:asciiTheme="majorHAnsi" w:eastAsiaTheme="majorEastAsia" w:hAnsiTheme="majorHAnsi" w:cstheme="majorBidi"/>
      <w:i/>
      <w:iCs/>
      <w:color w:val="004D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
    <w:qFormat/>
    <w:rsid w:val="004A5BF6"/>
    <w:pPr>
      <w:pBdr>
        <w:top w:val="single" w:sz="48" w:space="0" w:color="009C98" w:themeColor="accent1"/>
        <w:left w:val="single" w:sz="48" w:space="0" w:color="009C98" w:themeColor="accent1"/>
        <w:bottom w:val="single" w:sz="48" w:space="0" w:color="009C98" w:themeColor="accent1"/>
        <w:right w:val="single" w:sz="48" w:space="0" w:color="009C98" w:themeColor="accent1"/>
      </w:pBdr>
      <w:shd w:val="clear" w:color="auto" w:fill="009C98" w:themeFill="accent1"/>
      <w:spacing w:line="216" w:lineRule="auto"/>
      <w:contextualSpacing/>
    </w:pPr>
    <w:rPr>
      <w:rFonts w:asciiTheme="majorHAnsi" w:eastAsiaTheme="majorEastAsia" w:hAnsiTheme="majorHAnsi" w:cstheme="majorBidi"/>
      <w:color w:val="FFFFFF" w:themeColor="background1"/>
      <w:spacing w:val="2"/>
      <w:kern w:val="28"/>
      <w:sz w:val="104"/>
      <w:szCs w:val="104"/>
      <w:bdr w:val="single" w:sz="48" w:space="0" w:color="009C98" w:themeColor="accent1"/>
      <w:shd w:val="clear" w:color="auto" w:fill="009C98" w:themeFill="accent1"/>
    </w:rPr>
  </w:style>
  <w:style w:type="character" w:customStyle="1" w:styleId="TitleChar">
    <w:name w:val="Title Char"/>
    <w:basedOn w:val="DefaultParagraphFont"/>
    <w:link w:val="Title"/>
    <w:uiPriority w:val="9"/>
    <w:rsid w:val="00457EE1"/>
    <w:rPr>
      <w:rFonts w:asciiTheme="majorHAnsi" w:eastAsiaTheme="majorEastAsia" w:hAnsiTheme="majorHAnsi" w:cstheme="majorBidi"/>
      <w:color w:val="FFFFFF" w:themeColor="background1"/>
      <w:spacing w:val="2"/>
      <w:kern w:val="28"/>
      <w:sz w:val="104"/>
      <w:szCs w:val="104"/>
      <w:bdr w:val="single" w:sz="48" w:space="0" w:color="009C98" w:themeColor="accent1"/>
      <w:shd w:val="clear" w:color="auto" w:fill="009C98" w:themeFill="accent1"/>
    </w:rPr>
  </w:style>
  <w:style w:type="paragraph" w:styleId="Header">
    <w:name w:val="header"/>
    <w:basedOn w:val="Normal"/>
    <w:link w:val="HeaderChar"/>
    <w:uiPriority w:val="99"/>
    <w:unhideWhenUsed/>
    <w:rsid w:val="00A26DF5"/>
    <w:pPr>
      <w:tabs>
        <w:tab w:val="center" w:pos="4513"/>
        <w:tab w:val="right" w:pos="9026"/>
      </w:tabs>
      <w:spacing w:line="240" w:lineRule="auto"/>
    </w:pPr>
  </w:style>
  <w:style w:type="character" w:customStyle="1" w:styleId="HeaderChar">
    <w:name w:val="Header Char"/>
    <w:basedOn w:val="DefaultParagraphFont"/>
    <w:link w:val="Header"/>
    <w:uiPriority w:val="99"/>
    <w:rsid w:val="00A26DF5"/>
    <w:rPr>
      <w:sz w:val="24"/>
    </w:rPr>
  </w:style>
  <w:style w:type="paragraph" w:styleId="Footer">
    <w:name w:val="footer"/>
    <w:basedOn w:val="Normal"/>
    <w:link w:val="FooterChar"/>
    <w:uiPriority w:val="99"/>
    <w:unhideWhenUsed/>
    <w:rsid w:val="00A26DF5"/>
    <w:pPr>
      <w:tabs>
        <w:tab w:val="center" w:pos="4513"/>
        <w:tab w:val="right" w:pos="9026"/>
      </w:tabs>
      <w:spacing w:line="240" w:lineRule="auto"/>
    </w:pPr>
    <w:rPr>
      <w:color w:val="0B4E60" w:themeColor="text2"/>
    </w:rPr>
  </w:style>
  <w:style w:type="character" w:customStyle="1" w:styleId="FooterChar">
    <w:name w:val="Footer Char"/>
    <w:basedOn w:val="DefaultParagraphFont"/>
    <w:link w:val="Footer"/>
    <w:uiPriority w:val="99"/>
    <w:rsid w:val="00A26DF5"/>
    <w:rPr>
      <w:color w:val="0B4E60" w:themeColor="text2"/>
      <w:sz w:val="24"/>
    </w:rPr>
  </w:style>
  <w:style w:type="character" w:customStyle="1" w:styleId="Heading1Char">
    <w:name w:val="Heading 1 Char"/>
    <w:basedOn w:val="DefaultParagraphFont"/>
    <w:link w:val="Heading1"/>
    <w:uiPriority w:val="1"/>
    <w:rsid w:val="00465B9E"/>
    <w:rPr>
      <w:rFonts w:asciiTheme="majorHAnsi" w:eastAsiaTheme="majorEastAsia" w:hAnsiTheme="majorHAnsi" w:cstheme="majorBidi"/>
      <w:color w:val="FFFFFF" w:themeColor="background1"/>
      <w:sz w:val="56"/>
      <w:szCs w:val="52"/>
      <w:bdr w:val="single" w:sz="48" w:space="0" w:color="009C98" w:themeColor="accent1"/>
    </w:rPr>
  </w:style>
  <w:style w:type="character" w:customStyle="1" w:styleId="Heading2Char">
    <w:name w:val="Heading 2 Char"/>
    <w:basedOn w:val="DefaultParagraphFont"/>
    <w:link w:val="Heading2"/>
    <w:uiPriority w:val="1"/>
    <w:rsid w:val="002D221B"/>
    <w:rPr>
      <w:rFonts w:asciiTheme="majorHAnsi" w:eastAsiaTheme="majorEastAsia" w:hAnsiTheme="majorHAnsi" w:cstheme="majorBidi"/>
      <w:b/>
      <w:color w:val="0B4E60" w:themeColor="text2"/>
      <w:sz w:val="36"/>
      <w:szCs w:val="32"/>
    </w:rPr>
  </w:style>
  <w:style w:type="character" w:customStyle="1" w:styleId="Heading3Char">
    <w:name w:val="Heading 3 Char"/>
    <w:basedOn w:val="DefaultParagraphFont"/>
    <w:link w:val="Heading3"/>
    <w:uiPriority w:val="1"/>
    <w:rsid w:val="004E2C9C"/>
    <w:rPr>
      <w:rFonts w:asciiTheme="majorHAnsi" w:eastAsiaTheme="majorEastAsia" w:hAnsiTheme="majorHAnsi" w:cstheme="majorBidi"/>
      <w:b/>
      <w:sz w:val="32"/>
      <w:szCs w:val="30"/>
    </w:rPr>
  </w:style>
  <w:style w:type="character" w:customStyle="1" w:styleId="Heading4Char">
    <w:name w:val="Heading 4 Char"/>
    <w:basedOn w:val="DefaultParagraphFont"/>
    <w:link w:val="Heading4"/>
    <w:uiPriority w:val="1"/>
    <w:rsid w:val="002D221B"/>
    <w:rPr>
      <w:rFonts w:asciiTheme="majorHAnsi" w:eastAsiaTheme="majorEastAsia" w:hAnsiTheme="majorHAnsi" w:cstheme="majorBidi"/>
      <w:b/>
      <w:color w:val="004E4B" w:themeColor="accent1" w:themeShade="80"/>
      <w:sz w:val="28"/>
      <w:szCs w:val="29"/>
    </w:rPr>
  </w:style>
  <w:style w:type="paragraph" w:styleId="Subtitle">
    <w:name w:val="Subtitle"/>
    <w:basedOn w:val="Title"/>
    <w:next w:val="Normal"/>
    <w:link w:val="SubtitleChar"/>
    <w:uiPriority w:val="10"/>
    <w:qFormat/>
    <w:rsid w:val="00972D5B"/>
    <w:rPr>
      <w:sz w:val="44"/>
      <w:szCs w:val="44"/>
    </w:rPr>
  </w:style>
  <w:style w:type="character" w:customStyle="1" w:styleId="SubtitleChar">
    <w:name w:val="Subtitle Char"/>
    <w:basedOn w:val="DefaultParagraphFont"/>
    <w:link w:val="Subtitle"/>
    <w:uiPriority w:val="10"/>
    <w:rsid w:val="00457EE1"/>
    <w:rPr>
      <w:rFonts w:asciiTheme="majorHAnsi" w:eastAsiaTheme="majorEastAsia" w:hAnsiTheme="majorHAnsi" w:cstheme="majorBidi"/>
      <w:color w:val="FFFFFF" w:themeColor="background1"/>
      <w:spacing w:val="2"/>
      <w:kern w:val="28"/>
      <w:sz w:val="44"/>
      <w:szCs w:val="44"/>
      <w:bdr w:val="single" w:sz="48" w:space="0" w:color="009C98" w:themeColor="accent1"/>
      <w:shd w:val="clear" w:color="auto" w:fill="009C98" w:themeFill="accent1"/>
    </w:rPr>
  </w:style>
  <w:style w:type="paragraph" w:styleId="FootnoteText">
    <w:name w:val="footnote text"/>
    <w:aliases w:val="FA Fu,Footnote Text Char Char,Footnote Text Char1 Char Char,Footnote Text Char Char Char Char,Footnote Text Char1 Char Char Char Char,Footnote Char Char Char Char Char,Footnote Text Char Char Char Char Char Char,Char,f,fn,5_G, Char"/>
    <w:basedOn w:val="Normal"/>
    <w:link w:val="FootnoteTextChar"/>
    <w:uiPriority w:val="99"/>
    <w:unhideWhenUsed/>
    <w:qFormat/>
    <w:rsid w:val="00A26DF5"/>
    <w:pPr>
      <w:spacing w:before="160" w:after="120" w:line="240" w:lineRule="auto"/>
    </w:pPr>
    <w:rPr>
      <w:noProof/>
      <w:color w:val="0B4E60" w:themeColor="text2"/>
      <w:szCs w:val="20"/>
    </w:rPr>
  </w:style>
  <w:style w:type="character" w:customStyle="1" w:styleId="FootnoteTextChar">
    <w:name w:val="Footnote Text Char"/>
    <w:aliases w:val="FA Fu Char,Footnote Text Char Char Char,Footnote Text Char1 Char Char Char,Footnote Text Char Char Char Char Char,Footnote Text Char1 Char Char Char Char Char,Footnote Char Char Char Char Char Char,Char Char,f Char,fn Char,5_G Char"/>
    <w:basedOn w:val="DefaultParagraphFont"/>
    <w:link w:val="FootnoteText"/>
    <w:uiPriority w:val="99"/>
    <w:rsid w:val="00A26DF5"/>
    <w:rPr>
      <w:noProof/>
      <w:color w:val="0B4E60" w:themeColor="text2"/>
      <w:sz w:val="24"/>
      <w:szCs w:val="20"/>
    </w:rPr>
  </w:style>
  <w:style w:type="character" w:styleId="FootnoteReference">
    <w:name w:val="footnote reference"/>
    <w:basedOn w:val="DefaultParagraphFont"/>
    <w:uiPriority w:val="99"/>
    <w:semiHidden/>
    <w:unhideWhenUsed/>
    <w:rsid w:val="0038266E"/>
    <w:rPr>
      <w:vertAlign w:val="superscript"/>
    </w:rPr>
  </w:style>
  <w:style w:type="character" w:styleId="Emphasis">
    <w:name w:val="Emphasis"/>
    <w:basedOn w:val="DefaultParagraphFont"/>
    <w:uiPriority w:val="20"/>
    <w:rsid w:val="00A26DF5"/>
    <w:rPr>
      <w:b/>
      <w:i w:val="0"/>
      <w:iCs/>
      <w:sz w:val="24"/>
    </w:rPr>
  </w:style>
  <w:style w:type="character" w:styleId="IntenseEmphasis">
    <w:name w:val="Intense Emphasis"/>
    <w:basedOn w:val="DefaultParagraphFont"/>
    <w:uiPriority w:val="21"/>
    <w:rsid w:val="00A26DF5"/>
    <w:rPr>
      <w:b/>
      <w:i w:val="0"/>
      <w:iCs/>
      <w:color w:val="007471" w:themeColor="accent1" w:themeShade="BF"/>
    </w:rPr>
  </w:style>
  <w:style w:type="numbering" w:customStyle="1" w:styleId="StyleOutlinenumberedLatinHeadingsArialComplexHeadi1">
    <w:name w:val="Style Outline numbered (Latin) +Headings (Arial) (Complex) +Headi...1"/>
    <w:basedOn w:val="NoList"/>
    <w:rsid w:val="004E2C9C"/>
    <w:pPr>
      <w:numPr>
        <w:numId w:val="30"/>
      </w:numPr>
    </w:pPr>
  </w:style>
  <w:style w:type="character" w:styleId="Hyperlink">
    <w:name w:val="Hyperlink"/>
    <w:basedOn w:val="DefaultParagraphFont"/>
    <w:uiPriority w:val="99"/>
    <w:unhideWhenUsed/>
    <w:rsid w:val="00277333"/>
    <w:rPr>
      <w:color w:val="auto"/>
      <w:u w:val="single" w:color="009C98" w:themeColor="accent1"/>
    </w:rPr>
  </w:style>
  <w:style w:type="character" w:styleId="FollowedHyperlink">
    <w:name w:val="FollowedHyperlink"/>
    <w:basedOn w:val="DefaultParagraphFont"/>
    <w:uiPriority w:val="99"/>
    <w:semiHidden/>
    <w:unhideWhenUsed/>
    <w:rsid w:val="00277333"/>
    <w:rPr>
      <w:color w:val="auto"/>
      <w:u w:val="single" w:color="009C98" w:themeColor="accent1"/>
    </w:rPr>
  </w:style>
  <w:style w:type="paragraph" w:styleId="Quote">
    <w:name w:val="Quote"/>
    <w:basedOn w:val="Normal"/>
    <w:next w:val="Normal"/>
    <w:link w:val="QuoteChar"/>
    <w:uiPriority w:val="29"/>
    <w:qFormat/>
    <w:rsid w:val="00A82FF5"/>
    <w:pPr>
      <w:ind w:left="680" w:right="963"/>
    </w:pPr>
  </w:style>
  <w:style w:type="character" w:customStyle="1" w:styleId="QuoteChar">
    <w:name w:val="Quote Char"/>
    <w:basedOn w:val="DefaultParagraphFont"/>
    <w:link w:val="Quote"/>
    <w:uiPriority w:val="29"/>
    <w:rsid w:val="00A82FF5"/>
    <w:rPr>
      <w:sz w:val="24"/>
    </w:rPr>
  </w:style>
  <w:style w:type="paragraph" w:styleId="IntenseQuote">
    <w:name w:val="Intense Quote"/>
    <w:basedOn w:val="Normal"/>
    <w:next w:val="Normal"/>
    <w:link w:val="IntenseQuoteChar"/>
    <w:uiPriority w:val="30"/>
    <w:rsid w:val="00B14602"/>
    <w:pPr>
      <w:pBdr>
        <w:top w:val="single" w:sz="18" w:space="12" w:color="009C98" w:themeColor="accent1"/>
        <w:bottom w:val="single" w:sz="18" w:space="12" w:color="009C98" w:themeColor="accent1"/>
      </w:pBdr>
      <w:spacing w:before="360" w:after="480"/>
      <w:ind w:left="454" w:right="454"/>
    </w:pPr>
  </w:style>
  <w:style w:type="character" w:customStyle="1" w:styleId="IntenseQuoteChar">
    <w:name w:val="Intense Quote Char"/>
    <w:basedOn w:val="DefaultParagraphFont"/>
    <w:link w:val="IntenseQuote"/>
    <w:uiPriority w:val="30"/>
    <w:rsid w:val="00B14602"/>
    <w:rPr>
      <w:sz w:val="28"/>
    </w:rPr>
  </w:style>
  <w:style w:type="paragraph" w:styleId="ListParagraph">
    <w:name w:val="List Paragraph"/>
    <w:basedOn w:val="Normal"/>
    <w:uiPriority w:val="34"/>
    <w:qFormat/>
    <w:rsid w:val="00E3122A"/>
    <w:pPr>
      <w:spacing w:before="60"/>
      <w:ind w:left="227"/>
    </w:pPr>
  </w:style>
  <w:style w:type="paragraph" w:styleId="NoSpacing">
    <w:name w:val="No Spacing"/>
    <w:uiPriority w:val="1"/>
    <w:semiHidden/>
    <w:rsid w:val="00B14602"/>
    <w:pPr>
      <w:spacing w:after="0" w:line="240" w:lineRule="auto"/>
    </w:pPr>
    <w:rPr>
      <w:sz w:val="28"/>
    </w:rPr>
  </w:style>
  <w:style w:type="paragraph" w:styleId="ListBullet">
    <w:name w:val="List Bullet"/>
    <w:basedOn w:val="ListParagraph"/>
    <w:uiPriority w:val="1"/>
    <w:qFormat/>
    <w:rsid w:val="001253D3"/>
    <w:pPr>
      <w:numPr>
        <w:numId w:val="15"/>
      </w:numPr>
    </w:pPr>
  </w:style>
  <w:style w:type="paragraph" w:styleId="ListBullet2">
    <w:name w:val="List Bullet 2"/>
    <w:basedOn w:val="Normal"/>
    <w:uiPriority w:val="99"/>
    <w:unhideWhenUsed/>
    <w:rsid w:val="00B14602"/>
    <w:pPr>
      <w:numPr>
        <w:numId w:val="2"/>
      </w:numPr>
      <w:contextualSpacing/>
    </w:pPr>
  </w:style>
  <w:style w:type="paragraph" w:styleId="ListBullet3">
    <w:name w:val="List Bullet 3"/>
    <w:basedOn w:val="Normal"/>
    <w:uiPriority w:val="99"/>
    <w:unhideWhenUsed/>
    <w:rsid w:val="00B14602"/>
    <w:pPr>
      <w:numPr>
        <w:numId w:val="3"/>
      </w:numPr>
      <w:contextualSpacing/>
    </w:pPr>
  </w:style>
  <w:style w:type="paragraph" w:styleId="ListBullet4">
    <w:name w:val="List Bullet 4"/>
    <w:basedOn w:val="Normal"/>
    <w:uiPriority w:val="99"/>
    <w:unhideWhenUsed/>
    <w:rsid w:val="00B14602"/>
    <w:pPr>
      <w:numPr>
        <w:numId w:val="4"/>
      </w:numPr>
      <w:contextualSpacing/>
    </w:pPr>
  </w:style>
  <w:style w:type="paragraph" w:styleId="List">
    <w:name w:val="List"/>
    <w:basedOn w:val="Normal"/>
    <w:uiPriority w:val="99"/>
    <w:unhideWhenUsed/>
    <w:rsid w:val="00A26DF5"/>
    <w:pPr>
      <w:ind w:left="283" w:hanging="283"/>
      <w:contextualSpacing/>
    </w:pPr>
  </w:style>
  <w:style w:type="paragraph" w:customStyle="1" w:styleId="Figureparagraphnocaption">
    <w:name w:val="Figure paragraph no caption"/>
    <w:basedOn w:val="Normal"/>
    <w:uiPriority w:val="3"/>
    <w:semiHidden/>
    <w:unhideWhenUsed/>
    <w:qFormat/>
    <w:rsid w:val="00880F69"/>
    <w:pPr>
      <w:spacing w:after="480"/>
    </w:pPr>
  </w:style>
  <w:style w:type="character" w:customStyle="1" w:styleId="Howtousethistemplate">
    <w:name w:val="How to use this template"/>
    <w:basedOn w:val="DefaultParagraphFont"/>
    <w:uiPriority w:val="99"/>
    <w:rsid w:val="00A82FF5"/>
    <w:rPr>
      <w:color w:val="722856" w:themeColor="accent5"/>
      <w:sz w:val="24"/>
    </w:rPr>
  </w:style>
  <w:style w:type="paragraph" w:styleId="Date">
    <w:name w:val="Date"/>
    <w:basedOn w:val="Subtitle"/>
    <w:next w:val="Normal"/>
    <w:link w:val="DateChar"/>
    <w:uiPriority w:val="11"/>
    <w:qFormat/>
    <w:rsid w:val="00F171F1"/>
  </w:style>
  <w:style w:type="character" w:customStyle="1" w:styleId="DateChar">
    <w:name w:val="Date Char"/>
    <w:basedOn w:val="DefaultParagraphFont"/>
    <w:link w:val="Date"/>
    <w:uiPriority w:val="11"/>
    <w:rsid w:val="00457EE1"/>
    <w:rPr>
      <w:rFonts w:asciiTheme="majorHAnsi" w:eastAsiaTheme="majorEastAsia" w:hAnsiTheme="majorHAnsi" w:cstheme="majorBidi"/>
      <w:color w:val="FFFFFF" w:themeColor="background1"/>
      <w:spacing w:val="2"/>
      <w:kern w:val="28"/>
      <w:sz w:val="44"/>
      <w:szCs w:val="44"/>
      <w:bdr w:val="single" w:sz="48" w:space="0" w:color="009C98" w:themeColor="accent1"/>
      <w:shd w:val="clear" w:color="auto" w:fill="009C98" w:themeFill="accent1"/>
    </w:rPr>
  </w:style>
  <w:style w:type="paragraph" w:styleId="TOC2">
    <w:name w:val="toc 2"/>
    <w:basedOn w:val="Normal"/>
    <w:next w:val="Normal"/>
    <w:autoRedefine/>
    <w:uiPriority w:val="39"/>
    <w:unhideWhenUsed/>
    <w:rsid w:val="00A82FF5"/>
    <w:pPr>
      <w:spacing w:after="100"/>
      <w:ind w:left="280"/>
    </w:pPr>
  </w:style>
  <w:style w:type="paragraph" w:styleId="TOC1">
    <w:name w:val="toc 1"/>
    <w:basedOn w:val="Normal"/>
    <w:next w:val="Normal"/>
    <w:autoRedefine/>
    <w:uiPriority w:val="39"/>
    <w:unhideWhenUsed/>
    <w:rsid w:val="00A82FF5"/>
    <w:pPr>
      <w:spacing w:after="100"/>
    </w:pPr>
    <w:rPr>
      <w:b/>
    </w:rPr>
  </w:style>
  <w:style w:type="paragraph" w:styleId="ListNumber">
    <w:name w:val="List Number"/>
    <w:basedOn w:val="Normal"/>
    <w:uiPriority w:val="1"/>
    <w:qFormat/>
    <w:rsid w:val="00230678"/>
    <w:pPr>
      <w:numPr>
        <w:numId w:val="8"/>
      </w:numPr>
      <w:spacing w:before="60"/>
      <w:contextualSpacing/>
    </w:pPr>
  </w:style>
  <w:style w:type="paragraph" w:customStyle="1" w:styleId="FigureTabletitle">
    <w:name w:val="Figure / Table title"/>
    <w:basedOn w:val="Normal"/>
    <w:uiPriority w:val="2"/>
    <w:qFormat/>
    <w:rsid w:val="00A26DF5"/>
    <w:pPr>
      <w:keepNext/>
      <w:spacing w:before="480" w:after="120"/>
    </w:pPr>
    <w:rPr>
      <w:b/>
    </w:rPr>
  </w:style>
  <w:style w:type="paragraph" w:customStyle="1" w:styleId="FigureTablesource">
    <w:name w:val="Figure / Table source"/>
    <w:basedOn w:val="Normal"/>
    <w:uiPriority w:val="3"/>
    <w:qFormat/>
    <w:rsid w:val="00D93B3E"/>
    <w:pPr>
      <w:spacing w:after="360"/>
    </w:pPr>
    <w:rPr>
      <w:szCs w:val="24"/>
    </w:rPr>
  </w:style>
  <w:style w:type="table" w:styleId="TableGrid">
    <w:name w:val="Table Grid"/>
    <w:basedOn w:val="TableNormal"/>
    <w:uiPriority w:val="39"/>
    <w:rsid w:val="00EF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Boxtitle"/>
    <w:uiPriority w:val="5"/>
    <w:qFormat/>
    <w:rsid w:val="00A26DF5"/>
    <w:rPr>
      <w:b w:val="0"/>
    </w:rPr>
  </w:style>
  <w:style w:type="paragraph" w:customStyle="1" w:styleId="Boxtitle">
    <w:name w:val="Box title"/>
    <w:basedOn w:val="FigureTabletitle"/>
    <w:uiPriority w:val="4"/>
    <w:qFormat/>
    <w:rsid w:val="004E2C9C"/>
    <w:pPr>
      <w:pBdr>
        <w:top w:val="single" w:sz="24" w:space="8" w:color="DDDE45" w:themeColor="accent3"/>
        <w:left w:val="single" w:sz="24" w:space="4" w:color="F1F1B4" w:themeColor="accent3" w:themeTint="66"/>
        <w:bottom w:val="single" w:sz="48" w:space="1" w:color="F1F1B4" w:themeColor="accent3" w:themeTint="66"/>
        <w:right w:val="single" w:sz="24" w:space="4" w:color="F1F1B4" w:themeColor="accent3" w:themeTint="66"/>
      </w:pBdr>
      <w:shd w:val="clear" w:color="auto" w:fill="F1F1B4" w:themeFill="accent3" w:themeFillTint="66"/>
      <w:spacing w:before="400" w:after="240"/>
      <w:ind w:left="142" w:right="198"/>
    </w:pPr>
  </w:style>
  <w:style w:type="paragraph" w:customStyle="1" w:styleId="Boxsource">
    <w:name w:val="Box source"/>
    <w:basedOn w:val="Boxtext"/>
    <w:uiPriority w:val="6"/>
    <w:rsid w:val="004E2C9C"/>
    <w:pPr>
      <w:spacing w:after="400"/>
    </w:pPr>
  </w:style>
  <w:style w:type="character" w:customStyle="1" w:styleId="Heading7Char">
    <w:name w:val="Heading 7 Char"/>
    <w:basedOn w:val="DefaultParagraphFont"/>
    <w:link w:val="Heading7"/>
    <w:uiPriority w:val="9"/>
    <w:semiHidden/>
    <w:rsid w:val="003B7D03"/>
    <w:rPr>
      <w:rFonts w:asciiTheme="majorHAnsi" w:eastAsiaTheme="majorEastAsia" w:hAnsiTheme="majorHAnsi" w:cstheme="majorBidi"/>
      <w:i/>
      <w:iCs/>
      <w:color w:val="004D4B" w:themeColor="accent1" w:themeShade="7F"/>
      <w:sz w:val="28"/>
    </w:rPr>
  </w:style>
  <w:style w:type="paragraph" w:customStyle="1" w:styleId="Boxstandfirst">
    <w:name w:val="Box standfirst"/>
    <w:basedOn w:val="Boxtext"/>
    <w:uiPriority w:val="6"/>
    <w:unhideWhenUsed/>
    <w:rsid w:val="00A26DF5"/>
    <w:pPr>
      <w:spacing w:before="0"/>
    </w:pPr>
    <w:rPr>
      <w:color w:val="0B4E60" w:themeColor="text2"/>
    </w:rPr>
  </w:style>
  <w:style w:type="paragraph" w:customStyle="1" w:styleId="TableParagraph">
    <w:name w:val="Table Paragraph"/>
    <w:basedOn w:val="FigureTabletitle"/>
    <w:uiPriority w:val="1"/>
    <w:rsid w:val="00A82FF5"/>
    <w:pPr>
      <w:spacing w:before="120"/>
    </w:pPr>
    <w:rPr>
      <w:rFonts w:asciiTheme="majorHAnsi" w:hAnsiTheme="majorHAnsi" w:cstheme="majorHAnsi"/>
      <w:b w:val="0"/>
      <w:szCs w:val="28"/>
    </w:rPr>
  </w:style>
  <w:style w:type="paragraph" w:styleId="BodyText">
    <w:name w:val="Body Text"/>
    <w:basedOn w:val="Normal"/>
    <w:link w:val="BodyTextChar"/>
    <w:uiPriority w:val="99"/>
    <w:semiHidden/>
    <w:unhideWhenUsed/>
    <w:rsid w:val="00A82FF5"/>
    <w:pPr>
      <w:spacing w:after="120"/>
    </w:pPr>
  </w:style>
  <w:style w:type="character" w:customStyle="1" w:styleId="BodyTextChar">
    <w:name w:val="Body Text Char"/>
    <w:basedOn w:val="DefaultParagraphFont"/>
    <w:link w:val="BodyText"/>
    <w:uiPriority w:val="99"/>
    <w:semiHidden/>
    <w:rsid w:val="00A82FF5"/>
    <w:rPr>
      <w:sz w:val="24"/>
    </w:rPr>
  </w:style>
  <w:style w:type="paragraph" w:styleId="TOC3">
    <w:name w:val="toc 3"/>
    <w:basedOn w:val="Normal"/>
    <w:next w:val="Normal"/>
    <w:autoRedefine/>
    <w:uiPriority w:val="39"/>
    <w:unhideWhenUsed/>
    <w:rsid w:val="00A82FF5"/>
    <w:pPr>
      <w:spacing w:after="100"/>
      <w:ind w:left="560"/>
    </w:pPr>
  </w:style>
  <w:style w:type="numbering" w:customStyle="1" w:styleId="StyleBulletedSymbolsymbolLeft063cmHanging063cm1">
    <w:name w:val="Style Bulleted Symbol (symbol) Left:  0.63 cm Hanging:  0.63 cm1"/>
    <w:basedOn w:val="NoList"/>
    <w:rsid w:val="00841C02"/>
    <w:pPr>
      <w:numPr>
        <w:numId w:val="7"/>
      </w:numPr>
    </w:pPr>
  </w:style>
  <w:style w:type="numbering" w:customStyle="1" w:styleId="StyleNumberedLeft0cmHanging127cm">
    <w:name w:val="Style Numbered Left:  0 cm Hanging:  1.27 cm"/>
    <w:basedOn w:val="NoList"/>
    <w:rsid w:val="00420E5D"/>
    <w:pPr>
      <w:numPr>
        <w:numId w:val="9"/>
      </w:numPr>
    </w:pPr>
  </w:style>
  <w:style w:type="character" w:customStyle="1" w:styleId="Heading5Char">
    <w:name w:val="Heading 5 Char"/>
    <w:basedOn w:val="DefaultParagraphFont"/>
    <w:uiPriority w:val="9"/>
    <w:semiHidden/>
    <w:rsid w:val="004A47A5"/>
    <w:rPr>
      <w:rFonts w:asciiTheme="majorHAnsi" w:eastAsiaTheme="majorEastAsia" w:hAnsiTheme="majorHAnsi" w:cstheme="majorBidi"/>
      <w:color w:val="007471" w:themeColor="accent1" w:themeShade="BF"/>
      <w:sz w:val="28"/>
    </w:rPr>
  </w:style>
  <w:style w:type="character" w:customStyle="1" w:styleId="Heading6Char">
    <w:name w:val="Heading 6 Char"/>
    <w:basedOn w:val="DefaultParagraphFont"/>
    <w:uiPriority w:val="9"/>
    <w:semiHidden/>
    <w:rsid w:val="004A47A5"/>
    <w:rPr>
      <w:rFonts w:asciiTheme="majorHAnsi" w:eastAsiaTheme="majorEastAsia" w:hAnsiTheme="majorHAnsi" w:cstheme="majorBidi"/>
      <w:color w:val="004D4B" w:themeColor="accent1" w:themeShade="7F"/>
      <w:sz w:val="28"/>
    </w:rPr>
  </w:style>
  <w:style w:type="character" w:customStyle="1" w:styleId="Heading8Char">
    <w:name w:val="Heading 8 Char"/>
    <w:basedOn w:val="DefaultParagraphFont"/>
    <w:uiPriority w:val="9"/>
    <w:semiHidden/>
    <w:rsid w:val="004A47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4A47A5"/>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A457FE"/>
    <w:rPr>
      <w:sz w:val="16"/>
      <w:szCs w:val="16"/>
    </w:rPr>
  </w:style>
  <w:style w:type="paragraph" w:styleId="CommentText">
    <w:name w:val="annotation text"/>
    <w:basedOn w:val="Normal"/>
    <w:link w:val="CommentTextChar"/>
    <w:uiPriority w:val="99"/>
    <w:unhideWhenUsed/>
    <w:rsid w:val="00A457FE"/>
    <w:pPr>
      <w:spacing w:line="240" w:lineRule="auto"/>
    </w:pPr>
    <w:rPr>
      <w:sz w:val="20"/>
      <w:szCs w:val="20"/>
    </w:rPr>
  </w:style>
  <w:style w:type="character" w:customStyle="1" w:styleId="CommentTextChar">
    <w:name w:val="Comment Text Char"/>
    <w:basedOn w:val="DefaultParagraphFont"/>
    <w:link w:val="CommentText"/>
    <w:uiPriority w:val="99"/>
    <w:rsid w:val="00A457FE"/>
    <w:rPr>
      <w:sz w:val="20"/>
      <w:szCs w:val="20"/>
    </w:rPr>
  </w:style>
  <w:style w:type="paragraph" w:styleId="CommentSubject">
    <w:name w:val="annotation subject"/>
    <w:basedOn w:val="CommentText"/>
    <w:next w:val="CommentText"/>
    <w:link w:val="CommentSubjectChar"/>
    <w:uiPriority w:val="99"/>
    <w:semiHidden/>
    <w:unhideWhenUsed/>
    <w:rsid w:val="00A457FE"/>
    <w:rPr>
      <w:b/>
      <w:bCs/>
    </w:rPr>
  </w:style>
  <w:style w:type="character" w:customStyle="1" w:styleId="CommentSubjectChar">
    <w:name w:val="Comment Subject Char"/>
    <w:basedOn w:val="CommentTextChar"/>
    <w:link w:val="CommentSubject"/>
    <w:uiPriority w:val="99"/>
    <w:semiHidden/>
    <w:rsid w:val="00A457FE"/>
    <w:rPr>
      <w:b/>
      <w:bCs/>
      <w:sz w:val="20"/>
      <w:szCs w:val="20"/>
    </w:rPr>
  </w:style>
  <w:style w:type="paragraph" w:styleId="BalloonText">
    <w:name w:val="Balloon Text"/>
    <w:basedOn w:val="Normal"/>
    <w:link w:val="BalloonTextChar"/>
    <w:uiPriority w:val="99"/>
    <w:semiHidden/>
    <w:unhideWhenUsed/>
    <w:rsid w:val="00A457F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FE"/>
    <w:rPr>
      <w:rFonts w:ascii="Segoe UI" w:hAnsi="Segoe UI" w:cs="Segoe UI"/>
      <w:sz w:val="18"/>
      <w:szCs w:val="18"/>
    </w:rPr>
  </w:style>
  <w:style w:type="numbering" w:customStyle="1" w:styleId="StyleBulletedLatinCourierNewLeft19cmHanging063">
    <w:name w:val="Style Bulleted (Latin) Courier New Left:  1.9 cm Hanging:  0.63 ..."/>
    <w:basedOn w:val="NoList"/>
    <w:rsid w:val="009D0D69"/>
    <w:pPr>
      <w:numPr>
        <w:numId w:val="10"/>
      </w:numPr>
    </w:pPr>
  </w:style>
  <w:style w:type="character" w:styleId="PlaceholderText">
    <w:name w:val="Placeholder Text"/>
    <w:basedOn w:val="DefaultParagraphFont"/>
    <w:uiPriority w:val="99"/>
    <w:semiHidden/>
    <w:rsid w:val="00A82FF5"/>
    <w:rPr>
      <w:color w:val="808080"/>
      <w:sz w:val="24"/>
    </w:rPr>
  </w:style>
  <w:style w:type="paragraph" w:customStyle="1" w:styleId="Standfirst">
    <w:name w:val="Standfirst"/>
    <w:basedOn w:val="Normal"/>
    <w:uiPriority w:val="3"/>
    <w:semiHidden/>
    <w:unhideWhenUsed/>
    <w:rsid w:val="00A82FF5"/>
    <w:rPr>
      <w:color w:val="0B4E60" w:themeColor="text2"/>
    </w:rPr>
  </w:style>
  <w:style w:type="paragraph" w:styleId="TOC6">
    <w:name w:val="toc 6"/>
    <w:basedOn w:val="Normal"/>
    <w:next w:val="Normal"/>
    <w:autoRedefine/>
    <w:uiPriority w:val="39"/>
    <w:semiHidden/>
    <w:unhideWhenUsed/>
    <w:rsid w:val="00A82FF5"/>
    <w:pPr>
      <w:spacing w:after="100"/>
      <w:ind w:left="1400"/>
    </w:pPr>
  </w:style>
  <w:style w:type="character" w:customStyle="1" w:styleId="Heading5Char1">
    <w:name w:val="Heading 5 Char1"/>
    <w:basedOn w:val="DefaultParagraphFont"/>
    <w:link w:val="Heading5"/>
    <w:uiPriority w:val="9"/>
    <w:rsid w:val="004E2C9C"/>
    <w:rPr>
      <w:rFonts w:asciiTheme="majorHAnsi" w:eastAsiaTheme="majorEastAsia" w:hAnsiTheme="majorHAnsi" w:cstheme="majorBidi"/>
      <w:b/>
      <w:sz w:val="24"/>
    </w:rPr>
  </w:style>
  <w:style w:type="paragraph" w:styleId="TOCHeading">
    <w:name w:val="TOC Heading"/>
    <w:basedOn w:val="Normal"/>
    <w:next w:val="Normal"/>
    <w:uiPriority w:val="39"/>
    <w:unhideWhenUsed/>
    <w:qFormat/>
    <w:rsid w:val="00A82FF5"/>
    <w:rPr>
      <w:color w:val="009C98" w:themeColor="accent1"/>
      <w:sz w:val="52"/>
      <w:szCs w:val="56"/>
    </w:rPr>
  </w:style>
  <w:style w:type="paragraph" w:customStyle="1" w:styleId="Author">
    <w:name w:val="Author"/>
    <w:basedOn w:val="Normal"/>
    <w:uiPriority w:val="12"/>
    <w:rsid w:val="00E15F4E"/>
    <w:rPr>
      <w:sz w:val="36"/>
    </w:rPr>
  </w:style>
  <w:style w:type="paragraph" w:customStyle="1" w:styleId="Boxbullets">
    <w:name w:val="Box bullets"/>
    <w:basedOn w:val="Boxtext"/>
    <w:uiPriority w:val="6"/>
    <w:qFormat/>
    <w:rsid w:val="00A82FF5"/>
    <w:pPr>
      <w:numPr>
        <w:numId w:val="14"/>
      </w:numPr>
    </w:pPr>
  </w:style>
  <w:style w:type="paragraph" w:customStyle="1" w:styleId="Boxnumberedlist">
    <w:name w:val="Box numbered list"/>
    <w:basedOn w:val="Boxtext"/>
    <w:uiPriority w:val="6"/>
    <w:rsid w:val="00A82FF5"/>
    <w:pPr>
      <w:numPr>
        <w:numId w:val="11"/>
      </w:numPr>
      <w:ind w:left="709" w:hanging="567"/>
    </w:pPr>
  </w:style>
  <w:style w:type="numbering" w:customStyle="1" w:styleId="Basicbulletlist">
    <w:name w:val="Basic bullet list"/>
    <w:uiPriority w:val="99"/>
    <w:rsid w:val="00283666"/>
    <w:pPr>
      <w:numPr>
        <w:numId w:val="12"/>
      </w:numPr>
    </w:pPr>
  </w:style>
  <w:style w:type="numbering" w:customStyle="1" w:styleId="Boxbulletlist">
    <w:name w:val="Box bullet list"/>
    <w:uiPriority w:val="99"/>
    <w:rsid w:val="00283666"/>
    <w:pPr>
      <w:numPr>
        <w:numId w:val="13"/>
      </w:numPr>
    </w:pPr>
  </w:style>
  <w:style w:type="table" w:customStyle="1" w:styleId="EHRCTable1">
    <w:name w:val="EHRC Table 1"/>
    <w:basedOn w:val="TableNormal"/>
    <w:uiPriority w:val="99"/>
    <w:rsid w:val="00CC0205"/>
    <w:pPr>
      <w:spacing w:after="60" w:line="264" w:lineRule="auto"/>
      <w:jc w:val="right"/>
    </w:pPr>
    <w:rPr>
      <w:sz w:val="28"/>
    </w:rPr>
    <w:tblPr>
      <w:tblBorders>
        <w:top w:val="single" w:sz="4" w:space="0" w:color="7DCAC7" w:themeColor="background2"/>
        <w:bottom w:val="single" w:sz="2" w:space="0" w:color="7DCAC7" w:themeColor="background2"/>
        <w:insideH w:val="single" w:sz="2" w:space="0" w:color="7DCAC7" w:themeColor="background2"/>
        <w:insideV w:val="single" w:sz="2" w:space="0" w:color="7DCAC7" w:themeColor="background2"/>
      </w:tblBorders>
    </w:tblPr>
    <w:tcPr>
      <w:shd w:val="clear" w:color="auto" w:fill="auto"/>
      <w:tcMar>
        <w:top w:w="57" w:type="dxa"/>
        <w:bottom w:w="57" w:type="dxa"/>
      </w:tcMar>
    </w:tcPr>
    <w:tblStylePr w:type="firstRow">
      <w:pPr>
        <w:wordWrap/>
        <w:spacing w:beforeLines="0" w:before="60" w:beforeAutospacing="0" w:afterLines="0" w:after="60" w:afterAutospacing="0" w:line="264" w:lineRule="auto"/>
      </w:pPr>
      <w:rPr>
        <w:b/>
        <w:color w:val="FFFFFF" w:themeColor="background1"/>
      </w:rPr>
      <w:tblPr/>
      <w:tcPr>
        <w:tcBorders>
          <w:top w:val="nil"/>
          <w:insideV w:val="single" w:sz="4" w:space="0" w:color="FFFFFF" w:themeColor="background1"/>
        </w:tcBorders>
        <w:shd w:val="clear" w:color="auto" w:fill="009C98" w:themeFill="accent1"/>
      </w:tcPr>
    </w:tblStylePr>
    <w:tblStylePr w:type="lastRow">
      <w:rPr>
        <w:b/>
      </w:rPr>
      <w:tblPr/>
      <w:tcPr>
        <w:shd w:val="clear" w:color="auto" w:fill="E4F4F3" w:themeFill="background2" w:themeFillTint="33"/>
      </w:tcPr>
    </w:tblStylePr>
    <w:tblStylePr w:type="firstCol">
      <w:pPr>
        <w:jc w:val="left"/>
      </w:pPr>
    </w:tblStylePr>
  </w:style>
  <w:style w:type="table" w:customStyle="1" w:styleId="EHRCTable2">
    <w:name w:val="EHRC Table 2"/>
    <w:basedOn w:val="EHRCTable1"/>
    <w:uiPriority w:val="99"/>
    <w:rsid w:val="00CC0205"/>
    <w:pPr>
      <w:spacing w:after="0" w:line="240" w:lineRule="auto"/>
      <w:jc w:val="left"/>
    </w:pPr>
    <w:tblPr/>
    <w:tcPr>
      <w:shd w:val="clear" w:color="auto" w:fill="auto"/>
    </w:tcPr>
    <w:tblStylePr w:type="firstRow">
      <w:pPr>
        <w:wordWrap/>
        <w:spacing w:beforeLines="0" w:before="60" w:beforeAutospacing="0" w:afterLines="0" w:after="60" w:afterAutospacing="0" w:line="264" w:lineRule="auto"/>
      </w:pPr>
      <w:rPr>
        <w:b/>
        <w:color w:val="FFFFFF" w:themeColor="background1"/>
      </w:rPr>
      <w:tblPr/>
      <w:tcPr>
        <w:tcBorders>
          <w:top w:val="nil"/>
          <w:insideV w:val="single" w:sz="4" w:space="0" w:color="FFFFFF" w:themeColor="background1"/>
        </w:tcBorders>
        <w:shd w:val="clear" w:color="auto" w:fill="009C98" w:themeFill="accent1"/>
      </w:tcPr>
    </w:tblStylePr>
    <w:tblStylePr w:type="lastRow">
      <w:rPr>
        <w:b/>
      </w:rPr>
      <w:tblPr/>
      <w:tcPr>
        <w:shd w:val="clear" w:color="auto" w:fill="E4F4F3" w:themeFill="background2" w:themeFillTint="33"/>
      </w:tcPr>
    </w:tblStylePr>
    <w:tblStylePr w:type="firstCol">
      <w:pPr>
        <w:jc w:val="left"/>
      </w:pPr>
    </w:tblStylePr>
  </w:style>
  <w:style w:type="paragraph" w:styleId="EndnoteText">
    <w:name w:val="endnote text"/>
    <w:basedOn w:val="Normal"/>
    <w:link w:val="EndnoteTextChar"/>
    <w:uiPriority w:val="99"/>
    <w:unhideWhenUsed/>
    <w:rsid w:val="00A26DF5"/>
    <w:pPr>
      <w:spacing w:before="0" w:line="240" w:lineRule="auto"/>
    </w:pPr>
    <w:rPr>
      <w:szCs w:val="20"/>
    </w:rPr>
  </w:style>
  <w:style w:type="character" w:customStyle="1" w:styleId="EndnoteTextChar">
    <w:name w:val="Endnote Text Char"/>
    <w:basedOn w:val="DefaultParagraphFont"/>
    <w:link w:val="EndnoteText"/>
    <w:uiPriority w:val="99"/>
    <w:rsid w:val="00A26DF5"/>
    <w:rPr>
      <w:sz w:val="24"/>
      <w:szCs w:val="20"/>
    </w:rPr>
  </w:style>
  <w:style w:type="character" w:styleId="PageNumber">
    <w:name w:val="page number"/>
    <w:basedOn w:val="DefaultParagraphFont"/>
    <w:uiPriority w:val="99"/>
    <w:semiHidden/>
    <w:unhideWhenUsed/>
    <w:rsid w:val="00A82FF5"/>
    <w:rPr>
      <w:color w:val="0B4E60" w:themeColor="text2"/>
      <w:sz w:val="24"/>
    </w:rPr>
  </w:style>
  <w:style w:type="paragraph" w:customStyle="1" w:styleId="Casestudytext">
    <w:name w:val="Case study text"/>
    <w:basedOn w:val="Boxtext"/>
    <w:uiPriority w:val="8"/>
    <w:qFormat/>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4F4F3" w:themeFill="background2" w:themeFillTint="33"/>
      <w:spacing w:after="400"/>
    </w:pPr>
  </w:style>
  <w:style w:type="paragraph" w:customStyle="1" w:styleId="Casestudysource">
    <w:name w:val="Case study source"/>
    <w:basedOn w:val="Boxsource"/>
    <w:uiPriority w:val="8"/>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4F4F3" w:themeFill="background2" w:themeFillTint="33"/>
    </w:pPr>
    <w:rPr>
      <w:color w:val="0B4E60" w:themeColor="text2"/>
    </w:rPr>
  </w:style>
  <w:style w:type="paragraph" w:customStyle="1" w:styleId="Casestudytitle">
    <w:name w:val="Case study title"/>
    <w:basedOn w:val="Boxtitle"/>
    <w:uiPriority w:val="7"/>
    <w:qFormat/>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0B4E60" w:themeFill="text2"/>
      <w:tabs>
        <w:tab w:val="left" w:pos="7938"/>
      </w:tabs>
      <w:spacing w:after="120"/>
    </w:pPr>
  </w:style>
  <w:style w:type="paragraph" w:customStyle="1" w:styleId="Documenttype">
    <w:name w:val="Document type"/>
    <w:basedOn w:val="Date"/>
    <w:rsid w:val="00A444F9"/>
    <w:pPr>
      <w:pBdr>
        <w:top w:val="single" w:sz="48" w:space="0" w:color="0B4E60" w:themeColor="text2"/>
        <w:left w:val="single" w:sz="48" w:space="0" w:color="0B4E60" w:themeColor="text2"/>
        <w:bottom w:val="single" w:sz="48" w:space="0" w:color="0B4E60" w:themeColor="text2"/>
        <w:right w:val="single" w:sz="48" w:space="0" w:color="0B4E60" w:themeColor="text2"/>
      </w:pBdr>
      <w:shd w:val="clear" w:color="auto" w:fill="0B4E60" w:themeFill="text2"/>
    </w:pPr>
    <w:rPr>
      <w:sz w:val="40"/>
      <w:bdr w:val="single" w:sz="48" w:space="0" w:color="0B4E60" w:themeColor="text2"/>
      <w:shd w:val="clear" w:color="auto" w:fill="auto"/>
    </w:rPr>
  </w:style>
  <w:style w:type="paragraph" w:customStyle="1" w:styleId="Documentstatus">
    <w:name w:val="Document status"/>
    <w:basedOn w:val="Author"/>
    <w:rsid w:val="00605567"/>
    <w:rPr>
      <w:sz w:val="32"/>
    </w:rPr>
  </w:style>
  <w:style w:type="paragraph" w:styleId="BodyText2">
    <w:name w:val="Body Text 2"/>
    <w:basedOn w:val="Normal"/>
    <w:link w:val="BodyText2Char"/>
    <w:uiPriority w:val="99"/>
    <w:semiHidden/>
    <w:unhideWhenUsed/>
    <w:rsid w:val="00A82FF5"/>
    <w:pPr>
      <w:spacing w:after="120" w:line="480" w:lineRule="auto"/>
    </w:pPr>
  </w:style>
  <w:style w:type="character" w:customStyle="1" w:styleId="BodyText2Char">
    <w:name w:val="Body Text 2 Char"/>
    <w:basedOn w:val="DefaultParagraphFont"/>
    <w:link w:val="BodyText2"/>
    <w:uiPriority w:val="99"/>
    <w:semiHidden/>
    <w:rsid w:val="00A82FF5"/>
    <w:rPr>
      <w:sz w:val="24"/>
    </w:rPr>
  </w:style>
  <w:style w:type="paragraph" w:styleId="BodyTextFirstIndent">
    <w:name w:val="Body Text First Indent"/>
    <w:basedOn w:val="BodyText"/>
    <w:link w:val="BodyTextFirstIndentChar"/>
    <w:uiPriority w:val="99"/>
    <w:semiHidden/>
    <w:unhideWhenUsed/>
    <w:rsid w:val="00A82FF5"/>
    <w:pPr>
      <w:spacing w:after="0"/>
      <w:ind w:firstLine="360"/>
    </w:pPr>
  </w:style>
  <w:style w:type="character" w:customStyle="1" w:styleId="BodyTextFirstIndentChar">
    <w:name w:val="Body Text First Indent Char"/>
    <w:basedOn w:val="BodyTextChar"/>
    <w:link w:val="BodyTextFirstIndent"/>
    <w:uiPriority w:val="99"/>
    <w:semiHidden/>
    <w:rsid w:val="00A82FF5"/>
    <w:rPr>
      <w:sz w:val="24"/>
    </w:rPr>
  </w:style>
  <w:style w:type="paragraph" w:styleId="BodyTextIndent">
    <w:name w:val="Body Text Indent"/>
    <w:basedOn w:val="Normal"/>
    <w:link w:val="BodyTextIndentChar"/>
    <w:uiPriority w:val="99"/>
    <w:semiHidden/>
    <w:unhideWhenUsed/>
    <w:rsid w:val="00A82FF5"/>
    <w:pPr>
      <w:spacing w:after="120"/>
      <w:ind w:left="283"/>
    </w:pPr>
  </w:style>
  <w:style w:type="character" w:customStyle="1" w:styleId="BodyTextIndentChar">
    <w:name w:val="Body Text Indent Char"/>
    <w:basedOn w:val="DefaultParagraphFont"/>
    <w:link w:val="BodyTextIndent"/>
    <w:uiPriority w:val="99"/>
    <w:semiHidden/>
    <w:rsid w:val="00A82FF5"/>
    <w:rPr>
      <w:sz w:val="24"/>
    </w:rPr>
  </w:style>
  <w:style w:type="paragraph" w:styleId="BodyTextFirstIndent2">
    <w:name w:val="Body Text First Indent 2"/>
    <w:basedOn w:val="BodyTextIndent"/>
    <w:link w:val="BodyTextFirstIndent2Char"/>
    <w:uiPriority w:val="99"/>
    <w:semiHidden/>
    <w:unhideWhenUsed/>
    <w:rsid w:val="00A82FF5"/>
    <w:pPr>
      <w:spacing w:after="0"/>
      <w:ind w:left="360" w:firstLine="360"/>
    </w:pPr>
  </w:style>
  <w:style w:type="character" w:customStyle="1" w:styleId="BodyTextFirstIndent2Char">
    <w:name w:val="Body Text First Indent 2 Char"/>
    <w:basedOn w:val="BodyTextIndentChar"/>
    <w:link w:val="BodyTextFirstIndent2"/>
    <w:uiPriority w:val="99"/>
    <w:semiHidden/>
    <w:rsid w:val="00A82FF5"/>
    <w:rPr>
      <w:sz w:val="24"/>
    </w:rPr>
  </w:style>
  <w:style w:type="paragraph" w:styleId="BodyTextIndent2">
    <w:name w:val="Body Text Indent 2"/>
    <w:basedOn w:val="Normal"/>
    <w:link w:val="BodyTextIndent2Char"/>
    <w:uiPriority w:val="99"/>
    <w:semiHidden/>
    <w:unhideWhenUsed/>
    <w:rsid w:val="00A82FF5"/>
    <w:pPr>
      <w:spacing w:after="120" w:line="480" w:lineRule="auto"/>
      <w:ind w:left="283"/>
    </w:pPr>
  </w:style>
  <w:style w:type="character" w:customStyle="1" w:styleId="BodyTextIndent2Char">
    <w:name w:val="Body Text Indent 2 Char"/>
    <w:basedOn w:val="DefaultParagraphFont"/>
    <w:link w:val="BodyTextIndent2"/>
    <w:uiPriority w:val="99"/>
    <w:semiHidden/>
    <w:rsid w:val="00A82FF5"/>
    <w:rPr>
      <w:sz w:val="24"/>
    </w:rPr>
  </w:style>
  <w:style w:type="paragraph" w:styleId="TOC7">
    <w:name w:val="toc 7"/>
    <w:basedOn w:val="Normal"/>
    <w:next w:val="Normal"/>
    <w:autoRedefine/>
    <w:uiPriority w:val="39"/>
    <w:semiHidden/>
    <w:unhideWhenUsed/>
    <w:rsid w:val="00A82FF5"/>
    <w:pPr>
      <w:spacing w:after="100"/>
      <w:ind w:left="1680"/>
    </w:pPr>
  </w:style>
  <w:style w:type="paragraph" w:styleId="TOC8">
    <w:name w:val="toc 8"/>
    <w:basedOn w:val="Normal"/>
    <w:next w:val="Normal"/>
    <w:autoRedefine/>
    <w:uiPriority w:val="39"/>
    <w:semiHidden/>
    <w:unhideWhenUsed/>
    <w:rsid w:val="00A82FF5"/>
    <w:pPr>
      <w:spacing w:after="100"/>
      <w:ind w:left="1960"/>
    </w:pPr>
  </w:style>
  <w:style w:type="paragraph" w:styleId="TOC9">
    <w:name w:val="toc 9"/>
    <w:basedOn w:val="Normal"/>
    <w:next w:val="Normal"/>
    <w:autoRedefine/>
    <w:uiPriority w:val="39"/>
    <w:semiHidden/>
    <w:unhideWhenUsed/>
    <w:rsid w:val="00A82FF5"/>
    <w:pPr>
      <w:spacing w:after="100"/>
      <w:ind w:left="2240"/>
    </w:pPr>
  </w:style>
  <w:style w:type="paragraph" w:styleId="TOC5">
    <w:name w:val="toc 5"/>
    <w:basedOn w:val="Normal"/>
    <w:next w:val="Normal"/>
    <w:autoRedefine/>
    <w:uiPriority w:val="39"/>
    <w:semiHidden/>
    <w:unhideWhenUsed/>
    <w:rsid w:val="00A82FF5"/>
    <w:pPr>
      <w:spacing w:after="100"/>
      <w:ind w:left="1120"/>
    </w:pPr>
  </w:style>
  <w:style w:type="paragraph" w:styleId="TOC4">
    <w:name w:val="toc 4"/>
    <w:basedOn w:val="Normal"/>
    <w:next w:val="Normal"/>
    <w:autoRedefine/>
    <w:uiPriority w:val="39"/>
    <w:semiHidden/>
    <w:unhideWhenUsed/>
    <w:rsid w:val="00A82FF5"/>
    <w:pPr>
      <w:spacing w:after="100"/>
      <w:ind w:left="840"/>
    </w:pPr>
  </w:style>
  <w:style w:type="paragraph" w:styleId="TOAHeading">
    <w:name w:val="toa heading"/>
    <w:basedOn w:val="Normal"/>
    <w:next w:val="Normal"/>
    <w:uiPriority w:val="99"/>
    <w:semiHidden/>
    <w:unhideWhenUsed/>
    <w:rsid w:val="00A82FF5"/>
    <w:pPr>
      <w:spacing w:before="120"/>
    </w:pPr>
    <w:rPr>
      <w:rFonts w:asciiTheme="majorHAnsi" w:eastAsiaTheme="majorEastAsia" w:hAnsiTheme="majorHAnsi" w:cstheme="majorBidi"/>
      <w:b/>
      <w:bCs/>
      <w:szCs w:val="24"/>
    </w:rPr>
  </w:style>
  <w:style w:type="paragraph" w:styleId="TableofFigures">
    <w:name w:val="table of figures"/>
    <w:basedOn w:val="Normal"/>
    <w:next w:val="Normal"/>
    <w:uiPriority w:val="99"/>
    <w:semiHidden/>
    <w:unhideWhenUsed/>
    <w:rsid w:val="00A82FF5"/>
  </w:style>
  <w:style w:type="paragraph" w:styleId="TableofAuthorities">
    <w:name w:val="table of authorities"/>
    <w:basedOn w:val="Normal"/>
    <w:next w:val="Normal"/>
    <w:uiPriority w:val="99"/>
    <w:semiHidden/>
    <w:unhideWhenUsed/>
    <w:rsid w:val="00A82FF5"/>
    <w:pPr>
      <w:ind w:left="280" w:hanging="280"/>
    </w:pPr>
  </w:style>
  <w:style w:type="character" w:styleId="SubtleReference">
    <w:name w:val="Subtle Reference"/>
    <w:basedOn w:val="DefaultParagraphFont"/>
    <w:uiPriority w:val="31"/>
    <w:rsid w:val="00A82FF5"/>
    <w:rPr>
      <w:smallCaps/>
      <w:color w:val="5A5A5A" w:themeColor="text1" w:themeTint="A5"/>
      <w:sz w:val="24"/>
    </w:rPr>
  </w:style>
  <w:style w:type="character" w:styleId="Strong">
    <w:name w:val="Strong"/>
    <w:basedOn w:val="DefaultParagraphFont"/>
    <w:uiPriority w:val="22"/>
    <w:rsid w:val="00A82FF5"/>
    <w:rPr>
      <w:b/>
      <w:bCs/>
      <w:sz w:val="24"/>
    </w:rPr>
  </w:style>
  <w:style w:type="paragraph" w:styleId="Signature">
    <w:name w:val="Signature"/>
    <w:basedOn w:val="Normal"/>
    <w:link w:val="SignatureChar"/>
    <w:uiPriority w:val="99"/>
    <w:semiHidden/>
    <w:unhideWhenUsed/>
    <w:rsid w:val="00A82FF5"/>
    <w:pPr>
      <w:spacing w:before="0" w:line="240" w:lineRule="auto"/>
      <w:ind w:left="4252"/>
    </w:pPr>
  </w:style>
  <w:style w:type="character" w:customStyle="1" w:styleId="SignatureChar">
    <w:name w:val="Signature Char"/>
    <w:basedOn w:val="DefaultParagraphFont"/>
    <w:link w:val="Signature"/>
    <w:uiPriority w:val="99"/>
    <w:semiHidden/>
    <w:rsid w:val="00A82FF5"/>
    <w:rPr>
      <w:sz w:val="24"/>
    </w:rPr>
  </w:style>
  <w:style w:type="paragraph" w:styleId="NormalIndent">
    <w:name w:val="Normal Indent"/>
    <w:basedOn w:val="Normal"/>
    <w:uiPriority w:val="99"/>
    <w:semiHidden/>
    <w:unhideWhenUsed/>
    <w:rsid w:val="00A82FF5"/>
    <w:pPr>
      <w:ind w:left="720"/>
    </w:pPr>
  </w:style>
  <w:style w:type="paragraph" w:styleId="NoteHeading">
    <w:name w:val="Note Heading"/>
    <w:basedOn w:val="Normal"/>
    <w:next w:val="Normal"/>
    <w:link w:val="NoteHeadingChar"/>
    <w:uiPriority w:val="99"/>
    <w:semiHidden/>
    <w:unhideWhenUsed/>
    <w:rsid w:val="00A82FF5"/>
    <w:pPr>
      <w:spacing w:before="0" w:line="240" w:lineRule="auto"/>
    </w:pPr>
  </w:style>
  <w:style w:type="character" w:customStyle="1" w:styleId="NoteHeadingChar">
    <w:name w:val="Note Heading Char"/>
    <w:basedOn w:val="DefaultParagraphFont"/>
    <w:link w:val="NoteHeading"/>
    <w:uiPriority w:val="99"/>
    <w:semiHidden/>
    <w:rsid w:val="00A82FF5"/>
    <w:rPr>
      <w:sz w:val="24"/>
    </w:rPr>
  </w:style>
  <w:style w:type="numbering" w:customStyle="1" w:styleId="StyleOutlinenumberedLatinHeadingsArialComplexHeadi">
    <w:name w:val="Style Outline numbered (Latin) +Headings (Arial) (Complex) +Headi..."/>
    <w:basedOn w:val="NoList"/>
    <w:rsid w:val="00A82FF5"/>
    <w:pPr>
      <w:numPr>
        <w:numId w:val="28"/>
      </w:numPr>
    </w:pPr>
  </w:style>
  <w:style w:type="numbering" w:customStyle="1" w:styleId="StyleOutlinenumberedLatinHeadingsArialComplexHeadi2">
    <w:name w:val="Style Outline numbered (Latin) +Headings (Arial) (Complex) +Headi...2"/>
    <w:basedOn w:val="NoList"/>
    <w:rsid w:val="004E2C9C"/>
    <w:pPr>
      <w:numPr>
        <w:numId w:val="32"/>
      </w:numPr>
    </w:pPr>
  </w:style>
  <w:style w:type="character" w:customStyle="1" w:styleId="Heading6Char1">
    <w:name w:val="Heading 6 Char1"/>
    <w:basedOn w:val="DefaultParagraphFont"/>
    <w:link w:val="Heading6"/>
    <w:uiPriority w:val="9"/>
    <w:semiHidden/>
    <w:rsid w:val="004E2C9C"/>
    <w:rPr>
      <w:rFonts w:asciiTheme="majorHAnsi" w:eastAsiaTheme="majorEastAsia" w:hAnsiTheme="majorHAnsi" w:cstheme="majorBidi"/>
      <w:sz w:val="24"/>
    </w:rPr>
  </w:style>
  <w:style w:type="character" w:styleId="HTMLCite">
    <w:name w:val="HTML Cite"/>
    <w:basedOn w:val="DefaultParagraphFont"/>
    <w:uiPriority w:val="99"/>
    <w:semiHidden/>
    <w:unhideWhenUsed/>
    <w:rsid w:val="00A82FF5"/>
    <w:rPr>
      <w:i/>
      <w:iCs/>
      <w:sz w:val="24"/>
    </w:rPr>
  </w:style>
  <w:style w:type="paragraph" w:styleId="NormalWeb">
    <w:name w:val="Normal (Web)"/>
    <w:basedOn w:val="Normal"/>
    <w:uiPriority w:val="99"/>
    <w:semiHidden/>
    <w:unhideWhenUsed/>
    <w:rsid w:val="00A444F9"/>
    <w:pPr>
      <w:keepLines w:val="0"/>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2F0C36"/>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7654">
      <w:bodyDiv w:val="1"/>
      <w:marLeft w:val="0"/>
      <w:marRight w:val="0"/>
      <w:marTop w:val="0"/>
      <w:marBottom w:val="0"/>
      <w:divBdr>
        <w:top w:val="none" w:sz="0" w:space="0" w:color="auto"/>
        <w:left w:val="none" w:sz="0" w:space="0" w:color="auto"/>
        <w:bottom w:val="none" w:sz="0" w:space="0" w:color="auto"/>
        <w:right w:val="none" w:sz="0" w:space="0" w:color="auto"/>
      </w:divBdr>
    </w:div>
    <w:div w:id="272900449">
      <w:bodyDiv w:val="1"/>
      <w:marLeft w:val="0"/>
      <w:marRight w:val="0"/>
      <w:marTop w:val="0"/>
      <w:marBottom w:val="0"/>
      <w:divBdr>
        <w:top w:val="none" w:sz="0" w:space="0" w:color="auto"/>
        <w:left w:val="none" w:sz="0" w:space="0" w:color="auto"/>
        <w:bottom w:val="none" w:sz="0" w:space="0" w:color="auto"/>
        <w:right w:val="none" w:sz="0" w:space="0" w:color="auto"/>
      </w:divBdr>
    </w:div>
    <w:div w:id="347565694">
      <w:bodyDiv w:val="1"/>
      <w:marLeft w:val="0"/>
      <w:marRight w:val="0"/>
      <w:marTop w:val="0"/>
      <w:marBottom w:val="0"/>
      <w:divBdr>
        <w:top w:val="none" w:sz="0" w:space="0" w:color="auto"/>
        <w:left w:val="none" w:sz="0" w:space="0" w:color="auto"/>
        <w:bottom w:val="none" w:sz="0" w:space="0" w:color="auto"/>
        <w:right w:val="none" w:sz="0" w:space="0" w:color="auto"/>
      </w:divBdr>
    </w:div>
    <w:div w:id="494611539">
      <w:bodyDiv w:val="1"/>
      <w:marLeft w:val="0"/>
      <w:marRight w:val="0"/>
      <w:marTop w:val="0"/>
      <w:marBottom w:val="0"/>
      <w:divBdr>
        <w:top w:val="none" w:sz="0" w:space="0" w:color="auto"/>
        <w:left w:val="none" w:sz="0" w:space="0" w:color="auto"/>
        <w:bottom w:val="none" w:sz="0" w:space="0" w:color="auto"/>
        <w:right w:val="none" w:sz="0" w:space="0" w:color="auto"/>
      </w:divBdr>
    </w:div>
    <w:div w:id="698358945">
      <w:bodyDiv w:val="1"/>
      <w:marLeft w:val="0"/>
      <w:marRight w:val="0"/>
      <w:marTop w:val="0"/>
      <w:marBottom w:val="0"/>
      <w:divBdr>
        <w:top w:val="none" w:sz="0" w:space="0" w:color="auto"/>
        <w:left w:val="none" w:sz="0" w:space="0" w:color="auto"/>
        <w:bottom w:val="none" w:sz="0" w:space="0" w:color="auto"/>
        <w:right w:val="none" w:sz="0" w:space="0" w:color="auto"/>
      </w:divBdr>
    </w:div>
    <w:div w:id="789209403">
      <w:bodyDiv w:val="1"/>
      <w:marLeft w:val="0"/>
      <w:marRight w:val="0"/>
      <w:marTop w:val="0"/>
      <w:marBottom w:val="0"/>
      <w:divBdr>
        <w:top w:val="none" w:sz="0" w:space="0" w:color="auto"/>
        <w:left w:val="none" w:sz="0" w:space="0" w:color="auto"/>
        <w:bottom w:val="none" w:sz="0" w:space="0" w:color="auto"/>
        <w:right w:val="none" w:sz="0" w:space="0" w:color="auto"/>
      </w:divBdr>
    </w:div>
    <w:div w:id="876965024">
      <w:bodyDiv w:val="1"/>
      <w:marLeft w:val="0"/>
      <w:marRight w:val="0"/>
      <w:marTop w:val="0"/>
      <w:marBottom w:val="0"/>
      <w:divBdr>
        <w:top w:val="none" w:sz="0" w:space="0" w:color="auto"/>
        <w:left w:val="none" w:sz="0" w:space="0" w:color="auto"/>
        <w:bottom w:val="none" w:sz="0" w:space="0" w:color="auto"/>
        <w:right w:val="none" w:sz="0" w:space="0" w:color="auto"/>
      </w:divBdr>
    </w:div>
    <w:div w:id="1401174107">
      <w:bodyDiv w:val="1"/>
      <w:marLeft w:val="0"/>
      <w:marRight w:val="0"/>
      <w:marTop w:val="0"/>
      <w:marBottom w:val="0"/>
      <w:divBdr>
        <w:top w:val="none" w:sz="0" w:space="0" w:color="auto"/>
        <w:left w:val="none" w:sz="0" w:space="0" w:color="auto"/>
        <w:bottom w:val="none" w:sz="0" w:space="0" w:color="auto"/>
        <w:right w:val="none" w:sz="0" w:space="0" w:color="auto"/>
      </w:divBdr>
    </w:div>
    <w:div w:id="206336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qualityhumanrights.com/sites/default/files/gender_recognition_act.pdf" TargetMode="External"/><Relationship Id="rId18" Type="http://schemas.openxmlformats.org/officeDocument/2006/relationships/hyperlink" Target="http://www.equalityadvisoryservice.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assembly.coe.int/nw/xml/XRef/Xref-XML2HTML-en.asp?fileid=21736&amp;lang=en" TargetMode="External"/><Relationship Id="rId17" Type="http://schemas.openxmlformats.org/officeDocument/2006/relationships/hyperlink" Target="https://www.equalityhumanrights.com/en/newsletter-sign"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correspondence@equalityhumanright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gyakartaprinciples.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orrespondence@equalityhumanrights.co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qualityhumanrights.com" TargetMode="External"/><Relationship Id="rId22"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equalityhumanrights.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gbt.foundation/transformingoutcomes" TargetMode="External"/><Relationship Id="rId2" Type="http://schemas.openxmlformats.org/officeDocument/2006/relationships/hyperlink" Target="https://www.echr.coe.int/Documents/FS_Gender_identity_ENG.pdf" TargetMode="External"/><Relationship Id="rId1" Type="http://schemas.openxmlformats.org/officeDocument/2006/relationships/hyperlink" Target="https://www.equalityhumanrights.com/en/our-work-scotland/our-work-scotland/consultations-scotland" TargetMode="External"/><Relationship Id="rId4" Type="http://schemas.openxmlformats.org/officeDocument/2006/relationships/hyperlink" Target="https://www.closethegap.org.uk/content/resources/Scottish-Womens-Sector-response-to-the-consultation-on-proposed-changes-to-the-Gender-Recognition-Ac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tewart\Downloads\EHRC_Document%20template_Scotland%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2977A6B0B94EDEAA7D9ACE9F8287C8"/>
        <w:category>
          <w:name w:val="General"/>
          <w:gallery w:val="placeholder"/>
        </w:category>
        <w:types>
          <w:type w:val="bbPlcHdr"/>
        </w:types>
        <w:behaviors>
          <w:behavior w:val="content"/>
        </w:behaviors>
        <w:guid w:val="{ADCA2FCD-53D4-4A73-B337-D5339DD491D9}"/>
      </w:docPartPr>
      <w:docPartBody>
        <w:p w:rsidR="00A01B71" w:rsidRDefault="00A01B71">
          <w:pPr>
            <w:pStyle w:val="372977A6B0B94EDEAA7D9ACE9F8287C8"/>
          </w:pPr>
          <w:r w:rsidRPr="00605567">
            <w:t>Document title</w:t>
          </w:r>
        </w:p>
      </w:docPartBody>
    </w:docPart>
    <w:docPart>
      <w:docPartPr>
        <w:name w:val="523186C8CAC2476CA28A9113F6FD894C"/>
        <w:category>
          <w:name w:val="General"/>
          <w:gallery w:val="placeholder"/>
        </w:category>
        <w:types>
          <w:type w:val="bbPlcHdr"/>
        </w:types>
        <w:behaviors>
          <w:behavior w:val="content"/>
        </w:behaviors>
        <w:guid w:val="{2068BD14-DB97-492D-AD3C-20120CB9A14F}"/>
      </w:docPartPr>
      <w:docPartBody>
        <w:p w:rsidR="00A01B71" w:rsidRDefault="00A01B71">
          <w:pPr>
            <w:pStyle w:val="523186C8CAC2476CA28A9113F6FD894C"/>
          </w:pPr>
          <w:r w:rsidRPr="00465B9E">
            <w:rPr>
              <w:rStyle w:val="PlaceholderText"/>
            </w:rPr>
            <w:t>Click or tap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71"/>
    <w:rsid w:val="002135A2"/>
    <w:rsid w:val="003B12B5"/>
    <w:rsid w:val="00607D9D"/>
    <w:rsid w:val="00945197"/>
    <w:rsid w:val="00A01B71"/>
    <w:rsid w:val="00D87EF8"/>
    <w:rsid w:val="00E84D63"/>
    <w:rsid w:val="00F15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E0301DA3C241F3A0FEBD6408FEEFFF">
    <w:name w:val="B1E0301DA3C241F3A0FEBD6408FEEFFF"/>
  </w:style>
  <w:style w:type="character" w:styleId="PlaceholderText">
    <w:name w:val="Placeholder Text"/>
    <w:basedOn w:val="DefaultParagraphFont"/>
    <w:uiPriority w:val="99"/>
    <w:semiHidden/>
    <w:rPr>
      <w:color w:val="808080"/>
      <w:sz w:val="24"/>
    </w:rPr>
  </w:style>
  <w:style w:type="paragraph" w:customStyle="1" w:styleId="EC58A0B2BFF34082BE8060B99B8481D6">
    <w:name w:val="EC58A0B2BFF34082BE8060B99B8481D6"/>
  </w:style>
  <w:style w:type="paragraph" w:customStyle="1" w:styleId="372977A6B0B94EDEAA7D9ACE9F8287C8">
    <w:name w:val="372977A6B0B94EDEAA7D9ACE9F8287C8"/>
  </w:style>
  <w:style w:type="paragraph" w:customStyle="1" w:styleId="523186C8CAC2476CA28A9113F6FD894C">
    <w:name w:val="523186C8CAC2476CA28A9113F6FD894C"/>
  </w:style>
  <w:style w:type="paragraph" w:customStyle="1" w:styleId="4C5BD1A26E504122B1D93B186B063C8D">
    <w:name w:val="4C5BD1A26E504122B1D93B186B063C8D"/>
  </w:style>
  <w:style w:type="paragraph" w:customStyle="1" w:styleId="E34F3A6312064EED98C054906CBF1779">
    <w:name w:val="E34F3A6312064EED98C054906CBF17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HRC Arial">
  <a:themeElements>
    <a:clrScheme name="EHRC primary teal">
      <a:dk1>
        <a:sysClr val="windowText" lastClr="000000"/>
      </a:dk1>
      <a:lt1>
        <a:sysClr val="window" lastClr="FFFFFF"/>
      </a:lt1>
      <a:dk2>
        <a:srgbClr val="0B4E60"/>
      </a:dk2>
      <a:lt2>
        <a:srgbClr val="7DCAC7"/>
      </a:lt2>
      <a:accent1>
        <a:srgbClr val="009C98"/>
      </a:accent1>
      <a:accent2>
        <a:srgbClr val="64A230"/>
      </a:accent2>
      <a:accent3>
        <a:srgbClr val="DDDE45"/>
      </a:accent3>
      <a:accent4>
        <a:srgbClr val="E0AACC"/>
      </a:accent4>
      <a:accent5>
        <a:srgbClr val="722856"/>
      </a:accent5>
      <a:accent6>
        <a:srgbClr val="8B9292"/>
      </a:accent6>
      <a:hlink>
        <a:srgbClr val="009C98"/>
      </a:hlink>
      <a:folHlink>
        <a:srgbClr val="009C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5317A01585AF40AE7132C960BF0A56" ma:contentTypeVersion="1" ma:contentTypeDescription="Create a new document." ma:contentTypeScope="" ma:versionID="c6d7ceeec6db8daa576f39b1ae2ba2b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A1685-C5AE-4E59-8498-78AEEB44E180}">
  <ds:schemaRefs>
    <ds:schemaRef ds:uri="http://schemas.microsoft.com/sharepoint/v3/contenttype/forms"/>
  </ds:schemaRefs>
</ds:datastoreItem>
</file>

<file path=customXml/itemProps2.xml><?xml version="1.0" encoding="utf-8"?>
<ds:datastoreItem xmlns:ds="http://schemas.openxmlformats.org/officeDocument/2006/customXml" ds:itemID="{FCE3322D-5B5D-4DCC-A6A8-CF2E606FFD5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FF0BE9D-A139-4FE2-873D-0FAFA2FA8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E7B310-97CD-47CB-982A-37167B935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EHRC_Document template_Scotland (1).dotx</Template>
  <TotalTime>0</TotalTime>
  <Pages>17</Pages>
  <Words>3268</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Gender Recognition Reform (Scotland) Bill</vt:lpstr>
    </vt:vector>
  </TitlesOfParts>
  <Company/>
  <LinksUpToDate>false</LinksUpToDate>
  <CharactersWithSpaces>21853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Recognition Reform (Scotland) Bill</dc:title>
  <dc:subject/>
  <dc:creator>Kenny Stewart</dc:creator>
  <cp:keywords/>
  <dc:description/>
  <cp:lastModifiedBy>Rachel Longstaff</cp:lastModifiedBy>
  <cp:revision>2</cp:revision>
  <cp:lastPrinted>2020-03-10T10:39:00Z</cp:lastPrinted>
  <dcterms:created xsi:type="dcterms:W3CDTF">2022-01-19T17:38:00Z</dcterms:created>
  <dcterms:modified xsi:type="dcterms:W3CDTF">2022-01-19T17:38:00Z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0x010100EB5317A01585AF40AE7132C960BF0A56</vt:lpwstr>
  </property>
</Properties>
</file>