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82" w:rsidRPr="00070202" w:rsidRDefault="002C7B82" w:rsidP="00070202">
      <w:pPr>
        <w:pStyle w:val="Heading1"/>
      </w:pPr>
      <w:r w:rsidRPr="00070202">
        <w:t>Response of the Equality and Human Rights Commission to</w:t>
      </w:r>
      <w:r w:rsidR="00DE7C94" w:rsidRPr="00070202">
        <w:t xml:space="preserve"> the Consultation</w:t>
      </w:r>
    </w:p>
    <w:p w:rsidR="0034120E" w:rsidRDefault="00B34D64" w:rsidP="0034120E">
      <w:pPr>
        <w:pStyle w:val="Heading2"/>
      </w:pPr>
      <w:r w:rsidRPr="004B706C">
        <w:t>Consultation d</w:t>
      </w:r>
      <w:r w:rsidR="0034120E" w:rsidRPr="004B706C">
        <w:t>etails</w:t>
      </w:r>
    </w:p>
    <w:p w:rsidR="00070202" w:rsidRDefault="00070202" w:rsidP="00070202"/>
    <w:p w:rsidR="00070202" w:rsidRDefault="00070202" w:rsidP="00070202">
      <w:r w:rsidRPr="00070202">
        <w:rPr>
          <w:b/>
        </w:rPr>
        <w:t>Title:</w:t>
      </w:r>
      <w:r>
        <w:t xml:space="preserve"> </w:t>
      </w:r>
      <w:r w:rsidRPr="004B706C">
        <w:t>Call for evidence to inform the independent review of the Mental Health Act</w:t>
      </w:r>
    </w:p>
    <w:p w:rsidR="00070202" w:rsidRDefault="00070202" w:rsidP="00070202">
      <w:r w:rsidRPr="00070202">
        <w:rPr>
          <w:b/>
        </w:rPr>
        <w:t>Source of consultation:</w:t>
      </w:r>
      <w:r>
        <w:t xml:space="preserve"> </w:t>
      </w:r>
      <w:r w:rsidRPr="004B706C">
        <w:t xml:space="preserve">Request from the independent review </w:t>
      </w:r>
    </w:p>
    <w:p w:rsidR="00070202" w:rsidRPr="004B706C" w:rsidRDefault="00070202" w:rsidP="00070202">
      <w:r w:rsidRPr="00070202">
        <w:rPr>
          <w:b/>
        </w:rPr>
        <w:t>Date:</w:t>
      </w:r>
      <w:r>
        <w:t xml:space="preserve"> </w:t>
      </w:r>
      <w:r w:rsidRPr="004B706C">
        <w:t>2 February 2018</w:t>
      </w:r>
    </w:p>
    <w:p w:rsidR="00055E15" w:rsidRPr="004B706C" w:rsidRDefault="00055E15" w:rsidP="0034120E"/>
    <w:p w:rsidR="00810CDF" w:rsidRDefault="00810CDF" w:rsidP="0034120E">
      <w:pPr>
        <w:pStyle w:val="Heading2"/>
        <w:rPr>
          <w:lang w:val="en-US" w:eastAsia="zh-CN"/>
        </w:rPr>
      </w:pPr>
      <w:r w:rsidRPr="004B706C">
        <w:rPr>
          <w:lang w:val="en-US" w:eastAsia="zh-CN"/>
        </w:rPr>
        <w:t>For more information please contact</w:t>
      </w:r>
    </w:p>
    <w:p w:rsidR="00070202" w:rsidRDefault="00070202" w:rsidP="00070202">
      <w:pPr>
        <w:rPr>
          <w:lang w:val="en-US" w:eastAsia="zh-CN"/>
        </w:rPr>
      </w:pPr>
    </w:p>
    <w:p w:rsidR="00070202" w:rsidRPr="004B706C" w:rsidRDefault="00070202" w:rsidP="00070202">
      <w:pPr>
        <w:rPr>
          <w:lang w:val="en-US" w:eastAsia="zh-CN"/>
        </w:rPr>
      </w:pPr>
      <w:r w:rsidRPr="004B706C">
        <w:rPr>
          <w:lang w:val="en-US" w:eastAsia="zh-CN"/>
        </w:rPr>
        <w:t>Max Edelstyn</w:t>
      </w:r>
    </w:p>
    <w:p w:rsidR="00070202" w:rsidRPr="004B706C" w:rsidRDefault="00070202" w:rsidP="00070202">
      <w:pPr>
        <w:rPr>
          <w:lang w:val="en-US" w:eastAsia="zh-CN"/>
        </w:rPr>
      </w:pPr>
      <w:r w:rsidRPr="004B706C">
        <w:rPr>
          <w:lang w:val="en-US" w:eastAsia="zh-CN"/>
        </w:rPr>
        <w:t>Equality and Human Rights Commission</w:t>
      </w:r>
    </w:p>
    <w:p w:rsidR="00070202" w:rsidRPr="004B706C" w:rsidRDefault="00070202" w:rsidP="00070202">
      <w:pPr>
        <w:rPr>
          <w:lang w:eastAsia="zh-CN"/>
        </w:rPr>
      </w:pPr>
      <w:r w:rsidRPr="004B706C">
        <w:rPr>
          <w:lang w:eastAsia="zh-CN"/>
        </w:rPr>
        <w:t>Arndale House</w:t>
      </w:r>
    </w:p>
    <w:p w:rsidR="00070202" w:rsidRPr="004B706C" w:rsidRDefault="00070202" w:rsidP="00070202">
      <w:pPr>
        <w:rPr>
          <w:lang w:eastAsia="zh-CN"/>
        </w:rPr>
      </w:pPr>
      <w:r w:rsidRPr="004B706C">
        <w:rPr>
          <w:lang w:eastAsia="zh-CN"/>
        </w:rPr>
        <w:t>The Arndale Centre</w:t>
      </w:r>
    </w:p>
    <w:p w:rsidR="00070202" w:rsidRPr="004B706C" w:rsidRDefault="00070202" w:rsidP="00070202">
      <w:pPr>
        <w:rPr>
          <w:lang w:eastAsia="zh-CN"/>
        </w:rPr>
      </w:pPr>
      <w:r w:rsidRPr="004B706C">
        <w:rPr>
          <w:lang w:eastAsia="zh-CN"/>
        </w:rPr>
        <w:t>Manchester</w:t>
      </w:r>
    </w:p>
    <w:p w:rsidR="00070202" w:rsidRDefault="00070202" w:rsidP="00070202">
      <w:pPr>
        <w:rPr>
          <w:lang w:eastAsia="zh-CN"/>
        </w:rPr>
      </w:pPr>
      <w:r w:rsidRPr="004B706C">
        <w:rPr>
          <w:lang w:eastAsia="zh-CN"/>
        </w:rPr>
        <w:t>M4 3AQ</w:t>
      </w:r>
    </w:p>
    <w:p w:rsidR="00070202" w:rsidRDefault="00070202" w:rsidP="00070202">
      <w:pPr>
        <w:rPr>
          <w:lang w:eastAsia="zh-CN"/>
        </w:rPr>
      </w:pPr>
    </w:p>
    <w:p w:rsidR="00070202" w:rsidRDefault="00070202" w:rsidP="00070202">
      <w:pPr>
        <w:rPr>
          <w:lang w:eastAsia="zh-CN"/>
        </w:rPr>
      </w:pPr>
      <w:r w:rsidRPr="004B706C">
        <w:rPr>
          <w:lang w:val="en-US" w:eastAsia="zh-CN"/>
        </w:rPr>
        <w:t>Max.edelstyn@equalityhumanrights.com</w:t>
      </w:r>
    </w:p>
    <w:p w:rsidR="00B037C7" w:rsidRPr="004B706C" w:rsidRDefault="00B037C7" w:rsidP="00F447FC"/>
    <w:p w:rsidR="00070202" w:rsidRDefault="00B037C7" w:rsidP="00070202">
      <w:pPr>
        <w:pStyle w:val="Heading2"/>
      </w:pPr>
      <w:r w:rsidRPr="004B706C">
        <w:t>About the Equality and Human Rights Commission</w:t>
      </w:r>
    </w:p>
    <w:p w:rsidR="00070202" w:rsidRPr="00070202" w:rsidRDefault="00070202" w:rsidP="00070202"/>
    <w:p w:rsidR="009C5CC2" w:rsidRPr="004B706C" w:rsidRDefault="00783574" w:rsidP="008563F0">
      <w:pPr>
        <w:pStyle w:val="ListParagraph"/>
        <w:numPr>
          <w:ilvl w:val="0"/>
          <w:numId w:val="1"/>
        </w:numPr>
        <w:spacing w:line="300" w:lineRule="auto"/>
        <w:ind w:left="0" w:hanging="530"/>
        <w:rPr>
          <w:rFonts w:cs="Arial"/>
          <w:szCs w:val="28"/>
        </w:rPr>
      </w:pPr>
      <w:r w:rsidRPr="004B706C">
        <w:rPr>
          <w:rFonts w:cs="Arial"/>
          <w:szCs w:val="28"/>
        </w:rPr>
        <w:t xml:space="preserve">The Equality and Human Rights Commission </w:t>
      </w:r>
      <w:r w:rsidR="004D3BA0" w:rsidRPr="004B706C">
        <w:rPr>
          <w:rFonts w:cs="Arial"/>
          <w:szCs w:val="28"/>
        </w:rPr>
        <w:t xml:space="preserve">(EHRC) </w:t>
      </w:r>
      <w:r w:rsidRPr="004B706C">
        <w:rPr>
          <w:rFonts w:cs="Arial"/>
          <w:szCs w:val="28"/>
        </w:rPr>
        <w:t>is a statutory body establish</w:t>
      </w:r>
      <w:r w:rsidR="009C5CC2" w:rsidRPr="004B706C">
        <w:rPr>
          <w:rFonts w:cs="Arial"/>
          <w:szCs w:val="28"/>
        </w:rPr>
        <w:t>ed under the Equality Act 2006.</w:t>
      </w:r>
      <w:r w:rsidRPr="004B706C">
        <w:rPr>
          <w:rFonts w:cs="Arial"/>
          <w:szCs w:val="28"/>
        </w:rPr>
        <w:t xml:space="preserve"> It operates independently to encourage equality and diversity, eliminate unlawful discrimination, and pr</w:t>
      </w:r>
      <w:r w:rsidR="009C5CC2" w:rsidRPr="004B706C">
        <w:rPr>
          <w:rFonts w:cs="Arial"/>
          <w:szCs w:val="28"/>
        </w:rPr>
        <w:t>otect and promote human rights.</w:t>
      </w:r>
      <w:r w:rsidRPr="004B706C">
        <w:rPr>
          <w:rFonts w:cs="Arial"/>
          <w:szCs w:val="28"/>
        </w:rPr>
        <w:t xml:space="preserve"> It contributes to making and keeping Britain a fair society in which everyone, regardless of background, has an equal opportunity to fulfil their potential. </w:t>
      </w:r>
    </w:p>
    <w:p w:rsidR="009C5CC2" w:rsidRPr="004B706C" w:rsidRDefault="009C5CC2" w:rsidP="009C5CC2">
      <w:pPr>
        <w:pStyle w:val="ListParagraph"/>
        <w:spacing w:line="300" w:lineRule="auto"/>
        <w:ind w:left="0"/>
        <w:rPr>
          <w:rFonts w:cs="Arial"/>
          <w:szCs w:val="28"/>
        </w:rPr>
      </w:pPr>
    </w:p>
    <w:p w:rsidR="00070202" w:rsidRDefault="00783574" w:rsidP="00070202">
      <w:pPr>
        <w:pStyle w:val="ListParagraph"/>
        <w:numPr>
          <w:ilvl w:val="0"/>
          <w:numId w:val="1"/>
        </w:numPr>
        <w:spacing w:line="300" w:lineRule="auto"/>
        <w:ind w:left="0" w:hanging="530"/>
        <w:rPr>
          <w:rFonts w:cs="Arial"/>
          <w:szCs w:val="28"/>
        </w:rPr>
      </w:pPr>
      <w:r w:rsidRPr="004B706C">
        <w:rPr>
          <w:rFonts w:cs="Arial"/>
          <w:szCs w:val="28"/>
        </w:rPr>
        <w:t xml:space="preserve">The Commission enforces equality legislation on age, disability, gender reassignment, marriage and civil partnership, pregnancy and maternity, race, religion or belief, sex and sexual orientation. It encourages </w:t>
      </w:r>
      <w:r w:rsidRPr="004B706C">
        <w:rPr>
          <w:rFonts w:cs="Arial"/>
          <w:szCs w:val="28"/>
        </w:rPr>
        <w:lastRenderedPageBreak/>
        <w:t xml:space="preserve">compliance with the Human Rights Act 1998 and is accredited by the UN as an ‘A status’ National Human Rights Institution. </w:t>
      </w:r>
      <w:r w:rsidR="00321DE8">
        <w:rPr>
          <w:rFonts w:cs="Arial"/>
          <w:szCs w:val="28"/>
        </w:rPr>
        <w:t xml:space="preserve">You can find out more about our work on our </w:t>
      </w:r>
      <w:hyperlink r:id="rId11" w:history="1">
        <w:r w:rsidR="00321DE8" w:rsidRPr="00321DE8">
          <w:rPr>
            <w:rStyle w:val="Hyperlink"/>
            <w:rFonts w:cs="Arial"/>
            <w:szCs w:val="28"/>
          </w:rPr>
          <w:t>website</w:t>
        </w:r>
      </w:hyperlink>
      <w:r w:rsidR="00321DE8">
        <w:rPr>
          <w:rFonts w:cs="Arial"/>
          <w:szCs w:val="28"/>
        </w:rPr>
        <w:t xml:space="preserve">. </w:t>
      </w:r>
    </w:p>
    <w:p w:rsidR="00321DE8" w:rsidRPr="00070202" w:rsidRDefault="00321DE8" w:rsidP="00321DE8">
      <w:pPr>
        <w:pStyle w:val="ListParagraph"/>
        <w:spacing w:line="300" w:lineRule="auto"/>
        <w:ind w:left="0"/>
        <w:rPr>
          <w:rFonts w:cs="Arial"/>
          <w:szCs w:val="28"/>
        </w:rPr>
      </w:pPr>
    </w:p>
    <w:p w:rsidR="004828B7" w:rsidRPr="004B706C" w:rsidRDefault="00FE064C" w:rsidP="001072A3">
      <w:pPr>
        <w:pStyle w:val="ListParagraph"/>
        <w:numPr>
          <w:ilvl w:val="0"/>
          <w:numId w:val="1"/>
        </w:numPr>
        <w:spacing w:line="300" w:lineRule="auto"/>
        <w:ind w:left="0" w:hanging="530"/>
        <w:rPr>
          <w:rFonts w:cs="Arial"/>
          <w:szCs w:val="28"/>
        </w:rPr>
      </w:pPr>
      <w:r w:rsidRPr="004B706C">
        <w:rPr>
          <w:rFonts w:cs="Arial"/>
          <w:szCs w:val="28"/>
        </w:rPr>
        <w:t>Ensuring that everyone has access to and the best possible outcomes from mental health services</w:t>
      </w:r>
      <w:r w:rsidR="007B0C0B" w:rsidRPr="004B706C">
        <w:rPr>
          <w:rFonts w:cs="Arial"/>
          <w:szCs w:val="28"/>
        </w:rPr>
        <w:t>, and have their rights respected within these services,</w:t>
      </w:r>
      <w:r w:rsidRPr="004B706C">
        <w:rPr>
          <w:rFonts w:cs="Arial"/>
          <w:szCs w:val="28"/>
        </w:rPr>
        <w:t xml:space="preserve"> cuts across our equality and human rights remits</w:t>
      </w:r>
      <w:r w:rsidR="000F37FA" w:rsidRPr="004B706C">
        <w:rPr>
          <w:rFonts w:cs="Arial"/>
          <w:szCs w:val="28"/>
        </w:rPr>
        <w:t>.</w:t>
      </w:r>
      <w:r w:rsidRPr="004B706C">
        <w:rPr>
          <w:rFonts w:cs="Arial"/>
          <w:szCs w:val="28"/>
        </w:rPr>
        <w:t xml:space="preserve"> There is considerable evidence</w:t>
      </w:r>
      <w:r w:rsidR="000F37FA" w:rsidRPr="004B706C">
        <w:rPr>
          <w:rFonts w:cs="Arial"/>
          <w:szCs w:val="28"/>
        </w:rPr>
        <w:t xml:space="preserve"> that services are not</w:t>
      </w:r>
      <w:r w:rsidRPr="004B706C">
        <w:rPr>
          <w:rFonts w:cs="Arial"/>
          <w:szCs w:val="28"/>
        </w:rPr>
        <w:t xml:space="preserve"> adequately respecting the rights of all patients, and that there are deep and significant inequalities betwe</w:t>
      </w:r>
      <w:r w:rsidR="008A407C" w:rsidRPr="004B706C">
        <w:rPr>
          <w:rFonts w:cs="Arial"/>
          <w:szCs w:val="28"/>
        </w:rPr>
        <w:t>en different groups of people.</w:t>
      </w:r>
      <w:r w:rsidRPr="004B706C">
        <w:rPr>
          <w:rFonts w:cs="Arial"/>
          <w:szCs w:val="28"/>
        </w:rPr>
        <w:t xml:space="preserve"> These challenges appear most stark in respect to</w:t>
      </w:r>
      <w:r w:rsidR="00A74697" w:rsidRPr="004B706C">
        <w:rPr>
          <w:rFonts w:cs="Arial"/>
          <w:szCs w:val="28"/>
        </w:rPr>
        <w:t xml:space="preserve"> secure mental health services.</w:t>
      </w:r>
      <w:r w:rsidR="000F37FA" w:rsidRPr="004B706C">
        <w:rPr>
          <w:rFonts w:cs="Arial"/>
          <w:szCs w:val="28"/>
        </w:rPr>
        <w:t xml:space="preserve"> </w:t>
      </w:r>
      <w:r w:rsidR="008A407C" w:rsidRPr="004B706C">
        <w:rPr>
          <w:rFonts w:cs="Arial"/>
          <w:szCs w:val="28"/>
        </w:rPr>
        <w:t>At their</w:t>
      </w:r>
      <w:r w:rsidR="000F37FA" w:rsidRPr="004B706C">
        <w:rPr>
          <w:rFonts w:cs="Arial"/>
          <w:szCs w:val="28"/>
        </w:rPr>
        <w:t xml:space="preserve"> worst, this can result in lives being lost, treatment environments that </w:t>
      </w:r>
      <w:r w:rsidR="007B0C0B" w:rsidRPr="004B706C">
        <w:rPr>
          <w:rFonts w:cs="Arial"/>
          <w:szCs w:val="28"/>
        </w:rPr>
        <w:t>are</w:t>
      </w:r>
      <w:r w:rsidR="000F37FA" w:rsidRPr="004B706C">
        <w:rPr>
          <w:rFonts w:cs="Arial"/>
          <w:szCs w:val="28"/>
        </w:rPr>
        <w:t xml:space="preserve"> cruel and degrading, unnecessary restrictions on the liberty of individuals and families being broken apart</w:t>
      </w:r>
      <w:r w:rsidR="008363C9" w:rsidRPr="004B706C">
        <w:rPr>
          <w:rFonts w:cs="Arial"/>
          <w:szCs w:val="28"/>
        </w:rPr>
        <w:t xml:space="preserve"> due to the geographic remoteness of some inpatient services</w:t>
      </w:r>
      <w:r w:rsidR="000F37FA" w:rsidRPr="004B706C">
        <w:rPr>
          <w:rFonts w:cs="Arial"/>
          <w:szCs w:val="28"/>
        </w:rPr>
        <w:t xml:space="preserve">. Improving this situation is a priority for </w:t>
      </w:r>
      <w:r w:rsidR="00FA4968" w:rsidRPr="004B706C">
        <w:rPr>
          <w:rFonts w:cs="Arial"/>
          <w:szCs w:val="28"/>
        </w:rPr>
        <w:t xml:space="preserve">the Commission in our strategic and business plans for </w:t>
      </w:r>
      <w:r w:rsidR="004828B7" w:rsidRPr="004B706C">
        <w:rPr>
          <w:rFonts w:cs="Arial"/>
          <w:szCs w:val="28"/>
        </w:rPr>
        <w:t>this year and next.</w:t>
      </w:r>
      <w:r w:rsidR="008A407C" w:rsidRPr="004B706C">
        <w:rPr>
          <w:rStyle w:val="FootnoteReference"/>
          <w:rFonts w:cs="Arial"/>
          <w:szCs w:val="28"/>
        </w:rPr>
        <w:footnoteReference w:id="1"/>
      </w:r>
    </w:p>
    <w:p w:rsidR="00FA4968" w:rsidRPr="004B706C" w:rsidRDefault="00FA4968" w:rsidP="001072A3">
      <w:pPr>
        <w:rPr>
          <w:rFonts w:cs="Arial"/>
          <w:szCs w:val="28"/>
        </w:rPr>
      </w:pPr>
    </w:p>
    <w:p w:rsidR="00E4040A" w:rsidRDefault="00A46924" w:rsidP="00070202">
      <w:pPr>
        <w:pStyle w:val="Heading2"/>
      </w:pPr>
      <w:r w:rsidRPr="004B706C">
        <w:t>Summary</w:t>
      </w:r>
    </w:p>
    <w:p w:rsidR="00070202" w:rsidRPr="00070202" w:rsidRDefault="00070202" w:rsidP="00070202"/>
    <w:p w:rsidR="00385132" w:rsidRPr="004B706C" w:rsidRDefault="00237A71" w:rsidP="001072A3">
      <w:pPr>
        <w:pStyle w:val="ListParagraph"/>
        <w:numPr>
          <w:ilvl w:val="0"/>
          <w:numId w:val="1"/>
        </w:numPr>
        <w:spacing w:line="300" w:lineRule="auto"/>
        <w:ind w:left="0" w:hanging="530"/>
        <w:rPr>
          <w:rFonts w:cs="Arial"/>
          <w:szCs w:val="28"/>
        </w:rPr>
      </w:pPr>
      <w:r w:rsidRPr="004B706C">
        <w:rPr>
          <w:rFonts w:cs="Arial"/>
          <w:szCs w:val="28"/>
        </w:rPr>
        <w:t>The Mental Health Act 19</w:t>
      </w:r>
      <w:r w:rsidR="00AD23EA" w:rsidRPr="004B706C">
        <w:rPr>
          <w:rFonts w:cs="Arial"/>
          <w:szCs w:val="28"/>
        </w:rPr>
        <w:t>83</w:t>
      </w:r>
      <w:r w:rsidR="00ED56F8" w:rsidRPr="004B706C">
        <w:rPr>
          <w:rFonts w:cs="Arial"/>
          <w:szCs w:val="28"/>
        </w:rPr>
        <w:t xml:space="preserve"> (the MHA)</w:t>
      </w:r>
      <w:r w:rsidR="00AD23EA" w:rsidRPr="004B706C">
        <w:rPr>
          <w:rFonts w:cs="Arial"/>
          <w:szCs w:val="28"/>
        </w:rPr>
        <w:t xml:space="preserve"> is over three decades old and a comprehensive review</w:t>
      </w:r>
      <w:r w:rsidR="00B553A4" w:rsidRPr="004B706C">
        <w:rPr>
          <w:rFonts w:cs="Arial"/>
          <w:szCs w:val="28"/>
        </w:rPr>
        <w:t xml:space="preserve"> is now required</w:t>
      </w:r>
      <w:r w:rsidR="00AD23EA" w:rsidRPr="004B706C">
        <w:rPr>
          <w:rFonts w:cs="Arial"/>
          <w:szCs w:val="28"/>
        </w:rPr>
        <w:t xml:space="preserve">.  </w:t>
      </w:r>
      <w:r w:rsidR="00B553A4" w:rsidRPr="004B706C">
        <w:rPr>
          <w:rFonts w:cs="Arial"/>
          <w:szCs w:val="28"/>
        </w:rPr>
        <w:t>We welcome</w:t>
      </w:r>
      <w:r w:rsidR="00AD23EA" w:rsidRPr="004B706C">
        <w:rPr>
          <w:rFonts w:cs="Arial"/>
          <w:szCs w:val="28"/>
        </w:rPr>
        <w:t xml:space="preserve"> the independent review</w:t>
      </w:r>
      <w:r w:rsidR="00B553A4" w:rsidRPr="004B706C">
        <w:rPr>
          <w:rFonts w:cs="Arial"/>
          <w:szCs w:val="28"/>
        </w:rPr>
        <w:t xml:space="preserve"> </w:t>
      </w:r>
      <w:r w:rsidR="0017372D" w:rsidRPr="004B706C">
        <w:rPr>
          <w:rFonts w:cs="Arial"/>
          <w:szCs w:val="28"/>
        </w:rPr>
        <w:t xml:space="preserve">(the Review) </w:t>
      </w:r>
      <w:r w:rsidR="00B553A4" w:rsidRPr="004B706C">
        <w:rPr>
          <w:rFonts w:cs="Arial"/>
          <w:szCs w:val="28"/>
        </w:rPr>
        <w:t>and particularly it</w:t>
      </w:r>
      <w:r w:rsidR="00D12C74" w:rsidRPr="004B706C">
        <w:rPr>
          <w:rFonts w:cs="Arial"/>
          <w:szCs w:val="28"/>
        </w:rPr>
        <w:t>s</w:t>
      </w:r>
      <w:r w:rsidR="00B553A4" w:rsidRPr="004B706C">
        <w:rPr>
          <w:rFonts w:cs="Arial"/>
          <w:szCs w:val="28"/>
        </w:rPr>
        <w:t xml:space="preserve"> focus on</w:t>
      </w:r>
      <w:r w:rsidR="00385132" w:rsidRPr="004B706C">
        <w:rPr>
          <w:rFonts w:cs="Arial"/>
          <w:szCs w:val="28"/>
        </w:rPr>
        <w:t xml:space="preserve"> three key areas:</w:t>
      </w:r>
    </w:p>
    <w:p w:rsidR="00385132" w:rsidRPr="004B706C" w:rsidRDefault="00385132" w:rsidP="001072A3">
      <w:pPr>
        <w:pStyle w:val="ListParagraph"/>
        <w:numPr>
          <w:ilvl w:val="0"/>
          <w:numId w:val="37"/>
        </w:numPr>
        <w:spacing w:line="300" w:lineRule="auto"/>
        <w:rPr>
          <w:rFonts w:cs="Arial"/>
          <w:szCs w:val="28"/>
        </w:rPr>
      </w:pPr>
      <w:r w:rsidRPr="004B706C">
        <w:rPr>
          <w:rFonts w:cs="Arial"/>
          <w:szCs w:val="28"/>
        </w:rPr>
        <w:t>Why there are rising rates of detentions under the Act;</w:t>
      </w:r>
    </w:p>
    <w:p w:rsidR="00385132" w:rsidRPr="004B706C" w:rsidRDefault="00385132" w:rsidP="001072A3">
      <w:pPr>
        <w:pStyle w:val="ListParagraph"/>
        <w:numPr>
          <w:ilvl w:val="0"/>
          <w:numId w:val="37"/>
        </w:numPr>
        <w:spacing w:line="300" w:lineRule="auto"/>
        <w:rPr>
          <w:rFonts w:cs="Arial"/>
          <w:szCs w:val="28"/>
        </w:rPr>
      </w:pPr>
      <w:r w:rsidRPr="004B706C">
        <w:rPr>
          <w:rFonts w:cs="Arial"/>
          <w:szCs w:val="28"/>
        </w:rPr>
        <w:t xml:space="preserve">Why there are disproportionate numbers of </w:t>
      </w:r>
      <w:r w:rsidR="007B0C0B" w:rsidRPr="004B706C">
        <w:rPr>
          <w:rFonts w:cs="Arial"/>
          <w:szCs w:val="28"/>
        </w:rPr>
        <w:t>Black and ethnic minority</w:t>
      </w:r>
      <w:r w:rsidRPr="004B706C">
        <w:rPr>
          <w:rFonts w:cs="Arial"/>
          <w:szCs w:val="28"/>
        </w:rPr>
        <w:t xml:space="preserve"> groups being detained under the Act;</w:t>
      </w:r>
    </w:p>
    <w:p w:rsidR="00385132" w:rsidRPr="004B706C" w:rsidRDefault="00385132" w:rsidP="001072A3">
      <w:pPr>
        <w:pStyle w:val="ListParagraph"/>
        <w:numPr>
          <w:ilvl w:val="0"/>
          <w:numId w:val="37"/>
        </w:numPr>
        <w:spacing w:line="300" w:lineRule="auto"/>
        <w:rPr>
          <w:rFonts w:cs="Arial"/>
          <w:szCs w:val="28"/>
        </w:rPr>
      </w:pPr>
      <w:r w:rsidRPr="004B706C">
        <w:rPr>
          <w:rFonts w:cs="Arial"/>
          <w:szCs w:val="28"/>
        </w:rPr>
        <w:t xml:space="preserve">Whether the processes of the Act are out of step with a modern mental health care system. </w:t>
      </w:r>
    </w:p>
    <w:p w:rsidR="00721367" w:rsidRPr="004B706C" w:rsidRDefault="00721367" w:rsidP="001072A3">
      <w:pPr>
        <w:pStyle w:val="ListParagraph"/>
        <w:spacing w:line="300" w:lineRule="auto"/>
        <w:rPr>
          <w:rFonts w:cs="Arial"/>
          <w:szCs w:val="28"/>
        </w:rPr>
      </w:pPr>
    </w:p>
    <w:p w:rsidR="003E5733" w:rsidRDefault="00AD23EA" w:rsidP="00385132">
      <w:pPr>
        <w:pStyle w:val="ListParagraph"/>
        <w:numPr>
          <w:ilvl w:val="0"/>
          <w:numId w:val="1"/>
        </w:numPr>
        <w:spacing w:line="300" w:lineRule="auto"/>
        <w:ind w:left="0" w:hanging="530"/>
        <w:rPr>
          <w:rFonts w:cs="Arial"/>
          <w:szCs w:val="28"/>
        </w:rPr>
      </w:pPr>
      <w:r w:rsidRPr="004B706C">
        <w:rPr>
          <w:rFonts w:cs="Arial"/>
          <w:szCs w:val="28"/>
        </w:rPr>
        <w:t xml:space="preserve">The </w:t>
      </w:r>
      <w:r w:rsidR="0017372D" w:rsidRPr="004B706C">
        <w:rPr>
          <w:rFonts w:cs="Arial"/>
          <w:szCs w:val="28"/>
        </w:rPr>
        <w:t>Review</w:t>
      </w:r>
      <w:r w:rsidRPr="004B706C">
        <w:rPr>
          <w:rFonts w:cs="Arial"/>
          <w:szCs w:val="28"/>
        </w:rPr>
        <w:t xml:space="preserve"> provides a significant opportunity to pause and to consider whether t</w:t>
      </w:r>
      <w:r w:rsidR="002D5CBE" w:rsidRPr="004B706C">
        <w:rPr>
          <w:rFonts w:cs="Arial"/>
          <w:szCs w:val="28"/>
        </w:rPr>
        <w:t>he M</w:t>
      </w:r>
      <w:r w:rsidR="008363C9" w:rsidRPr="004B706C">
        <w:rPr>
          <w:rFonts w:cs="Arial"/>
          <w:szCs w:val="28"/>
        </w:rPr>
        <w:t>HA</w:t>
      </w:r>
      <w:r w:rsidR="00C578C7" w:rsidRPr="004B706C">
        <w:rPr>
          <w:rFonts w:cs="Arial"/>
          <w:szCs w:val="28"/>
        </w:rPr>
        <w:t xml:space="preserve"> is fit for purpose</w:t>
      </w:r>
      <w:r w:rsidR="005A16AD" w:rsidRPr="004B706C">
        <w:rPr>
          <w:rFonts w:cs="Arial"/>
          <w:szCs w:val="28"/>
        </w:rPr>
        <w:t>, or whether a fundamentally new approach is required</w:t>
      </w:r>
      <w:r w:rsidR="00C578C7" w:rsidRPr="004B706C">
        <w:rPr>
          <w:rFonts w:cs="Arial"/>
          <w:szCs w:val="28"/>
        </w:rPr>
        <w:t xml:space="preserve">. </w:t>
      </w:r>
      <w:r w:rsidR="003E5733" w:rsidRPr="004B706C">
        <w:rPr>
          <w:rFonts w:cs="Arial"/>
          <w:szCs w:val="28"/>
        </w:rPr>
        <w:t xml:space="preserve">Critically, </w:t>
      </w:r>
      <w:r w:rsidR="007B0C0B" w:rsidRPr="004B706C">
        <w:rPr>
          <w:rFonts w:cs="Arial"/>
          <w:szCs w:val="28"/>
        </w:rPr>
        <w:t xml:space="preserve">it provides the opportunity to consider </w:t>
      </w:r>
      <w:r w:rsidR="007B0C0B" w:rsidRPr="004B706C">
        <w:rPr>
          <w:rFonts w:cs="Arial"/>
          <w:szCs w:val="28"/>
        </w:rPr>
        <w:lastRenderedPageBreak/>
        <w:t>whether</w:t>
      </w:r>
      <w:r w:rsidR="003E5733" w:rsidRPr="004B706C">
        <w:rPr>
          <w:rFonts w:cs="Arial"/>
          <w:szCs w:val="28"/>
        </w:rPr>
        <w:t xml:space="preserve"> the significant inequalities and human rights challenges</w:t>
      </w:r>
      <w:r w:rsidR="00407CCB" w:rsidRPr="004B706C">
        <w:rPr>
          <w:rFonts w:cs="Arial"/>
          <w:szCs w:val="28"/>
        </w:rPr>
        <w:t xml:space="preserve"> </w:t>
      </w:r>
      <w:r w:rsidR="00841BE5" w:rsidRPr="004B706C">
        <w:rPr>
          <w:rFonts w:cs="Arial"/>
          <w:szCs w:val="28"/>
        </w:rPr>
        <w:t>which arise through the operation of the</w:t>
      </w:r>
      <w:r w:rsidR="00407CCB" w:rsidRPr="004B706C">
        <w:rPr>
          <w:rFonts w:cs="Arial"/>
          <w:szCs w:val="28"/>
        </w:rPr>
        <w:t xml:space="preserve"> </w:t>
      </w:r>
      <w:r w:rsidR="00841BE5" w:rsidRPr="004B706C">
        <w:rPr>
          <w:rFonts w:cs="Arial"/>
          <w:szCs w:val="28"/>
        </w:rPr>
        <w:t>MHA</w:t>
      </w:r>
      <w:r w:rsidR="003E5733" w:rsidRPr="004B706C">
        <w:rPr>
          <w:rFonts w:cs="Arial"/>
          <w:szCs w:val="28"/>
        </w:rPr>
        <w:t xml:space="preserve"> </w:t>
      </w:r>
      <w:r w:rsidR="007B0C0B" w:rsidRPr="004B706C">
        <w:rPr>
          <w:rFonts w:cs="Arial"/>
          <w:szCs w:val="28"/>
        </w:rPr>
        <w:t xml:space="preserve">can </w:t>
      </w:r>
      <w:r w:rsidR="003E5733" w:rsidRPr="004B706C">
        <w:rPr>
          <w:rFonts w:cs="Arial"/>
          <w:szCs w:val="28"/>
        </w:rPr>
        <w:t xml:space="preserve">be addressed through changes in practice or do we require more fundamental legislative reform to guarantee the best possible care and </w:t>
      </w:r>
      <w:r w:rsidR="007B0C0B" w:rsidRPr="004B706C">
        <w:rPr>
          <w:rFonts w:cs="Arial"/>
          <w:szCs w:val="28"/>
        </w:rPr>
        <w:t>the human rights of</w:t>
      </w:r>
      <w:r w:rsidR="003E5733" w:rsidRPr="004B706C">
        <w:rPr>
          <w:rFonts w:cs="Arial"/>
          <w:szCs w:val="28"/>
        </w:rPr>
        <w:t xml:space="preserve"> all patients?</w:t>
      </w:r>
    </w:p>
    <w:p w:rsidR="00070202" w:rsidRPr="004B706C" w:rsidRDefault="00070202" w:rsidP="00070202">
      <w:pPr>
        <w:pStyle w:val="ListParagraph"/>
        <w:spacing w:line="300" w:lineRule="auto"/>
        <w:ind w:left="0"/>
        <w:rPr>
          <w:rFonts w:cs="Arial"/>
          <w:szCs w:val="28"/>
        </w:rPr>
      </w:pPr>
    </w:p>
    <w:p w:rsidR="00553A2C" w:rsidRPr="004B706C" w:rsidRDefault="006B1DEE" w:rsidP="00553A2C">
      <w:pPr>
        <w:pStyle w:val="ListParagraph"/>
        <w:numPr>
          <w:ilvl w:val="0"/>
          <w:numId w:val="1"/>
        </w:numPr>
        <w:spacing w:line="300" w:lineRule="auto"/>
        <w:ind w:left="0" w:hanging="530"/>
        <w:rPr>
          <w:rFonts w:cs="Arial"/>
          <w:szCs w:val="28"/>
        </w:rPr>
      </w:pPr>
      <w:r w:rsidRPr="004B706C">
        <w:rPr>
          <w:rFonts w:cs="Arial"/>
          <w:szCs w:val="28"/>
        </w:rPr>
        <w:t>It will be important for the R</w:t>
      </w:r>
      <w:r w:rsidR="00553A2C" w:rsidRPr="004B706C">
        <w:rPr>
          <w:rFonts w:cs="Arial"/>
          <w:szCs w:val="28"/>
        </w:rPr>
        <w:t xml:space="preserve">eview to determine whether the scale of changes required demands legislative reform, </w:t>
      </w:r>
      <w:r w:rsidRPr="004B706C">
        <w:rPr>
          <w:rFonts w:cs="Arial"/>
          <w:szCs w:val="28"/>
        </w:rPr>
        <w:t xml:space="preserve">and </w:t>
      </w:r>
      <w:r w:rsidR="00553A2C" w:rsidRPr="004B706C">
        <w:rPr>
          <w:rFonts w:cs="Arial"/>
          <w:szCs w:val="28"/>
        </w:rPr>
        <w:t>what changes may be required through secondary legislation and/or changes to Codes of</w:t>
      </w:r>
      <w:r w:rsidRPr="004B706C">
        <w:rPr>
          <w:rFonts w:cs="Arial"/>
          <w:szCs w:val="28"/>
        </w:rPr>
        <w:t xml:space="preserve"> Practice in England and Wales.</w:t>
      </w:r>
      <w:r w:rsidR="00553A2C" w:rsidRPr="004B706C">
        <w:rPr>
          <w:rFonts w:cs="Arial"/>
          <w:szCs w:val="28"/>
        </w:rPr>
        <w:t xml:space="preserve"> It is clear that some changes might be made through improved practice and procedure, without the need for legislative reform. Consideration should also be given to how the MHA interacts with other</w:t>
      </w:r>
      <w:r w:rsidRPr="004B706C">
        <w:rPr>
          <w:rFonts w:cs="Arial"/>
          <w:szCs w:val="28"/>
        </w:rPr>
        <w:t xml:space="preserve"> legislation, particularly</w:t>
      </w:r>
      <w:r w:rsidR="00553A2C" w:rsidRPr="004B706C">
        <w:rPr>
          <w:rFonts w:cs="Arial"/>
          <w:szCs w:val="28"/>
        </w:rPr>
        <w:t xml:space="preserve"> the Mental Capacity Act 2005 and Deprivation of Liberty Safeguards.</w:t>
      </w:r>
      <w:r w:rsidR="00553A2C" w:rsidRPr="004B706C">
        <w:rPr>
          <w:rStyle w:val="FootnoteReference"/>
          <w:rFonts w:cs="Arial"/>
          <w:szCs w:val="28"/>
        </w:rPr>
        <w:footnoteReference w:id="2"/>
      </w:r>
      <w:r w:rsidR="00553A2C" w:rsidRPr="004B706C">
        <w:rPr>
          <w:rFonts w:cs="Arial"/>
          <w:szCs w:val="28"/>
        </w:rPr>
        <w:t xml:space="preserve"> </w:t>
      </w:r>
      <w:r w:rsidR="006778DD" w:rsidRPr="004B706C">
        <w:rPr>
          <w:rFonts w:cs="Arial"/>
          <w:szCs w:val="28"/>
        </w:rPr>
        <w:t xml:space="preserve">  The Review should look at how MHA is operating within the wider system of mental health services.  </w:t>
      </w:r>
      <w:r w:rsidR="00B627BC" w:rsidRPr="004B706C">
        <w:rPr>
          <w:rFonts w:cs="Arial"/>
          <w:szCs w:val="28"/>
        </w:rPr>
        <w:t xml:space="preserve">In the paragraphs below we set out our concerns that failures at earlier treatment stages are likely to be playing a role in the increasing use of the MHA as well the challenges in returning people to less-restrictive community care settings. </w:t>
      </w:r>
      <w:r w:rsidR="00F82E92">
        <w:rPr>
          <w:rFonts w:cs="Arial"/>
          <w:szCs w:val="28"/>
        </w:rPr>
        <w:t>Another factor influencing the growth in the numbers of people detained</w:t>
      </w:r>
      <w:r w:rsidR="00E864EB">
        <w:rPr>
          <w:rFonts w:cs="Arial"/>
          <w:szCs w:val="28"/>
        </w:rPr>
        <w:t xml:space="preserve"> relates to</w:t>
      </w:r>
      <w:r w:rsidR="00F82E92">
        <w:rPr>
          <w:rFonts w:cs="Arial"/>
          <w:szCs w:val="28"/>
        </w:rPr>
        <w:t xml:space="preserve"> how existin</w:t>
      </w:r>
      <w:r w:rsidR="00E864EB">
        <w:rPr>
          <w:rFonts w:cs="Arial"/>
          <w:szCs w:val="28"/>
        </w:rPr>
        <w:t>g safeguards are being applied.</w:t>
      </w:r>
      <w:r w:rsidR="00F82E92">
        <w:rPr>
          <w:rFonts w:cs="Arial"/>
          <w:szCs w:val="28"/>
        </w:rPr>
        <w:t xml:space="preserve"> We believe there is scope to further improve these. </w:t>
      </w:r>
    </w:p>
    <w:p w:rsidR="00D12C74" w:rsidRPr="004B706C" w:rsidRDefault="00D12C74" w:rsidP="002D5CBE">
      <w:pPr>
        <w:rPr>
          <w:rFonts w:cs="Arial"/>
          <w:szCs w:val="28"/>
        </w:rPr>
      </w:pPr>
    </w:p>
    <w:p w:rsidR="002C135C" w:rsidRPr="004B706C" w:rsidRDefault="00F66FBC" w:rsidP="003569CA">
      <w:pPr>
        <w:pStyle w:val="ListParagraph"/>
        <w:numPr>
          <w:ilvl w:val="0"/>
          <w:numId w:val="1"/>
        </w:numPr>
        <w:spacing w:line="300" w:lineRule="auto"/>
        <w:ind w:left="0" w:hanging="530"/>
        <w:rPr>
          <w:rFonts w:cs="Arial"/>
          <w:szCs w:val="28"/>
        </w:rPr>
      </w:pPr>
      <w:r w:rsidRPr="004B706C">
        <w:rPr>
          <w:rFonts w:cs="Arial"/>
          <w:szCs w:val="28"/>
        </w:rPr>
        <w:t xml:space="preserve">EHRC </w:t>
      </w:r>
      <w:r w:rsidR="003E5733" w:rsidRPr="004B706C">
        <w:rPr>
          <w:rFonts w:cs="Arial"/>
          <w:szCs w:val="28"/>
        </w:rPr>
        <w:t xml:space="preserve">is </w:t>
      </w:r>
      <w:r w:rsidR="001A0514" w:rsidRPr="004B706C">
        <w:rPr>
          <w:rFonts w:cs="Arial"/>
          <w:szCs w:val="28"/>
        </w:rPr>
        <w:t xml:space="preserve">currently </w:t>
      </w:r>
      <w:r w:rsidR="003E5733" w:rsidRPr="004B706C">
        <w:rPr>
          <w:rFonts w:cs="Arial"/>
          <w:szCs w:val="28"/>
        </w:rPr>
        <w:t xml:space="preserve">building a case for reform in line with equality and human rights principles, drawing on research we have commissioned to inform our contributions to the </w:t>
      </w:r>
      <w:r w:rsidR="006525FD" w:rsidRPr="004B706C">
        <w:rPr>
          <w:rFonts w:cs="Arial"/>
          <w:szCs w:val="28"/>
        </w:rPr>
        <w:t>R</w:t>
      </w:r>
      <w:r w:rsidR="003E5733" w:rsidRPr="004B706C">
        <w:rPr>
          <w:rFonts w:cs="Arial"/>
          <w:szCs w:val="28"/>
        </w:rPr>
        <w:t>eview.</w:t>
      </w:r>
      <w:r w:rsidR="002C135C" w:rsidRPr="004B706C">
        <w:rPr>
          <w:rFonts w:cs="Arial"/>
          <w:szCs w:val="28"/>
        </w:rPr>
        <w:t xml:space="preserve"> Through our national and international role, our extensive research and stakeholder networks, and our legal enforcement powers, we occupy a unique position</w:t>
      </w:r>
      <w:r w:rsidR="00385132" w:rsidRPr="004B706C">
        <w:rPr>
          <w:rFonts w:cs="Arial"/>
          <w:szCs w:val="28"/>
        </w:rPr>
        <w:t xml:space="preserve"> and have considerable experience of how the MHA is working in practice and its impact on equality and human rights</w:t>
      </w:r>
      <w:r w:rsidR="002C135C" w:rsidRPr="004B706C">
        <w:rPr>
          <w:rFonts w:cs="Arial"/>
          <w:szCs w:val="28"/>
        </w:rPr>
        <w:t xml:space="preserve">. We are keen to work closely with the </w:t>
      </w:r>
      <w:r w:rsidR="001A0514" w:rsidRPr="004B706C">
        <w:rPr>
          <w:rFonts w:cs="Arial"/>
          <w:szCs w:val="28"/>
        </w:rPr>
        <w:t xml:space="preserve">Review </w:t>
      </w:r>
      <w:r w:rsidR="00C47326" w:rsidRPr="004B706C">
        <w:rPr>
          <w:rFonts w:cs="Arial"/>
          <w:szCs w:val="28"/>
        </w:rPr>
        <w:t>to share our expertise</w:t>
      </w:r>
      <w:r w:rsidR="002C135C" w:rsidRPr="004B706C">
        <w:rPr>
          <w:rFonts w:cs="Arial"/>
          <w:szCs w:val="28"/>
        </w:rPr>
        <w:t xml:space="preserve">. </w:t>
      </w:r>
    </w:p>
    <w:p w:rsidR="003569CA" w:rsidRPr="004B706C" w:rsidRDefault="003569CA" w:rsidP="003569CA">
      <w:pPr>
        <w:pStyle w:val="ListParagraph"/>
        <w:rPr>
          <w:rFonts w:cs="Arial"/>
          <w:szCs w:val="28"/>
        </w:rPr>
      </w:pPr>
    </w:p>
    <w:p w:rsidR="003A020F" w:rsidRDefault="003569CA" w:rsidP="00070202">
      <w:pPr>
        <w:pStyle w:val="ListParagraph"/>
        <w:numPr>
          <w:ilvl w:val="0"/>
          <w:numId w:val="1"/>
        </w:numPr>
        <w:spacing w:line="300" w:lineRule="auto"/>
        <w:ind w:left="0" w:hanging="530"/>
        <w:rPr>
          <w:rFonts w:cs="Arial"/>
          <w:szCs w:val="28"/>
        </w:rPr>
      </w:pPr>
      <w:r w:rsidRPr="004B706C">
        <w:rPr>
          <w:rFonts w:cs="Arial"/>
          <w:szCs w:val="28"/>
        </w:rPr>
        <w:lastRenderedPageBreak/>
        <w:t xml:space="preserve">The Commission welcomes the opportunity to respond to the call for evidence from the </w:t>
      </w:r>
      <w:r w:rsidR="003D5CCA" w:rsidRPr="004B706C">
        <w:rPr>
          <w:rFonts w:cs="Arial"/>
          <w:szCs w:val="28"/>
        </w:rPr>
        <w:t>Review</w:t>
      </w:r>
      <w:r w:rsidRPr="004B706C">
        <w:rPr>
          <w:rFonts w:cs="Arial"/>
          <w:szCs w:val="28"/>
        </w:rPr>
        <w:t xml:space="preserve">. </w:t>
      </w:r>
      <w:r w:rsidR="00964152" w:rsidRPr="004B706C">
        <w:rPr>
          <w:rFonts w:cs="Arial"/>
          <w:szCs w:val="28"/>
        </w:rPr>
        <w:t>Our understanding is that t</w:t>
      </w:r>
      <w:r w:rsidRPr="004B706C">
        <w:rPr>
          <w:rFonts w:cs="Arial"/>
          <w:szCs w:val="28"/>
        </w:rPr>
        <w:t xml:space="preserve">he call for evidence is particularly aimed at finding reports and research which relate to the </w:t>
      </w:r>
      <w:r w:rsidR="0027070A" w:rsidRPr="004B706C">
        <w:rPr>
          <w:rFonts w:cs="Arial"/>
          <w:szCs w:val="28"/>
        </w:rPr>
        <w:t>R</w:t>
      </w:r>
      <w:r w:rsidRPr="004B706C">
        <w:rPr>
          <w:rFonts w:cs="Arial"/>
          <w:szCs w:val="28"/>
        </w:rPr>
        <w:t>eview’s term</w:t>
      </w:r>
      <w:r w:rsidR="007B56E2" w:rsidRPr="004B706C">
        <w:rPr>
          <w:rFonts w:cs="Arial"/>
          <w:szCs w:val="28"/>
        </w:rPr>
        <w:t>s</w:t>
      </w:r>
      <w:r w:rsidRPr="004B706C">
        <w:rPr>
          <w:rFonts w:cs="Arial"/>
          <w:szCs w:val="28"/>
        </w:rPr>
        <w:t xml:space="preserve"> of reference and which the </w:t>
      </w:r>
      <w:r w:rsidR="006E33F1" w:rsidRPr="004B706C">
        <w:rPr>
          <w:rFonts w:cs="Arial"/>
          <w:szCs w:val="28"/>
        </w:rPr>
        <w:t>R</w:t>
      </w:r>
      <w:r w:rsidRPr="004B706C">
        <w:rPr>
          <w:rFonts w:cs="Arial"/>
          <w:szCs w:val="28"/>
        </w:rPr>
        <w:t>eview may not otherwise be aware of. It asks that key</w:t>
      </w:r>
      <w:r w:rsidR="00F66FBC" w:rsidRPr="004B706C">
        <w:rPr>
          <w:rFonts w:cs="Arial"/>
          <w:szCs w:val="28"/>
        </w:rPr>
        <w:t xml:space="preserve"> points are highlighted for ease of</w:t>
      </w:r>
      <w:r w:rsidRPr="004B706C">
        <w:rPr>
          <w:rFonts w:cs="Arial"/>
          <w:szCs w:val="28"/>
        </w:rPr>
        <w:t xml:space="preserve"> reference.</w:t>
      </w:r>
    </w:p>
    <w:p w:rsidR="00070202" w:rsidRPr="00070202" w:rsidRDefault="00070202" w:rsidP="00070202">
      <w:pPr>
        <w:pStyle w:val="ListParagraph"/>
        <w:spacing w:line="300" w:lineRule="auto"/>
        <w:ind w:left="0"/>
        <w:rPr>
          <w:rFonts w:cs="Arial"/>
          <w:szCs w:val="28"/>
        </w:rPr>
      </w:pPr>
    </w:p>
    <w:p w:rsidR="007B0C0B" w:rsidRDefault="003A020F" w:rsidP="00070202">
      <w:pPr>
        <w:pStyle w:val="Heading2"/>
      </w:pPr>
      <w:r w:rsidRPr="004B706C">
        <w:t>Why are levels of mental health detentions increasing?</w:t>
      </w:r>
    </w:p>
    <w:p w:rsidR="00070202" w:rsidRPr="00070202" w:rsidRDefault="00070202" w:rsidP="00070202"/>
    <w:p w:rsidR="00597526" w:rsidRPr="004B706C" w:rsidRDefault="00331435" w:rsidP="007B0C0B">
      <w:pPr>
        <w:pStyle w:val="ListParagraph"/>
        <w:numPr>
          <w:ilvl w:val="0"/>
          <w:numId w:val="1"/>
        </w:numPr>
        <w:spacing w:line="300" w:lineRule="auto"/>
        <w:ind w:left="0" w:hanging="530"/>
        <w:rPr>
          <w:rFonts w:cs="Arial"/>
          <w:szCs w:val="28"/>
        </w:rPr>
      </w:pPr>
      <w:r w:rsidRPr="004B706C">
        <w:rPr>
          <w:rFonts w:cs="Arial"/>
          <w:szCs w:val="28"/>
        </w:rPr>
        <w:t>The scale of demand for mental health services far outstrips the provision of services.</w:t>
      </w:r>
      <w:r w:rsidRPr="004B706C">
        <w:rPr>
          <w:rStyle w:val="FootnoteReference"/>
          <w:rFonts w:cs="Arial"/>
          <w:szCs w:val="28"/>
        </w:rPr>
        <w:footnoteReference w:id="3"/>
      </w:r>
      <w:r w:rsidRPr="004B706C">
        <w:rPr>
          <w:rFonts w:cs="Arial"/>
          <w:szCs w:val="28"/>
        </w:rPr>
        <w:t xml:space="preserve"> This inevitably leads to many people not receiving the help that they need and to others experiencing long delays before accessing treatment. These factors are likely to play a role in the year-on-year increases in the numbers of people who are being detained under the MHA. </w:t>
      </w:r>
    </w:p>
    <w:p w:rsidR="00597526" w:rsidRPr="004B706C" w:rsidRDefault="00597526" w:rsidP="00597526">
      <w:pPr>
        <w:pStyle w:val="ListParagraph"/>
        <w:spacing w:line="300" w:lineRule="auto"/>
        <w:ind w:left="0"/>
        <w:rPr>
          <w:rFonts w:cs="Arial"/>
          <w:szCs w:val="28"/>
        </w:rPr>
      </w:pPr>
    </w:p>
    <w:p w:rsidR="007B0C0B" w:rsidRPr="004B706C" w:rsidRDefault="00331435" w:rsidP="007B0C0B">
      <w:pPr>
        <w:pStyle w:val="ListParagraph"/>
        <w:numPr>
          <w:ilvl w:val="0"/>
          <w:numId w:val="1"/>
        </w:numPr>
        <w:spacing w:line="300" w:lineRule="auto"/>
        <w:ind w:left="0" w:hanging="530"/>
        <w:rPr>
          <w:rFonts w:cs="Arial"/>
          <w:szCs w:val="28"/>
        </w:rPr>
      </w:pPr>
      <w:r w:rsidRPr="004B706C">
        <w:rPr>
          <w:rFonts w:cs="Arial"/>
          <w:szCs w:val="28"/>
        </w:rPr>
        <w:t>In our view levels of funding and therefore access to mental health services are not sufficient and there is a strong case to be made in favour of ring fencing mental health funding</w:t>
      </w:r>
      <w:r w:rsidR="00597526" w:rsidRPr="004B706C">
        <w:rPr>
          <w:rFonts w:cs="Arial"/>
          <w:szCs w:val="28"/>
        </w:rPr>
        <w:t xml:space="preserve"> to ensure that it is no longer redirected to support other service that are under pressure</w:t>
      </w:r>
      <w:r w:rsidRPr="004B706C">
        <w:rPr>
          <w:rFonts w:cs="Arial"/>
          <w:szCs w:val="28"/>
        </w:rPr>
        <w:t>.</w:t>
      </w:r>
      <w:r w:rsidRPr="004B706C">
        <w:rPr>
          <w:rStyle w:val="FootnoteReference"/>
          <w:rFonts w:cs="Arial"/>
          <w:szCs w:val="28"/>
        </w:rPr>
        <w:footnoteReference w:id="4"/>
      </w:r>
      <w:r w:rsidR="00597526" w:rsidRPr="004B706C">
        <w:rPr>
          <w:rFonts w:cs="Arial"/>
          <w:szCs w:val="28"/>
        </w:rPr>
        <w:t xml:space="preserve"> The UK Independent Mechanism’s submission to the UNCRPD recommended that the UK and devolved governments provide sufficient funding to provide high quality mental health services to meet demand.</w:t>
      </w:r>
      <w:r w:rsidR="00F82E92">
        <w:rPr>
          <w:rStyle w:val="FootnoteReference"/>
          <w:rFonts w:cs="Arial"/>
          <w:szCs w:val="28"/>
        </w:rPr>
        <w:footnoteReference w:id="5"/>
      </w:r>
      <w:r w:rsidR="00597526" w:rsidRPr="004B706C">
        <w:rPr>
          <w:rFonts w:cs="Arial"/>
          <w:szCs w:val="28"/>
        </w:rPr>
        <w:t xml:space="preserve"> </w:t>
      </w:r>
    </w:p>
    <w:p w:rsidR="00331435" w:rsidRPr="004B706C" w:rsidRDefault="00331435" w:rsidP="00331435">
      <w:pPr>
        <w:pStyle w:val="ListParagraph"/>
        <w:spacing w:line="300" w:lineRule="auto"/>
        <w:ind w:left="0"/>
        <w:rPr>
          <w:rFonts w:cs="Arial"/>
          <w:szCs w:val="28"/>
        </w:rPr>
      </w:pPr>
    </w:p>
    <w:p w:rsidR="003A020F" w:rsidRPr="004B706C" w:rsidRDefault="00846D7A" w:rsidP="00331435">
      <w:pPr>
        <w:pStyle w:val="ListParagraph"/>
        <w:numPr>
          <w:ilvl w:val="0"/>
          <w:numId w:val="1"/>
        </w:numPr>
        <w:spacing w:line="300" w:lineRule="auto"/>
        <w:ind w:left="0" w:hanging="530"/>
        <w:rPr>
          <w:rFonts w:cs="Arial"/>
          <w:szCs w:val="28"/>
        </w:rPr>
      </w:pPr>
      <w:r w:rsidRPr="004B706C">
        <w:rPr>
          <w:rFonts w:cs="Arial"/>
        </w:rPr>
        <w:t>As a</w:t>
      </w:r>
      <w:r w:rsidR="000E1DE8" w:rsidRPr="004B706C">
        <w:rPr>
          <w:rFonts w:cs="Arial"/>
        </w:rPr>
        <w:t xml:space="preserve"> National Human Rights Institution (NHRI)</w:t>
      </w:r>
      <w:r w:rsidR="00B54CFC" w:rsidRPr="004B706C">
        <w:rPr>
          <w:rFonts w:cs="Arial"/>
        </w:rPr>
        <w:t>, EHRC</w:t>
      </w:r>
      <w:r w:rsidR="000E1DE8" w:rsidRPr="004B706C">
        <w:rPr>
          <w:rFonts w:cs="Arial"/>
        </w:rPr>
        <w:t xml:space="preserve"> monitor</w:t>
      </w:r>
      <w:r w:rsidR="00B54CFC" w:rsidRPr="004B706C">
        <w:rPr>
          <w:rFonts w:cs="Arial"/>
        </w:rPr>
        <w:t>s</w:t>
      </w:r>
      <w:r w:rsidR="000E1DE8" w:rsidRPr="004B706C">
        <w:rPr>
          <w:rFonts w:cs="Arial"/>
        </w:rPr>
        <w:t xml:space="preserve"> </w:t>
      </w:r>
      <w:r w:rsidR="00B54CFC" w:rsidRPr="004B706C">
        <w:rPr>
          <w:rFonts w:cs="Arial"/>
        </w:rPr>
        <w:t xml:space="preserve">and reports on </w:t>
      </w:r>
      <w:r w:rsidR="000E1DE8" w:rsidRPr="004B706C">
        <w:rPr>
          <w:rFonts w:cs="Arial"/>
        </w:rPr>
        <w:t>the UK’s compliance with the seven United Nations (UN) human rights treaties it has signed and ratified</w:t>
      </w:r>
      <w:r w:rsidR="005A627F" w:rsidRPr="004B706C">
        <w:rPr>
          <w:rFonts w:cs="Arial"/>
        </w:rPr>
        <w:t>.</w:t>
      </w:r>
      <w:r w:rsidR="00B54CFC" w:rsidRPr="004B706C">
        <w:rPr>
          <w:rStyle w:val="FootnoteReference"/>
          <w:rFonts w:cs="Arial"/>
        </w:rPr>
        <w:footnoteReference w:id="6"/>
      </w:r>
      <w:r w:rsidR="00331435" w:rsidRPr="004B706C">
        <w:rPr>
          <w:rFonts w:cs="Arial"/>
        </w:rPr>
        <w:t xml:space="preserve"> A number of these </w:t>
      </w:r>
      <w:r w:rsidR="00331435" w:rsidRPr="004B706C">
        <w:rPr>
          <w:rFonts w:cs="Arial"/>
        </w:rPr>
        <w:lastRenderedPageBreak/>
        <w:t xml:space="preserve">treaties include provisions that cover access to, outcomes from and respect for human rights within mental health services. </w:t>
      </w:r>
      <w:r w:rsidR="005F01EE" w:rsidRPr="004B706C">
        <w:rPr>
          <w:rFonts w:cs="Arial"/>
        </w:rPr>
        <w:t>In this section we are drawing a link between the comments made by international treaty monitoring bodies in</w:t>
      </w:r>
      <w:r w:rsidR="00A5567B" w:rsidRPr="004B706C">
        <w:rPr>
          <w:rFonts w:cs="Arial"/>
        </w:rPr>
        <w:t xml:space="preserve"> respect to inadequate provision of mental health services in general</w:t>
      </w:r>
      <w:r w:rsidR="005F01EE" w:rsidRPr="004B706C">
        <w:rPr>
          <w:rFonts w:cs="Arial"/>
        </w:rPr>
        <w:t xml:space="preserve"> and the rise in use of the MHA. </w:t>
      </w:r>
    </w:p>
    <w:p w:rsidR="00331435" w:rsidRPr="004B706C" w:rsidRDefault="00331435" w:rsidP="00331435">
      <w:pPr>
        <w:rPr>
          <w:rFonts w:cs="Arial"/>
          <w:szCs w:val="28"/>
        </w:rPr>
      </w:pPr>
    </w:p>
    <w:p w:rsidR="00331435" w:rsidRPr="004B706C" w:rsidRDefault="00331435" w:rsidP="00331435">
      <w:pPr>
        <w:pStyle w:val="ListParagraph"/>
        <w:numPr>
          <w:ilvl w:val="0"/>
          <w:numId w:val="1"/>
        </w:numPr>
        <w:spacing w:line="300" w:lineRule="auto"/>
        <w:ind w:left="0" w:hanging="530"/>
        <w:rPr>
          <w:rFonts w:cs="Arial"/>
          <w:szCs w:val="28"/>
        </w:rPr>
      </w:pPr>
      <w:r w:rsidRPr="004B706C">
        <w:t>The International Covenant on Economic, Social and Cultural Rights (ICESCR) requires the UK to ensure (protect, respect and fulfil) the right of everyone, without discrimination, to the highest attainable standard of physical and mental health (</w:t>
      </w:r>
      <w:r w:rsidRPr="004B706C">
        <w:rPr>
          <w:rStyle w:val="Strong"/>
          <w:rFonts w:cs="Arial"/>
          <w:i/>
          <w:iCs/>
          <w:szCs w:val="28"/>
        </w:rPr>
        <w:t>Article 12</w:t>
      </w:r>
      <w:r w:rsidRPr="004B706C">
        <w:rPr>
          <w:rStyle w:val="Strong"/>
          <w:rFonts w:cs="Arial"/>
          <w:b w:val="0"/>
          <w:iCs/>
          <w:szCs w:val="28"/>
        </w:rPr>
        <w:t xml:space="preserve">).  In its 2016 concluding observations on the state of mental health services in the UK, the UN Committee on Economic Social and Cultural Rights (UNCESCR) noted with concern that mental health services are not receiving proportionate levels of funding (with physical health) and that this means that ‘parity of esteem’ between physical and mental health is not being realised. </w:t>
      </w:r>
      <w:r w:rsidRPr="004B706C">
        <w:t>UNCESCR also expressed concern about shortcomings in the implementation of mental health legislation and the lack of adequate mental health care provided to people in detention.</w:t>
      </w:r>
      <w:r w:rsidRPr="004B706C">
        <w:rPr>
          <w:rStyle w:val="FootnoteReference"/>
          <w:rFonts w:cs="Arial"/>
          <w:szCs w:val="28"/>
        </w:rPr>
        <w:footnoteReference w:id="7"/>
      </w:r>
    </w:p>
    <w:p w:rsidR="00864D91" w:rsidRPr="004B706C" w:rsidRDefault="00864D91" w:rsidP="006B1DEE">
      <w:pPr>
        <w:pStyle w:val="ListParagraph"/>
        <w:spacing w:line="300" w:lineRule="auto"/>
        <w:ind w:left="0"/>
        <w:rPr>
          <w:rFonts w:cs="Arial"/>
          <w:szCs w:val="28"/>
        </w:rPr>
      </w:pPr>
    </w:p>
    <w:p w:rsidR="00000A9E" w:rsidRPr="004B706C" w:rsidRDefault="009817C7" w:rsidP="00000A9E">
      <w:pPr>
        <w:pStyle w:val="ListParagraph"/>
        <w:numPr>
          <w:ilvl w:val="0"/>
          <w:numId w:val="1"/>
        </w:numPr>
        <w:spacing w:line="300" w:lineRule="auto"/>
        <w:ind w:left="0" w:hanging="530"/>
        <w:rPr>
          <w:rFonts w:cs="Arial"/>
          <w:szCs w:val="28"/>
        </w:rPr>
      </w:pPr>
      <w:r w:rsidRPr="004B706C">
        <w:rPr>
          <w:rFonts w:cs="Arial"/>
          <w:szCs w:val="28"/>
        </w:rPr>
        <w:t xml:space="preserve">During 2018 we will be publishing a series </w:t>
      </w:r>
      <w:r w:rsidR="00207E6F" w:rsidRPr="004B706C">
        <w:rPr>
          <w:rFonts w:cs="Arial"/>
          <w:szCs w:val="28"/>
        </w:rPr>
        <w:t>of reports</w:t>
      </w:r>
      <w:r w:rsidR="002D527F" w:rsidRPr="004B706C">
        <w:rPr>
          <w:rFonts w:cs="Arial"/>
          <w:szCs w:val="28"/>
        </w:rPr>
        <w:t xml:space="preserve"> providing further evidence and analysis of the </w:t>
      </w:r>
      <w:r w:rsidR="00C17CE4" w:rsidRPr="004B706C">
        <w:rPr>
          <w:rFonts w:cs="Arial"/>
          <w:szCs w:val="28"/>
        </w:rPr>
        <w:t>factors contributing to poor mental health. This will include o</w:t>
      </w:r>
      <w:r w:rsidR="002D527F" w:rsidRPr="004B706C">
        <w:rPr>
          <w:rFonts w:cs="Arial"/>
          <w:szCs w:val="28"/>
        </w:rPr>
        <w:t>ur statutory review</w:t>
      </w:r>
      <w:r w:rsidRPr="004B706C">
        <w:rPr>
          <w:rFonts w:cs="Arial"/>
          <w:szCs w:val="28"/>
        </w:rPr>
        <w:t xml:space="preserve"> </w:t>
      </w:r>
      <w:r w:rsidRPr="004B706C">
        <w:rPr>
          <w:rFonts w:cs="Arial"/>
          <w:i/>
          <w:szCs w:val="28"/>
        </w:rPr>
        <w:t>Is Britain Fairer</w:t>
      </w:r>
      <w:r w:rsidR="00864D91" w:rsidRPr="004B706C">
        <w:rPr>
          <w:rFonts w:cs="Arial"/>
          <w:szCs w:val="28"/>
        </w:rPr>
        <w:t xml:space="preserve">? </w:t>
      </w:r>
      <w:r w:rsidR="002D527F" w:rsidRPr="004B706C">
        <w:rPr>
          <w:rFonts w:cs="Arial"/>
          <w:szCs w:val="28"/>
        </w:rPr>
        <w:t>2018</w:t>
      </w:r>
      <w:r w:rsidRPr="004B706C">
        <w:rPr>
          <w:rFonts w:cs="Arial"/>
          <w:szCs w:val="28"/>
        </w:rPr>
        <w:t xml:space="preserve"> measuring the experience of people </w:t>
      </w:r>
      <w:r w:rsidR="00864D91" w:rsidRPr="004B706C">
        <w:rPr>
          <w:rFonts w:cs="Arial"/>
          <w:szCs w:val="28"/>
        </w:rPr>
        <w:t xml:space="preserve">across Great Britain </w:t>
      </w:r>
      <w:r w:rsidRPr="004B706C">
        <w:rPr>
          <w:rFonts w:cs="Arial"/>
          <w:szCs w:val="28"/>
        </w:rPr>
        <w:t>against a series of key equal</w:t>
      </w:r>
      <w:r w:rsidR="00B103F8" w:rsidRPr="004B706C">
        <w:rPr>
          <w:rFonts w:cs="Arial"/>
          <w:szCs w:val="28"/>
        </w:rPr>
        <w:t>ity and human rights indicators.</w:t>
      </w:r>
      <w:r w:rsidR="00B103F8" w:rsidRPr="004B706C">
        <w:rPr>
          <w:rStyle w:val="FootnoteReference"/>
          <w:rFonts w:cs="Arial"/>
          <w:szCs w:val="28"/>
        </w:rPr>
        <w:footnoteReference w:id="8"/>
      </w:r>
      <w:r w:rsidR="00257EA6" w:rsidRPr="004B706C">
        <w:rPr>
          <w:rFonts w:cs="Arial"/>
          <w:szCs w:val="28"/>
        </w:rPr>
        <w:t xml:space="preserve"> Mental health is one of the three core indicators for health and is likely to be a theme runn</w:t>
      </w:r>
      <w:r w:rsidR="002D527F" w:rsidRPr="004B706C">
        <w:rPr>
          <w:rFonts w:cs="Arial"/>
          <w:szCs w:val="28"/>
        </w:rPr>
        <w:t>ing through much of the evidence</w:t>
      </w:r>
      <w:r w:rsidR="00257EA6" w:rsidRPr="004B706C">
        <w:rPr>
          <w:rFonts w:cs="Arial"/>
          <w:szCs w:val="28"/>
        </w:rPr>
        <w:t xml:space="preserve">. </w:t>
      </w:r>
    </w:p>
    <w:p w:rsidR="00000A9E" w:rsidRPr="004B706C" w:rsidRDefault="00000A9E" w:rsidP="00000A9E">
      <w:pPr>
        <w:pStyle w:val="ListParagraph"/>
      </w:pPr>
    </w:p>
    <w:p w:rsidR="00000A9E" w:rsidRPr="004B706C" w:rsidRDefault="00000A9E" w:rsidP="00000A9E">
      <w:pPr>
        <w:pStyle w:val="ListParagraph"/>
        <w:numPr>
          <w:ilvl w:val="0"/>
          <w:numId w:val="1"/>
        </w:numPr>
        <w:spacing w:line="300" w:lineRule="auto"/>
        <w:ind w:left="0" w:hanging="530"/>
        <w:rPr>
          <w:rFonts w:cs="Arial"/>
          <w:szCs w:val="28"/>
        </w:rPr>
      </w:pPr>
      <w:r w:rsidRPr="004B706C">
        <w:lastRenderedPageBreak/>
        <w:t>We will also be publishing the findings from our inquiry into the provision of housing for disabled people in March 2018.</w:t>
      </w:r>
      <w:r w:rsidRPr="004B706C">
        <w:rPr>
          <w:rStyle w:val="FootnoteReference"/>
          <w:rFonts w:cs="Arial"/>
          <w:szCs w:val="28"/>
        </w:rPr>
        <w:footnoteReference w:id="9"/>
      </w:r>
      <w:r w:rsidRPr="004B706C">
        <w:t xml:space="preserve"> Emerging findings from this are that an absence in the provision of specialist mental health supported housing leads to delays in people being released from secure, inpatient care or released without adequate support.</w:t>
      </w:r>
      <w:r w:rsidR="002D527F" w:rsidRPr="004B706C">
        <w:rPr>
          <w:rStyle w:val="FootnoteReference"/>
        </w:rPr>
        <w:footnoteReference w:id="10"/>
      </w:r>
      <w:r w:rsidRPr="004B706C">
        <w:t xml:space="preserve"> These lead to a greater likelihood of </w:t>
      </w:r>
      <w:r w:rsidR="0025759A" w:rsidRPr="004B706C">
        <w:t xml:space="preserve">people </w:t>
      </w:r>
      <w:r w:rsidRPr="004B706C">
        <w:t>not being able to reintegrate into the community and being more likely to relapse.</w:t>
      </w:r>
    </w:p>
    <w:p w:rsidR="00000A9E" w:rsidRPr="004B706C" w:rsidRDefault="00000A9E" w:rsidP="00000A9E">
      <w:pPr>
        <w:pStyle w:val="ListParagraph"/>
      </w:pPr>
    </w:p>
    <w:p w:rsidR="00A5567B" w:rsidRPr="000F581F" w:rsidRDefault="00000A9E" w:rsidP="00916945">
      <w:pPr>
        <w:pStyle w:val="ListParagraph"/>
        <w:numPr>
          <w:ilvl w:val="0"/>
          <w:numId w:val="1"/>
        </w:numPr>
        <w:spacing w:line="300" w:lineRule="auto"/>
        <w:ind w:left="0" w:hanging="530"/>
        <w:rPr>
          <w:rFonts w:cs="Arial"/>
          <w:szCs w:val="28"/>
        </w:rPr>
      </w:pPr>
      <w:r w:rsidRPr="004B706C">
        <w:t>Since the closure of the central government Supporting People fund, there has been a gap in </w:t>
      </w:r>
      <w:r w:rsidR="00D528C6" w:rsidRPr="004B706C">
        <w:t xml:space="preserve">provision </w:t>
      </w:r>
      <w:r w:rsidRPr="004B706C">
        <w:t>supporting people to sustain a tenancy and prevent a me</w:t>
      </w:r>
      <w:r w:rsidR="000C2753" w:rsidRPr="004B706C">
        <w:t>ntal health crisis occur</w:t>
      </w:r>
      <w:r w:rsidRPr="004B706C">
        <w:t xml:space="preserve">ring </w:t>
      </w:r>
      <w:r w:rsidR="007647FA" w:rsidRPr="004B706C">
        <w:t xml:space="preserve">in </w:t>
      </w:r>
      <w:r w:rsidRPr="004B706C">
        <w:t>the fir</w:t>
      </w:r>
      <w:r w:rsidR="00D528C6" w:rsidRPr="004B706C">
        <w:t>st place. While not exclusively a</w:t>
      </w:r>
      <w:r w:rsidRPr="004B706C">
        <w:t xml:space="preserve"> mental health </w:t>
      </w:r>
      <w:r w:rsidR="00D528C6" w:rsidRPr="004B706C">
        <w:t xml:space="preserve">issue, </w:t>
      </w:r>
      <w:r w:rsidRPr="004B706C">
        <w:t xml:space="preserve">and </w:t>
      </w:r>
      <w:r w:rsidR="00D528C6" w:rsidRPr="004B706C">
        <w:t xml:space="preserve">while </w:t>
      </w:r>
      <w:r w:rsidRPr="004B706C">
        <w:t>capturing a broader range of vulnerabilities,</w:t>
      </w:r>
      <w:r w:rsidR="007647FA" w:rsidRPr="004B706C">
        <w:t xml:space="preserve"> </w:t>
      </w:r>
      <w:r w:rsidR="00D528C6" w:rsidRPr="004B706C">
        <w:t>efforts to fill</w:t>
      </w:r>
      <w:r w:rsidRPr="004B706C">
        <w:t xml:space="preserve"> this gap in relati</w:t>
      </w:r>
      <w:r w:rsidR="00D528C6" w:rsidRPr="004B706C">
        <w:t>vely low cost support, would</w:t>
      </w:r>
      <w:r w:rsidRPr="004B706C">
        <w:t xml:space="preserve"> potential</w:t>
      </w:r>
      <w:r w:rsidR="00D528C6" w:rsidRPr="004B706C">
        <w:t>ly</w:t>
      </w:r>
      <w:r w:rsidRPr="004B706C">
        <w:t xml:space="preserve"> save resources and relieve pressure on acute services, as well as having much better outcomes for the individual. A recent repo</w:t>
      </w:r>
      <w:r w:rsidR="007647FA" w:rsidRPr="004B706C">
        <w:t xml:space="preserve">rt by Mind identified that </w:t>
      </w:r>
      <w:r w:rsidRPr="004B706C">
        <w:t>support</w:t>
      </w:r>
      <w:r w:rsidR="007647FA" w:rsidRPr="004B706C">
        <w:t xml:space="preserve"> and advice</w:t>
      </w:r>
      <w:r w:rsidRPr="004B706C">
        <w:t xml:space="preserve"> is particularly important </w:t>
      </w:r>
      <w:r w:rsidR="007647FA" w:rsidRPr="004B706C">
        <w:t xml:space="preserve">for people with more acute mental health conditions </w:t>
      </w:r>
      <w:r w:rsidRPr="004B706C">
        <w:t>when changing between tenures, such as fro</w:t>
      </w:r>
      <w:r w:rsidR="00D528C6" w:rsidRPr="004B706C">
        <w:t>m supported housing to private rental accommodation</w:t>
      </w:r>
      <w:r w:rsidR="007647FA" w:rsidRPr="004B706C">
        <w:t>.</w:t>
      </w:r>
      <w:r w:rsidR="002D527F" w:rsidRPr="004B706C">
        <w:rPr>
          <w:rStyle w:val="FootnoteReference"/>
        </w:rPr>
        <w:footnoteReference w:id="11"/>
      </w:r>
      <w:r w:rsidRPr="004B706C">
        <w:t xml:space="preserve"> </w:t>
      </w:r>
    </w:p>
    <w:p w:rsidR="000F581F" w:rsidRPr="000F581F" w:rsidRDefault="000F581F" w:rsidP="000F581F">
      <w:pPr>
        <w:pStyle w:val="ListParagraph"/>
        <w:spacing w:line="300" w:lineRule="auto"/>
        <w:ind w:left="0"/>
        <w:rPr>
          <w:rFonts w:cs="Arial"/>
          <w:szCs w:val="28"/>
        </w:rPr>
      </w:pPr>
    </w:p>
    <w:p w:rsidR="007318C1" w:rsidRPr="004B706C" w:rsidRDefault="007318C1" w:rsidP="00542497">
      <w:pPr>
        <w:pStyle w:val="ListParagraph"/>
        <w:numPr>
          <w:ilvl w:val="0"/>
          <w:numId w:val="1"/>
        </w:numPr>
        <w:spacing w:line="300" w:lineRule="auto"/>
        <w:ind w:left="0" w:hanging="530"/>
        <w:rPr>
          <w:rFonts w:cs="Arial"/>
          <w:szCs w:val="28"/>
        </w:rPr>
      </w:pPr>
      <w:r w:rsidRPr="004B706C">
        <w:rPr>
          <w:rFonts w:cs="Arial"/>
          <w:szCs w:val="28"/>
        </w:rPr>
        <w:t>The lack of safeguards for people in hospital and other care settings who are deemed incapable</w:t>
      </w:r>
      <w:r w:rsidR="00C45673" w:rsidRPr="004B706C">
        <w:rPr>
          <w:rFonts w:cs="Arial"/>
          <w:szCs w:val="28"/>
        </w:rPr>
        <w:t xml:space="preserve"> of</w:t>
      </w:r>
      <w:r w:rsidRPr="004B706C">
        <w:rPr>
          <w:rFonts w:cs="Arial"/>
          <w:szCs w:val="28"/>
        </w:rPr>
        <w:t xml:space="preserve"> consent, but are compliant with their admission and/or treatment is likely to also play a role in the year-on-year increases in the numbers of people detained in secure care</w:t>
      </w:r>
      <w:r w:rsidR="00C45673" w:rsidRPr="004B706C">
        <w:rPr>
          <w:rFonts w:cs="Arial"/>
          <w:szCs w:val="28"/>
        </w:rPr>
        <w:t xml:space="preserve"> (and their length of detention)</w:t>
      </w:r>
      <w:r w:rsidRPr="004B706C">
        <w:rPr>
          <w:rFonts w:cs="Arial"/>
          <w:szCs w:val="28"/>
        </w:rPr>
        <w:t>. This is a point that we examine in further detail in the paragraphs below</w:t>
      </w:r>
      <w:r w:rsidR="00C45673" w:rsidRPr="004B706C">
        <w:rPr>
          <w:rFonts w:cs="Arial"/>
          <w:szCs w:val="28"/>
        </w:rPr>
        <w:t>.</w:t>
      </w:r>
      <w:r w:rsidR="00C45673" w:rsidRPr="004B706C">
        <w:rPr>
          <w:rStyle w:val="FootnoteReference"/>
          <w:rFonts w:cs="Arial"/>
          <w:szCs w:val="28"/>
        </w:rPr>
        <w:footnoteReference w:id="12"/>
      </w:r>
      <w:r w:rsidRPr="004B706C">
        <w:rPr>
          <w:rFonts w:cs="Arial"/>
          <w:szCs w:val="28"/>
        </w:rPr>
        <w:t xml:space="preserve"> </w:t>
      </w:r>
    </w:p>
    <w:p w:rsidR="008F2DD0" w:rsidRPr="004B706C" w:rsidRDefault="008F2DD0" w:rsidP="006E0738">
      <w:pPr>
        <w:rPr>
          <w:rFonts w:cs="Arial"/>
          <w:b/>
          <w:szCs w:val="28"/>
        </w:rPr>
      </w:pPr>
    </w:p>
    <w:p w:rsidR="00321DE8" w:rsidRDefault="00597666" w:rsidP="00070202">
      <w:pPr>
        <w:pStyle w:val="Heading2"/>
      </w:pPr>
      <w:r w:rsidRPr="004B706C">
        <w:lastRenderedPageBreak/>
        <w:t xml:space="preserve">The </w:t>
      </w:r>
      <w:r w:rsidR="00321DE8">
        <w:t>disproportionate use of the MHA:</w:t>
      </w:r>
      <w:r w:rsidRPr="004B706C">
        <w:t xml:space="preserve"> </w:t>
      </w:r>
    </w:p>
    <w:p w:rsidR="00597666" w:rsidRPr="004B706C" w:rsidRDefault="00321DE8" w:rsidP="00070202">
      <w:pPr>
        <w:pStyle w:val="Heading2"/>
      </w:pPr>
      <w:r>
        <w:t>T</w:t>
      </w:r>
      <w:r w:rsidR="00597666" w:rsidRPr="004B706C">
        <w:t>he experience of people with different protected characteristics</w:t>
      </w:r>
    </w:p>
    <w:p w:rsidR="00597666" w:rsidRPr="004B706C" w:rsidRDefault="00597666" w:rsidP="00631EF4">
      <w:pPr>
        <w:rPr>
          <w:rFonts w:cs="Arial"/>
          <w:b/>
          <w:szCs w:val="28"/>
        </w:rPr>
      </w:pPr>
    </w:p>
    <w:p w:rsidR="00922CD3" w:rsidRPr="004B706C" w:rsidRDefault="00E655CC" w:rsidP="00922CD3">
      <w:pPr>
        <w:pStyle w:val="ListParagraph"/>
        <w:numPr>
          <w:ilvl w:val="0"/>
          <w:numId w:val="1"/>
        </w:numPr>
        <w:spacing w:line="300" w:lineRule="auto"/>
        <w:ind w:left="0" w:hanging="530"/>
        <w:rPr>
          <w:rFonts w:cs="Arial"/>
          <w:b/>
          <w:szCs w:val="28"/>
        </w:rPr>
      </w:pPr>
      <w:r w:rsidRPr="004B706C">
        <w:rPr>
          <w:rFonts w:cs="Arial"/>
          <w:szCs w:val="28"/>
        </w:rPr>
        <w:t>To fully understand how effectively mental health services are working</w:t>
      </w:r>
      <w:r w:rsidR="00316A69" w:rsidRPr="004B706C">
        <w:rPr>
          <w:rFonts w:cs="Arial"/>
          <w:szCs w:val="28"/>
        </w:rPr>
        <w:t>,</w:t>
      </w:r>
      <w:r w:rsidRPr="004B706C">
        <w:rPr>
          <w:rFonts w:cs="Arial"/>
          <w:szCs w:val="28"/>
        </w:rPr>
        <w:t xml:space="preserve"> it i</w:t>
      </w:r>
      <w:r w:rsidR="00043FD0" w:rsidRPr="004B706C">
        <w:rPr>
          <w:rFonts w:cs="Arial"/>
          <w:szCs w:val="28"/>
        </w:rPr>
        <w:t>s important to consider</w:t>
      </w:r>
      <w:r w:rsidR="00D03B98" w:rsidRPr="004B706C">
        <w:rPr>
          <w:rFonts w:cs="Arial"/>
          <w:szCs w:val="28"/>
        </w:rPr>
        <w:t xml:space="preserve"> the experience of people with</w:t>
      </w:r>
      <w:r w:rsidRPr="004B706C">
        <w:rPr>
          <w:rFonts w:cs="Arial"/>
          <w:szCs w:val="28"/>
        </w:rPr>
        <w:t xml:space="preserve"> different prot</w:t>
      </w:r>
      <w:r w:rsidR="00207E6F" w:rsidRPr="004B706C">
        <w:rPr>
          <w:rFonts w:cs="Arial"/>
          <w:szCs w:val="28"/>
        </w:rPr>
        <w:t>ected characteristics as required</w:t>
      </w:r>
      <w:r w:rsidRPr="004B706C">
        <w:rPr>
          <w:rFonts w:cs="Arial"/>
          <w:szCs w:val="28"/>
        </w:rPr>
        <w:t xml:space="preserve"> under the Equality Act 2010</w:t>
      </w:r>
      <w:r w:rsidR="00D854F5" w:rsidRPr="004B706C">
        <w:rPr>
          <w:rFonts w:cs="Arial"/>
          <w:szCs w:val="28"/>
        </w:rPr>
        <w:t>, in line with the requirements of the Public Sector Equality Duty (PSED).</w:t>
      </w:r>
      <w:r w:rsidR="006C00F6" w:rsidRPr="004B706C">
        <w:rPr>
          <w:rStyle w:val="FootnoteReference"/>
          <w:rFonts w:cs="Arial"/>
          <w:szCs w:val="28"/>
        </w:rPr>
        <w:footnoteReference w:id="13"/>
      </w:r>
      <w:r w:rsidR="006F43CC" w:rsidRPr="004B706C">
        <w:rPr>
          <w:rFonts w:cs="Arial"/>
          <w:szCs w:val="28"/>
        </w:rPr>
        <w:t xml:space="preserve"> </w:t>
      </w:r>
      <w:r w:rsidR="00922CD3" w:rsidRPr="004B706C">
        <w:rPr>
          <w:rStyle w:val="FootnoteReference"/>
          <w:rFonts w:cs="Arial"/>
          <w:szCs w:val="28"/>
        </w:rPr>
        <w:footnoteReference w:id="14"/>
      </w:r>
      <w:r w:rsidRPr="004B706C">
        <w:rPr>
          <w:rFonts w:cs="Arial"/>
          <w:szCs w:val="28"/>
        </w:rPr>
        <w:t xml:space="preserve"> </w:t>
      </w:r>
      <w:r w:rsidR="00631EF4" w:rsidRPr="004B706C">
        <w:rPr>
          <w:rFonts w:cs="Arial"/>
          <w:szCs w:val="28"/>
        </w:rPr>
        <w:t xml:space="preserve">However, there is a need for better system wide data on the experience of people with different protected </w:t>
      </w:r>
      <w:r w:rsidR="007647FA" w:rsidRPr="004B706C">
        <w:rPr>
          <w:rFonts w:cs="Arial"/>
          <w:szCs w:val="28"/>
        </w:rPr>
        <w:t xml:space="preserve">characteristics </w:t>
      </w:r>
      <w:r w:rsidR="00631EF4" w:rsidRPr="004B706C">
        <w:rPr>
          <w:rFonts w:cs="Arial"/>
          <w:szCs w:val="28"/>
        </w:rPr>
        <w:t>under the MHA and to underst</w:t>
      </w:r>
      <w:r w:rsidR="007647FA" w:rsidRPr="004B706C">
        <w:rPr>
          <w:rFonts w:cs="Arial"/>
          <w:szCs w:val="28"/>
        </w:rPr>
        <w:t>and the reasons for variations.</w:t>
      </w:r>
      <w:r w:rsidR="00631EF4" w:rsidRPr="004B706C">
        <w:rPr>
          <w:rFonts w:cs="Arial"/>
          <w:szCs w:val="28"/>
        </w:rPr>
        <w:t xml:space="preserve"> The absence of this data and analysis limits the ability </w:t>
      </w:r>
      <w:r w:rsidR="006C00F6" w:rsidRPr="004B706C">
        <w:rPr>
          <w:rFonts w:cs="Arial"/>
          <w:szCs w:val="28"/>
        </w:rPr>
        <w:t xml:space="preserve">of service commissioners and providers </w:t>
      </w:r>
      <w:r w:rsidR="00631EF4" w:rsidRPr="004B706C">
        <w:rPr>
          <w:rFonts w:cs="Arial"/>
          <w:szCs w:val="28"/>
        </w:rPr>
        <w:t>to tackle key inequalities and to improve outcomes for all patients</w:t>
      </w:r>
      <w:r w:rsidR="00832836" w:rsidRPr="004B706C">
        <w:rPr>
          <w:rFonts w:cs="Arial"/>
          <w:szCs w:val="28"/>
        </w:rPr>
        <w:t xml:space="preserve"> at</w:t>
      </w:r>
      <w:r w:rsidR="009B03F7" w:rsidRPr="004B706C">
        <w:rPr>
          <w:rFonts w:cs="Arial"/>
          <w:szCs w:val="28"/>
        </w:rPr>
        <w:t xml:space="preserve"> different treatment stages.</w:t>
      </w:r>
      <w:r w:rsidR="00C8423C" w:rsidRPr="004B706C">
        <w:rPr>
          <w:rFonts w:cs="Arial"/>
          <w:szCs w:val="28"/>
        </w:rPr>
        <w:t xml:space="preserve"> </w:t>
      </w:r>
    </w:p>
    <w:p w:rsidR="00922CD3" w:rsidRPr="004B706C" w:rsidRDefault="00922CD3" w:rsidP="00922CD3">
      <w:pPr>
        <w:pStyle w:val="ListParagraph"/>
        <w:spacing w:line="300" w:lineRule="auto"/>
        <w:ind w:left="0"/>
        <w:rPr>
          <w:rFonts w:cs="Arial"/>
          <w:b/>
          <w:szCs w:val="28"/>
        </w:rPr>
      </w:pPr>
    </w:p>
    <w:p w:rsidR="0066068C" w:rsidRPr="004B706C" w:rsidRDefault="00922CD3" w:rsidP="00600766">
      <w:pPr>
        <w:pStyle w:val="ListParagraph"/>
        <w:numPr>
          <w:ilvl w:val="0"/>
          <w:numId w:val="1"/>
        </w:numPr>
        <w:spacing w:line="300" w:lineRule="auto"/>
        <w:ind w:left="0" w:hanging="530"/>
        <w:rPr>
          <w:rFonts w:cs="Arial"/>
          <w:b/>
          <w:szCs w:val="28"/>
        </w:rPr>
      </w:pPr>
      <w:r w:rsidRPr="004B706C">
        <w:rPr>
          <w:rFonts w:cs="Arial"/>
          <w:szCs w:val="28"/>
        </w:rPr>
        <w:t>In our 2017 submission to the UN Committee on the Elimination of Racial Discrimination (UN CERD) we noted that data collection on ethnicity and mental health does not enable effective planning to tackle the poor outcomes and experiences of ethnic minorities.</w:t>
      </w:r>
      <w:r w:rsidRPr="004B706C">
        <w:rPr>
          <w:rStyle w:val="FootnoteReference"/>
          <w:rFonts w:cs="Arial"/>
          <w:szCs w:val="28"/>
        </w:rPr>
        <w:footnoteReference w:id="15"/>
      </w:r>
      <w:r w:rsidR="00600766" w:rsidRPr="004B706C">
        <w:rPr>
          <w:rFonts w:cs="Arial"/>
          <w:szCs w:val="28"/>
        </w:rPr>
        <w:t xml:space="preserve"> The UN CERD</w:t>
      </w:r>
      <w:r w:rsidRPr="004B706C">
        <w:rPr>
          <w:rFonts w:cs="Arial"/>
          <w:szCs w:val="28"/>
        </w:rPr>
        <w:t xml:space="preserve"> has previously stressed the importance of the UK state party addressing the overrepresentation of persons of African Caribbean descent treated in psychiatric institutions and the disproportionate use of restraint, seclusion and medication.</w:t>
      </w:r>
      <w:r w:rsidRPr="004B706C">
        <w:rPr>
          <w:rStyle w:val="FootnoteReference"/>
          <w:rFonts w:cs="Arial"/>
          <w:szCs w:val="28"/>
        </w:rPr>
        <w:footnoteReference w:id="16"/>
      </w:r>
      <w:r w:rsidRPr="004B706C">
        <w:rPr>
          <w:rFonts w:cs="Arial"/>
          <w:szCs w:val="28"/>
        </w:rPr>
        <w:t xml:space="preserve"> </w:t>
      </w:r>
      <w:r w:rsidR="0066068C" w:rsidRPr="004B706C">
        <w:rPr>
          <w:rFonts w:cs="Arial"/>
          <w:szCs w:val="28"/>
        </w:rPr>
        <w:t xml:space="preserve"> Recent data</w:t>
      </w:r>
      <w:r w:rsidR="00977A14" w:rsidRPr="004B706C">
        <w:rPr>
          <w:rFonts w:cs="Arial"/>
          <w:szCs w:val="28"/>
        </w:rPr>
        <w:t xml:space="preserve"> indicates that Black groups were over four times more likely to be detained under the MHA than White groups, and are almost nine times more likely to be subject to a community treatment order.</w:t>
      </w:r>
      <w:r w:rsidR="00977A14" w:rsidRPr="004B706C">
        <w:rPr>
          <w:rStyle w:val="FootnoteReference"/>
          <w:rFonts w:cs="Arial"/>
          <w:szCs w:val="28"/>
        </w:rPr>
        <w:footnoteReference w:id="17"/>
      </w:r>
    </w:p>
    <w:p w:rsidR="0066068C" w:rsidRPr="004B706C" w:rsidRDefault="0066068C" w:rsidP="0066068C">
      <w:pPr>
        <w:pStyle w:val="ListParagraph"/>
        <w:rPr>
          <w:rFonts w:cs="Arial"/>
          <w:szCs w:val="28"/>
        </w:rPr>
      </w:pPr>
    </w:p>
    <w:p w:rsidR="00600766" w:rsidRPr="004B706C" w:rsidRDefault="00922CD3" w:rsidP="00600766">
      <w:pPr>
        <w:pStyle w:val="ListParagraph"/>
        <w:numPr>
          <w:ilvl w:val="0"/>
          <w:numId w:val="1"/>
        </w:numPr>
        <w:spacing w:line="300" w:lineRule="auto"/>
        <w:ind w:left="0" w:hanging="530"/>
        <w:rPr>
          <w:rFonts w:cs="Arial"/>
          <w:b/>
          <w:szCs w:val="28"/>
        </w:rPr>
      </w:pPr>
      <w:r w:rsidRPr="004B706C">
        <w:rPr>
          <w:rFonts w:cs="Arial"/>
          <w:szCs w:val="28"/>
        </w:rPr>
        <w:lastRenderedPageBreak/>
        <w:t xml:space="preserve">The </w:t>
      </w:r>
      <w:r w:rsidR="0066068C" w:rsidRPr="004B706C">
        <w:rPr>
          <w:rFonts w:cs="Arial"/>
          <w:szCs w:val="28"/>
        </w:rPr>
        <w:t xml:space="preserve">CERD </w:t>
      </w:r>
      <w:r w:rsidRPr="004B706C">
        <w:rPr>
          <w:rFonts w:cs="Arial"/>
          <w:szCs w:val="28"/>
        </w:rPr>
        <w:t>Committee also expressed concern at the experience of people from Gypsy and Traveller communities within the mental health system.</w:t>
      </w:r>
      <w:r w:rsidRPr="004B706C">
        <w:rPr>
          <w:rStyle w:val="FootnoteReference"/>
          <w:rFonts w:cs="Arial"/>
          <w:szCs w:val="28"/>
        </w:rPr>
        <w:footnoteReference w:id="18"/>
      </w:r>
      <w:r w:rsidRPr="004B706C">
        <w:rPr>
          <w:rFonts w:cs="Arial"/>
          <w:szCs w:val="28"/>
        </w:rPr>
        <w:t xml:space="preserve"> This is a community for whom there is very little data</w:t>
      </w:r>
      <w:r w:rsidR="001B120A" w:rsidRPr="004B706C">
        <w:rPr>
          <w:rFonts w:cs="Arial"/>
          <w:szCs w:val="28"/>
        </w:rPr>
        <w:t xml:space="preserve"> within the health system</w:t>
      </w:r>
      <w:r w:rsidRPr="004B706C">
        <w:rPr>
          <w:rFonts w:cs="Arial"/>
          <w:szCs w:val="28"/>
        </w:rPr>
        <w:t>.</w:t>
      </w:r>
      <w:r w:rsidR="00600766" w:rsidRPr="004B706C">
        <w:rPr>
          <w:rFonts w:cs="Arial"/>
          <w:szCs w:val="28"/>
        </w:rPr>
        <w:t xml:space="preserve"> </w:t>
      </w:r>
      <w:r w:rsidR="0066068C" w:rsidRPr="004B706C">
        <w:rPr>
          <w:rFonts w:cs="Arial"/>
          <w:szCs w:val="28"/>
        </w:rPr>
        <w:t>This is a gap that we believe needs to be tackled.</w:t>
      </w:r>
      <w:r w:rsidR="000F581F">
        <w:rPr>
          <w:rStyle w:val="FootnoteReference"/>
          <w:rFonts w:cs="Arial"/>
          <w:szCs w:val="28"/>
        </w:rPr>
        <w:footnoteReference w:id="19"/>
      </w:r>
      <w:r w:rsidR="0066068C" w:rsidRPr="004B706C">
        <w:rPr>
          <w:rFonts w:cs="Arial"/>
          <w:szCs w:val="28"/>
        </w:rPr>
        <w:t xml:space="preserve"> </w:t>
      </w:r>
    </w:p>
    <w:p w:rsidR="00600766" w:rsidRPr="004B706C" w:rsidRDefault="00600766" w:rsidP="00600766">
      <w:pPr>
        <w:pStyle w:val="ListParagraph"/>
        <w:rPr>
          <w:rFonts w:cs="Arial"/>
          <w:szCs w:val="28"/>
        </w:rPr>
      </w:pPr>
    </w:p>
    <w:p w:rsidR="00922CD3" w:rsidRPr="004B706C" w:rsidRDefault="00600766" w:rsidP="00600766">
      <w:pPr>
        <w:pStyle w:val="ListParagraph"/>
        <w:numPr>
          <w:ilvl w:val="0"/>
          <w:numId w:val="1"/>
        </w:numPr>
        <w:spacing w:line="300" w:lineRule="auto"/>
        <w:ind w:left="0" w:hanging="530"/>
        <w:rPr>
          <w:rFonts w:cs="Arial"/>
          <w:b/>
          <w:szCs w:val="28"/>
        </w:rPr>
      </w:pPr>
      <w:r w:rsidRPr="004B706C">
        <w:rPr>
          <w:rFonts w:cs="Arial"/>
          <w:szCs w:val="28"/>
        </w:rPr>
        <w:t>The UN Committee on the Rights of Persons with Disabilities has also expressed its concern over ‘the high number of black people with disabilities who are compulsorily detained and treated against their will’, and urges the UK ‘to initiate new policies in both mental capacity and mental health laws’ to address this problem, in close consultation with disabled people’s organisations, including organisations representing black and minority ethnic groups.</w:t>
      </w:r>
      <w:r w:rsidRPr="004B706C">
        <w:rPr>
          <w:rStyle w:val="FootnoteReference"/>
          <w:rFonts w:cs="Arial"/>
          <w:szCs w:val="28"/>
        </w:rPr>
        <w:footnoteReference w:id="20"/>
      </w:r>
    </w:p>
    <w:p w:rsidR="00922CD3" w:rsidRPr="004B706C" w:rsidRDefault="00922CD3" w:rsidP="00922CD3">
      <w:pPr>
        <w:pStyle w:val="ListParagraph"/>
        <w:rPr>
          <w:rFonts w:cs="Arial"/>
          <w:szCs w:val="28"/>
        </w:rPr>
      </w:pPr>
    </w:p>
    <w:p w:rsidR="00631EF4" w:rsidRPr="004B706C" w:rsidRDefault="00922CD3" w:rsidP="00922CD3">
      <w:pPr>
        <w:pStyle w:val="ListParagraph"/>
        <w:numPr>
          <w:ilvl w:val="0"/>
          <w:numId w:val="1"/>
        </w:numPr>
        <w:spacing w:line="300" w:lineRule="auto"/>
        <w:ind w:left="0" w:hanging="530"/>
        <w:rPr>
          <w:rFonts w:cs="Arial"/>
          <w:b/>
          <w:szCs w:val="28"/>
        </w:rPr>
      </w:pPr>
      <w:r w:rsidRPr="004B706C">
        <w:rPr>
          <w:rFonts w:cs="Arial"/>
          <w:szCs w:val="28"/>
        </w:rPr>
        <w:t>We welcome confirmation that the MHA Review will be commissioning new research into the experience of ethnic minorities within the mental health system and also that it is seeking to actively involve people w</w:t>
      </w:r>
      <w:r w:rsidR="00600766" w:rsidRPr="004B706C">
        <w:rPr>
          <w:rFonts w:cs="Arial"/>
          <w:szCs w:val="28"/>
        </w:rPr>
        <w:t>ith lived experience. Where</w:t>
      </w:r>
      <w:r w:rsidRPr="004B706C">
        <w:rPr>
          <w:rFonts w:cs="Arial"/>
          <w:szCs w:val="28"/>
        </w:rPr>
        <w:t xml:space="preserve"> possible, we urge the Review to disaggregate</w:t>
      </w:r>
      <w:r w:rsidR="00600766" w:rsidRPr="004B706C">
        <w:rPr>
          <w:rFonts w:cs="Arial"/>
          <w:szCs w:val="28"/>
        </w:rPr>
        <w:t xml:space="preserve"> its analysis</w:t>
      </w:r>
      <w:r w:rsidRPr="004B706C">
        <w:rPr>
          <w:rFonts w:cs="Arial"/>
          <w:szCs w:val="28"/>
        </w:rPr>
        <w:t xml:space="preserve"> and to consider ‘intersectionality’, such as whether the experiences of a young Black male are different from those of a young Black female. </w:t>
      </w:r>
      <w:r w:rsidR="00BF6E4E" w:rsidRPr="004B706C">
        <w:rPr>
          <w:rFonts w:cs="Arial"/>
          <w:szCs w:val="28"/>
        </w:rPr>
        <w:t xml:space="preserve"> We hope that this research will include a review of how Community Treatment </w:t>
      </w:r>
      <w:r w:rsidR="00196FAE" w:rsidRPr="004B706C">
        <w:rPr>
          <w:rFonts w:cs="Arial"/>
          <w:szCs w:val="28"/>
        </w:rPr>
        <w:t>Orders are being used and the impact of their use</w:t>
      </w:r>
      <w:r w:rsidR="00BF6E4E" w:rsidRPr="004B706C">
        <w:rPr>
          <w:rFonts w:cs="Arial"/>
          <w:szCs w:val="28"/>
        </w:rPr>
        <w:t xml:space="preserve">. </w:t>
      </w:r>
    </w:p>
    <w:p w:rsidR="00597666" w:rsidRPr="004B706C" w:rsidRDefault="00597666" w:rsidP="00597666">
      <w:pPr>
        <w:pStyle w:val="ListParagraph"/>
        <w:spacing w:line="300" w:lineRule="auto"/>
        <w:ind w:left="0"/>
        <w:rPr>
          <w:rFonts w:cs="Arial"/>
          <w:b/>
          <w:szCs w:val="28"/>
        </w:rPr>
      </w:pPr>
    </w:p>
    <w:p w:rsidR="00600766" w:rsidRPr="004B706C" w:rsidRDefault="003717AD" w:rsidP="00586532">
      <w:pPr>
        <w:pStyle w:val="ListParagraph"/>
        <w:numPr>
          <w:ilvl w:val="0"/>
          <w:numId w:val="1"/>
        </w:numPr>
        <w:spacing w:line="300" w:lineRule="auto"/>
        <w:ind w:left="0" w:hanging="530"/>
        <w:rPr>
          <w:rFonts w:cs="Arial"/>
          <w:b/>
          <w:szCs w:val="28"/>
        </w:rPr>
      </w:pPr>
      <w:r w:rsidRPr="004B706C">
        <w:rPr>
          <w:rFonts w:cs="Arial"/>
          <w:szCs w:val="28"/>
        </w:rPr>
        <w:t>I</w:t>
      </w:r>
      <w:r w:rsidR="00600766" w:rsidRPr="004B706C">
        <w:rPr>
          <w:rFonts w:cs="Arial"/>
          <w:szCs w:val="28"/>
        </w:rPr>
        <w:t>n a 2015</w:t>
      </w:r>
      <w:r w:rsidRPr="004B706C">
        <w:rPr>
          <w:rFonts w:cs="Arial"/>
          <w:szCs w:val="28"/>
        </w:rPr>
        <w:t xml:space="preserve"> submission to the UN Committee on the Rights of the </w:t>
      </w:r>
      <w:r w:rsidR="00600766" w:rsidRPr="004B706C">
        <w:rPr>
          <w:rFonts w:cs="Arial"/>
          <w:szCs w:val="28"/>
        </w:rPr>
        <w:t>Child, the Commission</w:t>
      </w:r>
      <w:r w:rsidR="001A472B" w:rsidRPr="004B706C">
        <w:rPr>
          <w:rFonts w:cs="Arial"/>
          <w:szCs w:val="28"/>
        </w:rPr>
        <w:t xml:space="preserve"> state</w:t>
      </w:r>
      <w:r w:rsidR="00600766" w:rsidRPr="004B706C">
        <w:rPr>
          <w:rFonts w:cs="Arial"/>
          <w:szCs w:val="28"/>
        </w:rPr>
        <w:t>s</w:t>
      </w:r>
      <w:r w:rsidR="00BF12F3" w:rsidRPr="004B706C">
        <w:rPr>
          <w:rFonts w:cs="Arial"/>
          <w:szCs w:val="28"/>
        </w:rPr>
        <w:t xml:space="preserve"> that failures to invest in adequate mental health provision for children and young people is leading to system wide pro</w:t>
      </w:r>
      <w:r w:rsidR="00C8423C" w:rsidRPr="004B706C">
        <w:rPr>
          <w:rFonts w:cs="Arial"/>
          <w:szCs w:val="28"/>
        </w:rPr>
        <w:t>blems, and</w:t>
      </w:r>
      <w:r w:rsidR="001A472B" w:rsidRPr="004B706C">
        <w:rPr>
          <w:sz w:val="23"/>
          <w:szCs w:val="23"/>
        </w:rPr>
        <w:t xml:space="preserve"> </w:t>
      </w:r>
      <w:r w:rsidR="00586532" w:rsidRPr="004B706C">
        <w:rPr>
          <w:rFonts w:cs="Arial"/>
          <w:szCs w:val="28"/>
        </w:rPr>
        <w:t>that the state</w:t>
      </w:r>
      <w:r w:rsidR="00586532" w:rsidRPr="004B706C">
        <w:rPr>
          <w:sz w:val="23"/>
          <w:szCs w:val="23"/>
        </w:rPr>
        <w:t xml:space="preserve"> ‘</w:t>
      </w:r>
      <w:r w:rsidR="00586532" w:rsidRPr="004B706C">
        <w:rPr>
          <w:rFonts w:cs="Arial"/>
          <w:i/>
          <w:szCs w:val="28"/>
        </w:rPr>
        <w:t xml:space="preserve">may not be complying </w:t>
      </w:r>
      <w:r w:rsidR="00600766" w:rsidRPr="004B706C">
        <w:rPr>
          <w:rFonts w:cs="Arial"/>
          <w:i/>
          <w:szCs w:val="28"/>
        </w:rPr>
        <w:t>its obligation to “address mental ill-health among children and adults and</w:t>
      </w:r>
      <w:r w:rsidR="00586532" w:rsidRPr="004B706C">
        <w:rPr>
          <w:rFonts w:cs="Arial"/>
          <w:i/>
          <w:szCs w:val="28"/>
        </w:rPr>
        <w:t xml:space="preserve"> </w:t>
      </w:r>
      <w:r w:rsidR="00600766" w:rsidRPr="004B706C">
        <w:rPr>
          <w:rFonts w:cs="Arial"/>
          <w:i/>
          <w:szCs w:val="28"/>
        </w:rPr>
        <w:t xml:space="preserve">to invest in </w:t>
      </w:r>
      <w:r w:rsidR="00600766" w:rsidRPr="004B706C">
        <w:rPr>
          <w:rFonts w:cs="Arial"/>
          <w:i/>
          <w:szCs w:val="28"/>
        </w:rPr>
        <w:lastRenderedPageBreak/>
        <w:t>primary care approaches that facilitate the early detection and treatment of children’s psychosocial, emotional and mental problems”’.</w:t>
      </w:r>
      <w:r w:rsidR="00600766" w:rsidRPr="004B706C">
        <w:rPr>
          <w:rStyle w:val="FootnoteReference"/>
          <w:rFonts w:cs="Arial"/>
          <w:i/>
          <w:szCs w:val="28"/>
        </w:rPr>
        <w:footnoteReference w:id="21"/>
      </w:r>
    </w:p>
    <w:p w:rsidR="00600766" w:rsidRPr="004B706C" w:rsidRDefault="00600766" w:rsidP="00600766">
      <w:pPr>
        <w:pStyle w:val="ListParagraph"/>
        <w:rPr>
          <w:rFonts w:cs="Arial"/>
          <w:szCs w:val="28"/>
        </w:rPr>
      </w:pPr>
    </w:p>
    <w:p w:rsidR="00196FAE" w:rsidRPr="00070202" w:rsidRDefault="00FB4947" w:rsidP="00196FAE">
      <w:pPr>
        <w:pStyle w:val="ListParagraph"/>
        <w:numPr>
          <w:ilvl w:val="0"/>
          <w:numId w:val="1"/>
        </w:numPr>
        <w:spacing w:line="300" w:lineRule="auto"/>
        <w:ind w:left="0" w:hanging="530"/>
        <w:rPr>
          <w:rFonts w:cs="Arial"/>
          <w:b/>
          <w:szCs w:val="28"/>
        </w:rPr>
      </w:pPr>
      <w:r w:rsidRPr="004B706C">
        <w:rPr>
          <w:rFonts w:cs="Arial"/>
          <w:szCs w:val="28"/>
        </w:rPr>
        <w:t xml:space="preserve">We continue to be extremely concerned by geographic variations in the provision of services, including inpatient care for children, long delays in referrals to services and evidence that some young people are being turned away when they </w:t>
      </w:r>
      <w:r w:rsidR="00043FD0" w:rsidRPr="004B706C">
        <w:rPr>
          <w:rFonts w:cs="Arial"/>
          <w:szCs w:val="28"/>
        </w:rPr>
        <w:t>are in clear need of hel</w:t>
      </w:r>
      <w:r w:rsidR="009F0B09" w:rsidRPr="004B706C">
        <w:rPr>
          <w:rFonts w:cs="Arial"/>
          <w:szCs w:val="28"/>
        </w:rPr>
        <w:t>p</w:t>
      </w:r>
      <w:r w:rsidR="000C2753" w:rsidRPr="004B706C">
        <w:rPr>
          <w:rFonts w:cs="Arial"/>
          <w:szCs w:val="28"/>
        </w:rPr>
        <w:t xml:space="preserve"> inevitably leading some to reach crises</w:t>
      </w:r>
      <w:r w:rsidR="009F0B09" w:rsidRPr="004B706C">
        <w:rPr>
          <w:rFonts w:cs="Arial"/>
          <w:szCs w:val="28"/>
        </w:rPr>
        <w:t>.</w:t>
      </w:r>
      <w:r w:rsidR="00043FD0" w:rsidRPr="004B706C">
        <w:rPr>
          <w:rStyle w:val="FootnoteReference"/>
          <w:rFonts w:cs="Arial"/>
          <w:szCs w:val="28"/>
        </w:rPr>
        <w:footnoteReference w:id="22"/>
      </w:r>
      <w:r w:rsidR="00207E6F" w:rsidRPr="004B706C">
        <w:rPr>
          <w:rFonts w:cs="Arial"/>
          <w:szCs w:val="28"/>
        </w:rPr>
        <w:t xml:space="preserve">  </w:t>
      </w:r>
      <w:r w:rsidR="00196FAE" w:rsidRPr="004B706C">
        <w:rPr>
          <w:rFonts w:cs="Arial"/>
          <w:szCs w:val="28"/>
        </w:rPr>
        <w:t>There is also evidence that physical restraint was used most frequently in child and adolescent mental health services, acute wards in learning disability services and psychiatric care.</w:t>
      </w:r>
      <w:r w:rsidR="00354087" w:rsidRPr="004B706C">
        <w:rPr>
          <w:rStyle w:val="FootnoteReference"/>
          <w:rFonts w:cs="Arial"/>
          <w:szCs w:val="28"/>
        </w:rPr>
        <w:footnoteReference w:id="23"/>
      </w:r>
    </w:p>
    <w:p w:rsidR="00070202" w:rsidRPr="00070202" w:rsidRDefault="00070202" w:rsidP="00070202">
      <w:pPr>
        <w:pStyle w:val="ListParagraph"/>
        <w:spacing w:line="300" w:lineRule="auto"/>
        <w:ind w:left="0"/>
        <w:rPr>
          <w:rFonts w:cs="Arial"/>
          <w:b/>
          <w:szCs w:val="28"/>
        </w:rPr>
      </w:pPr>
    </w:p>
    <w:p w:rsidR="001B120A" w:rsidRPr="004B706C" w:rsidRDefault="00586532" w:rsidP="00922CD3">
      <w:pPr>
        <w:pStyle w:val="ListParagraph"/>
        <w:numPr>
          <w:ilvl w:val="0"/>
          <w:numId w:val="1"/>
        </w:numPr>
        <w:spacing w:line="300" w:lineRule="auto"/>
        <w:ind w:left="0" w:hanging="530"/>
        <w:rPr>
          <w:rFonts w:cs="Arial"/>
          <w:b/>
          <w:szCs w:val="28"/>
        </w:rPr>
      </w:pPr>
      <w:r w:rsidRPr="004B706C">
        <w:rPr>
          <w:rFonts w:cs="Arial"/>
          <w:szCs w:val="28"/>
        </w:rPr>
        <w:t xml:space="preserve">We are </w:t>
      </w:r>
      <w:r w:rsidR="00354087" w:rsidRPr="004B706C">
        <w:rPr>
          <w:rFonts w:cs="Arial"/>
          <w:szCs w:val="28"/>
        </w:rPr>
        <w:t xml:space="preserve">also </w:t>
      </w:r>
      <w:r w:rsidRPr="004B706C">
        <w:rPr>
          <w:rFonts w:cs="Arial"/>
          <w:szCs w:val="28"/>
        </w:rPr>
        <w:t xml:space="preserve">concerned about the </w:t>
      </w:r>
      <w:r w:rsidR="00354087" w:rsidRPr="004B706C">
        <w:rPr>
          <w:rFonts w:cs="Arial"/>
          <w:szCs w:val="28"/>
        </w:rPr>
        <w:t xml:space="preserve">particular </w:t>
      </w:r>
      <w:r w:rsidRPr="004B706C">
        <w:rPr>
          <w:rFonts w:cs="Arial"/>
          <w:szCs w:val="28"/>
        </w:rPr>
        <w:t>experience of people with autism and learning disabilities who continue to be held in inappropriate institutional environments, including for long periods of time within assessment and treatment units.</w:t>
      </w:r>
      <w:r w:rsidRPr="004B706C">
        <w:rPr>
          <w:rStyle w:val="FootnoteReference"/>
          <w:rFonts w:cs="Arial"/>
          <w:szCs w:val="28"/>
        </w:rPr>
        <w:footnoteReference w:id="24"/>
      </w:r>
      <w:r w:rsidRPr="004B706C">
        <w:rPr>
          <w:rFonts w:cs="Arial"/>
          <w:szCs w:val="28"/>
        </w:rPr>
        <w:t xml:space="preserve"> </w:t>
      </w:r>
      <w:r w:rsidRPr="004B706C">
        <w:rPr>
          <w:rStyle w:val="FootnoteReference"/>
          <w:rFonts w:cs="Arial"/>
          <w:szCs w:val="28"/>
        </w:rPr>
        <w:footnoteReference w:id="25"/>
      </w:r>
      <w:r w:rsidRPr="004B706C">
        <w:rPr>
          <w:rFonts w:cs="Arial"/>
          <w:szCs w:val="28"/>
        </w:rPr>
        <w:t xml:space="preserve"> It will be important for the R</w:t>
      </w:r>
      <w:r w:rsidR="001B120A" w:rsidRPr="004B706C">
        <w:rPr>
          <w:rFonts w:cs="Arial"/>
          <w:szCs w:val="28"/>
        </w:rPr>
        <w:t xml:space="preserve">eview to establish why this is happening and whether it relates to a misuse of s.2 of the MHA which provides for people to be temporarily admitted into treatment for assessment. </w:t>
      </w:r>
    </w:p>
    <w:p w:rsidR="001B120A" w:rsidRPr="004B706C" w:rsidRDefault="001B120A" w:rsidP="001B120A">
      <w:pPr>
        <w:pStyle w:val="ListParagraph"/>
        <w:rPr>
          <w:rFonts w:cs="Arial"/>
          <w:b/>
          <w:szCs w:val="28"/>
        </w:rPr>
      </w:pPr>
    </w:p>
    <w:p w:rsidR="00586532" w:rsidRPr="004B706C" w:rsidRDefault="00586532" w:rsidP="00922CD3">
      <w:pPr>
        <w:pStyle w:val="ListParagraph"/>
        <w:numPr>
          <w:ilvl w:val="0"/>
          <w:numId w:val="1"/>
        </w:numPr>
        <w:spacing w:line="300" w:lineRule="auto"/>
        <w:ind w:left="0" w:hanging="530"/>
        <w:rPr>
          <w:rFonts w:cs="Arial"/>
          <w:b/>
          <w:szCs w:val="28"/>
        </w:rPr>
      </w:pPr>
      <w:r w:rsidRPr="004B706C">
        <w:rPr>
          <w:rFonts w:cs="Arial"/>
          <w:szCs w:val="28"/>
        </w:rPr>
        <w:t xml:space="preserve">The </w:t>
      </w:r>
      <w:r w:rsidRPr="004B706C">
        <w:rPr>
          <w:szCs w:val="28"/>
        </w:rPr>
        <w:t xml:space="preserve">UK Independent Mechanism (UKIM) recommended that the UK and devolved governments should ‘ensure that people with learning disabilities and/or autism: Can access community-based services to avoid involuntary placement in psychiatric hospitals, assessment and treatment units, or general acute wards’, which ‘includes ensuring that </w:t>
      </w:r>
      <w:r w:rsidRPr="004B706C">
        <w:rPr>
          <w:szCs w:val="28"/>
        </w:rPr>
        <w:lastRenderedPageBreak/>
        <w:t>sufficient community-based provision is in place’.</w:t>
      </w:r>
      <w:r w:rsidRPr="004B706C">
        <w:rPr>
          <w:rStyle w:val="FootnoteReference"/>
          <w:szCs w:val="28"/>
        </w:rPr>
        <w:footnoteReference w:id="26"/>
      </w:r>
      <w:r w:rsidRPr="004B706C">
        <w:rPr>
          <w:szCs w:val="28"/>
        </w:rPr>
        <w:t xml:space="preserve"> UKIM further recommended that people with learning disabilities and/or autism should ‘Remain in inpatient care (for the purpose of assessment and treatment) for the shortest possible time…Are provided with appropriate services for their needs, and are not placed in the psychiatric estate unless they have a mental health need’ and ‘are protected by effective safeguards, including access to advocacy, peer support and supported decision-making’.</w:t>
      </w:r>
      <w:r w:rsidRPr="004B706C">
        <w:rPr>
          <w:rStyle w:val="FootnoteReference"/>
          <w:szCs w:val="28"/>
        </w:rPr>
        <w:footnoteReference w:id="27"/>
      </w:r>
    </w:p>
    <w:p w:rsidR="001B120A" w:rsidRPr="004B706C" w:rsidRDefault="001B120A" w:rsidP="00A26FA1">
      <w:pPr>
        <w:pStyle w:val="ListParagraph"/>
        <w:spacing w:line="300" w:lineRule="auto"/>
        <w:ind w:left="0"/>
        <w:rPr>
          <w:rFonts w:cs="Arial"/>
          <w:b/>
          <w:szCs w:val="28"/>
        </w:rPr>
      </w:pPr>
    </w:p>
    <w:p w:rsidR="00A26FA1" w:rsidRDefault="00A26FA1" w:rsidP="00070202">
      <w:pPr>
        <w:pStyle w:val="Heading2"/>
      </w:pPr>
      <w:r w:rsidRPr="004B706C">
        <w:t>Processes that are out of step with a modern mental health care system</w:t>
      </w:r>
    </w:p>
    <w:p w:rsidR="00070202" w:rsidRPr="00070202" w:rsidRDefault="00070202" w:rsidP="00070202"/>
    <w:p w:rsidR="00D032D8" w:rsidRPr="004B706C" w:rsidRDefault="00666AFF" w:rsidP="00484E8B">
      <w:pPr>
        <w:pStyle w:val="ListParagraph"/>
        <w:numPr>
          <w:ilvl w:val="0"/>
          <w:numId w:val="1"/>
        </w:numPr>
        <w:spacing w:line="300" w:lineRule="auto"/>
        <w:ind w:left="0" w:hanging="530"/>
        <w:rPr>
          <w:rFonts w:cs="Arial"/>
          <w:b/>
          <w:szCs w:val="28"/>
        </w:rPr>
      </w:pPr>
      <w:r>
        <w:rPr>
          <w:rFonts w:cs="Arial"/>
          <w:szCs w:val="28"/>
        </w:rPr>
        <w:t>Through our work we have come across a range of different perspectives on the MHA</w:t>
      </w:r>
      <w:r w:rsidR="00D032D8" w:rsidRPr="004B706C">
        <w:rPr>
          <w:rFonts w:cs="Arial"/>
          <w:szCs w:val="28"/>
        </w:rPr>
        <w:t>. In the paragraphs below we set out the key perspectives, from the need to repeal the MHA because it is seen as discriminatory against disabled people to the need for changes to the current procedures and processes to accord more autonomy and capacity for people to make decisions about their own care and treatment, including the need for improved levels of supported and advance decision making. These are areas on which we are commissioning further research which we intend to use to inform our future submissions to the Review.</w:t>
      </w:r>
    </w:p>
    <w:p w:rsidR="00A26FA1" w:rsidRDefault="00E16DEB" w:rsidP="00070202">
      <w:pPr>
        <w:pStyle w:val="Heading2"/>
      </w:pPr>
      <w:r w:rsidRPr="004B706C">
        <w:t xml:space="preserve">Is it appropriate to detain people </w:t>
      </w:r>
      <w:r w:rsidR="00D032D8" w:rsidRPr="004B706C">
        <w:t>on the basis of their impairment</w:t>
      </w:r>
      <w:r w:rsidRPr="004B706C">
        <w:t>?</w:t>
      </w:r>
    </w:p>
    <w:p w:rsidR="00070202" w:rsidRPr="00070202" w:rsidRDefault="00070202" w:rsidP="00070202"/>
    <w:p w:rsidR="00A26FA1" w:rsidRPr="004B706C" w:rsidRDefault="00484E8B" w:rsidP="00484E8B">
      <w:pPr>
        <w:pStyle w:val="ListParagraph"/>
        <w:numPr>
          <w:ilvl w:val="0"/>
          <w:numId w:val="1"/>
        </w:numPr>
        <w:spacing w:line="300" w:lineRule="auto"/>
        <w:ind w:left="0" w:hanging="530"/>
        <w:rPr>
          <w:rFonts w:cs="Arial"/>
          <w:b/>
          <w:szCs w:val="28"/>
        </w:rPr>
      </w:pPr>
      <w:r w:rsidRPr="004B706C">
        <w:rPr>
          <w:rFonts w:cs="Arial"/>
          <w:szCs w:val="28"/>
        </w:rPr>
        <w:t>In its Concluding Observations on the UK</w:t>
      </w:r>
      <w:r w:rsidR="00D032D8" w:rsidRPr="004B706C">
        <w:rPr>
          <w:rFonts w:cs="Arial"/>
          <w:szCs w:val="28"/>
        </w:rPr>
        <w:t xml:space="preserve"> in 2017</w:t>
      </w:r>
      <w:r w:rsidRPr="004B706C">
        <w:rPr>
          <w:rFonts w:cs="Arial"/>
          <w:szCs w:val="28"/>
        </w:rPr>
        <w:t xml:space="preserve">, the </w:t>
      </w:r>
      <w:r w:rsidR="0069627A" w:rsidRPr="004B706C">
        <w:rPr>
          <w:rFonts w:cs="Arial"/>
          <w:szCs w:val="28"/>
        </w:rPr>
        <w:t xml:space="preserve">UN </w:t>
      </w:r>
      <w:r w:rsidR="00CF1C4E" w:rsidRPr="004B706C">
        <w:rPr>
          <w:rFonts w:cs="Arial"/>
          <w:szCs w:val="28"/>
        </w:rPr>
        <w:t>CRPD Committee</w:t>
      </w:r>
      <w:r w:rsidRPr="004B706C">
        <w:rPr>
          <w:rFonts w:cs="Arial"/>
          <w:szCs w:val="28"/>
        </w:rPr>
        <w:t xml:space="preserve"> recommended that the UK should ‘</w:t>
      </w:r>
      <w:r w:rsidR="00C36F7F" w:rsidRPr="004B706C">
        <w:rPr>
          <w:rFonts w:cs="Arial"/>
          <w:szCs w:val="28"/>
        </w:rPr>
        <w:t>r</w:t>
      </w:r>
      <w:r w:rsidRPr="004B706C">
        <w:rPr>
          <w:rFonts w:cs="Arial"/>
          <w:szCs w:val="28"/>
        </w:rPr>
        <w:t xml:space="preserve">epeal legislation and practices that authorise non-consensual involuntary, compulsory </w:t>
      </w:r>
      <w:r w:rsidRPr="004B706C">
        <w:rPr>
          <w:rFonts w:cs="Arial"/>
          <w:szCs w:val="28"/>
        </w:rPr>
        <w:lastRenderedPageBreak/>
        <w:t>treatment and detention of persons with disabilities on the basis of actual or perceived impairments.’</w:t>
      </w:r>
      <w:r w:rsidR="00C36F7F" w:rsidRPr="004B706C">
        <w:rPr>
          <w:rStyle w:val="FootnoteReference"/>
          <w:rFonts w:cs="Arial"/>
          <w:szCs w:val="28"/>
        </w:rPr>
        <w:footnoteReference w:id="28"/>
      </w:r>
      <w:r w:rsidR="000D1594" w:rsidRPr="004B706C">
        <w:rPr>
          <w:rFonts w:cs="Arial"/>
          <w:szCs w:val="28"/>
        </w:rPr>
        <w:t xml:space="preserve"> This particularly refers to the </w:t>
      </w:r>
      <w:r w:rsidR="003D538A" w:rsidRPr="004B706C">
        <w:rPr>
          <w:rFonts w:cs="Arial"/>
          <w:szCs w:val="28"/>
        </w:rPr>
        <w:t>MHA</w:t>
      </w:r>
      <w:r w:rsidR="000D1594" w:rsidRPr="004B706C">
        <w:rPr>
          <w:rFonts w:cs="Arial"/>
          <w:szCs w:val="28"/>
        </w:rPr>
        <w:t xml:space="preserve"> and equivalent </w:t>
      </w:r>
      <w:r w:rsidR="003D538A" w:rsidRPr="004B706C">
        <w:rPr>
          <w:rFonts w:cs="Arial"/>
          <w:szCs w:val="28"/>
        </w:rPr>
        <w:t xml:space="preserve">legislative </w:t>
      </w:r>
      <w:r w:rsidR="000D1594" w:rsidRPr="004B706C">
        <w:rPr>
          <w:rFonts w:cs="Arial"/>
          <w:szCs w:val="28"/>
        </w:rPr>
        <w:t xml:space="preserve">provisions in Scotland and Northern Ireland. </w:t>
      </w:r>
      <w:r w:rsidR="001A568C" w:rsidRPr="004B706C">
        <w:rPr>
          <w:rFonts w:cs="Arial"/>
          <w:szCs w:val="28"/>
        </w:rPr>
        <w:t>It also covers the Mental Capacity Act 2005</w:t>
      </w:r>
      <w:r w:rsidR="00D032D8" w:rsidRPr="004B706C">
        <w:rPr>
          <w:rFonts w:cs="Arial"/>
          <w:szCs w:val="28"/>
        </w:rPr>
        <w:t>.</w:t>
      </w:r>
    </w:p>
    <w:p w:rsidR="00A26FA1" w:rsidRPr="004B706C" w:rsidRDefault="00A26FA1" w:rsidP="00A26FA1">
      <w:pPr>
        <w:pStyle w:val="ListParagraph"/>
        <w:rPr>
          <w:rFonts w:cs="Arial"/>
          <w:szCs w:val="28"/>
        </w:rPr>
      </w:pPr>
    </w:p>
    <w:p w:rsidR="00A26FA1" w:rsidRPr="004B706C" w:rsidRDefault="005F212A" w:rsidP="00484E8B">
      <w:pPr>
        <w:pStyle w:val="ListParagraph"/>
        <w:numPr>
          <w:ilvl w:val="0"/>
          <w:numId w:val="1"/>
        </w:numPr>
        <w:spacing w:line="300" w:lineRule="auto"/>
        <w:ind w:left="0" w:hanging="530"/>
        <w:rPr>
          <w:rFonts w:cs="Arial"/>
          <w:b/>
          <w:szCs w:val="28"/>
        </w:rPr>
      </w:pPr>
      <w:r w:rsidRPr="004B706C">
        <w:rPr>
          <w:rFonts w:cs="Arial"/>
          <w:szCs w:val="28"/>
        </w:rPr>
        <w:t>Th</w:t>
      </w:r>
      <w:r w:rsidR="00484E8B" w:rsidRPr="004B706C">
        <w:rPr>
          <w:rFonts w:cs="Arial"/>
          <w:szCs w:val="28"/>
        </w:rPr>
        <w:t xml:space="preserve">ere are tensions – or at least </w:t>
      </w:r>
      <w:r w:rsidR="00484E8B" w:rsidRPr="004B706C">
        <w:rPr>
          <w:rFonts w:cs="Arial"/>
          <w:i/>
          <w:iCs/>
          <w:szCs w:val="28"/>
        </w:rPr>
        <w:t>apparent</w:t>
      </w:r>
      <w:r w:rsidR="00484E8B" w:rsidRPr="004B706C">
        <w:rPr>
          <w:rFonts w:cs="Arial"/>
          <w:szCs w:val="28"/>
        </w:rPr>
        <w:t xml:space="preserve"> tensions – between Article 5 of the E</w:t>
      </w:r>
      <w:r w:rsidR="000D1594" w:rsidRPr="004B706C">
        <w:rPr>
          <w:rFonts w:cs="Arial"/>
          <w:szCs w:val="28"/>
        </w:rPr>
        <w:t xml:space="preserve">uropean </w:t>
      </w:r>
      <w:r w:rsidR="00484E8B" w:rsidRPr="004B706C">
        <w:rPr>
          <w:rFonts w:cs="Arial"/>
          <w:szCs w:val="28"/>
        </w:rPr>
        <w:t>C</w:t>
      </w:r>
      <w:r w:rsidR="00C36F7F" w:rsidRPr="004B706C">
        <w:rPr>
          <w:rFonts w:cs="Arial"/>
          <w:szCs w:val="28"/>
        </w:rPr>
        <w:t>onvention of</w:t>
      </w:r>
      <w:r w:rsidR="000D1594" w:rsidRPr="004B706C">
        <w:rPr>
          <w:rFonts w:cs="Arial"/>
          <w:szCs w:val="28"/>
        </w:rPr>
        <w:t xml:space="preserve"> </w:t>
      </w:r>
      <w:r w:rsidR="00484E8B" w:rsidRPr="004B706C">
        <w:rPr>
          <w:rFonts w:cs="Arial"/>
          <w:szCs w:val="28"/>
        </w:rPr>
        <w:t>H</w:t>
      </w:r>
      <w:r w:rsidR="000D1594" w:rsidRPr="004B706C">
        <w:rPr>
          <w:rFonts w:cs="Arial"/>
          <w:szCs w:val="28"/>
        </w:rPr>
        <w:t xml:space="preserve">uman </w:t>
      </w:r>
      <w:r w:rsidR="00484E8B" w:rsidRPr="004B706C">
        <w:rPr>
          <w:rFonts w:cs="Arial"/>
          <w:szCs w:val="28"/>
        </w:rPr>
        <w:t>R</w:t>
      </w:r>
      <w:r w:rsidR="000D1594" w:rsidRPr="004B706C">
        <w:rPr>
          <w:rFonts w:cs="Arial"/>
          <w:szCs w:val="28"/>
        </w:rPr>
        <w:t>ights (ECHR)</w:t>
      </w:r>
      <w:r w:rsidR="00484E8B" w:rsidRPr="004B706C">
        <w:rPr>
          <w:rFonts w:cs="Arial"/>
          <w:szCs w:val="28"/>
        </w:rPr>
        <w:t>, which permits deprivation of liberty of ‘persons of unsound mind’ in certain circumstances, and Article 14 of the UN CRPD, which states that ‘the existence of a disability shall in no case jus</w:t>
      </w:r>
      <w:r w:rsidR="000D1594" w:rsidRPr="004B706C">
        <w:rPr>
          <w:rFonts w:cs="Arial"/>
          <w:szCs w:val="28"/>
        </w:rPr>
        <w:t>tify a deprivation of liberty’.</w:t>
      </w:r>
      <w:r w:rsidR="00D032D8" w:rsidRPr="004B706C">
        <w:rPr>
          <w:rStyle w:val="FootnoteReference"/>
          <w:rFonts w:cs="Arial"/>
          <w:szCs w:val="28"/>
        </w:rPr>
        <w:t xml:space="preserve"> </w:t>
      </w:r>
      <w:r w:rsidR="00D032D8" w:rsidRPr="004B706C">
        <w:rPr>
          <w:rStyle w:val="FootnoteReference"/>
          <w:rFonts w:cs="Arial"/>
          <w:szCs w:val="28"/>
        </w:rPr>
        <w:footnoteReference w:id="29"/>
      </w:r>
      <w:r w:rsidR="00484E8B" w:rsidRPr="004B706C">
        <w:rPr>
          <w:rFonts w:cs="Arial"/>
          <w:szCs w:val="28"/>
        </w:rPr>
        <w:t xml:space="preserve"> </w:t>
      </w:r>
    </w:p>
    <w:p w:rsidR="00A26FA1" w:rsidRPr="004B706C" w:rsidRDefault="00A26FA1" w:rsidP="00A26FA1">
      <w:pPr>
        <w:pStyle w:val="ListParagraph"/>
        <w:rPr>
          <w:rFonts w:cs="Arial"/>
          <w:szCs w:val="28"/>
        </w:rPr>
      </w:pPr>
    </w:p>
    <w:p w:rsidR="00D032D8" w:rsidRPr="004B706C" w:rsidRDefault="00A26FA1" w:rsidP="00D032D8">
      <w:pPr>
        <w:pStyle w:val="ListParagraph"/>
        <w:numPr>
          <w:ilvl w:val="0"/>
          <w:numId w:val="1"/>
        </w:numPr>
        <w:spacing w:line="300" w:lineRule="auto"/>
        <w:ind w:left="0" w:hanging="530"/>
        <w:rPr>
          <w:rFonts w:cs="Arial"/>
          <w:b/>
          <w:szCs w:val="28"/>
        </w:rPr>
      </w:pPr>
      <w:r w:rsidRPr="004B706C">
        <w:rPr>
          <w:rFonts w:cs="Arial"/>
          <w:szCs w:val="28"/>
        </w:rPr>
        <w:t>A</w:t>
      </w:r>
      <w:r w:rsidR="00D032D8" w:rsidRPr="004B706C">
        <w:rPr>
          <w:rFonts w:cs="Arial"/>
          <w:szCs w:val="28"/>
        </w:rPr>
        <w:t xml:space="preserve">rticle 5 of the ECHR, and the European Court of Human Rights (ECtHR) jurisprudence, permits (though it does not require) disability-specific deprivation of liberty, and does not regard these as </w:t>
      </w:r>
      <w:r w:rsidR="00D032D8" w:rsidRPr="004B706C">
        <w:rPr>
          <w:rFonts w:cs="Arial"/>
          <w:i/>
          <w:iCs/>
          <w:szCs w:val="28"/>
        </w:rPr>
        <w:t>de facto</w:t>
      </w:r>
      <w:r w:rsidR="00D032D8" w:rsidRPr="004B706C">
        <w:rPr>
          <w:rFonts w:cs="Arial"/>
          <w:szCs w:val="28"/>
        </w:rPr>
        <w:t xml:space="preserve"> human rights violations. In contrast, the </w:t>
      </w:r>
      <w:r w:rsidR="007865DF">
        <w:rPr>
          <w:rFonts w:cs="Arial"/>
          <w:szCs w:val="28"/>
        </w:rPr>
        <w:t xml:space="preserve">UN </w:t>
      </w:r>
      <w:r w:rsidR="00D032D8" w:rsidRPr="004B706C">
        <w:rPr>
          <w:rFonts w:cs="Arial"/>
          <w:szCs w:val="28"/>
        </w:rPr>
        <w:t xml:space="preserve">CRPD Committee has interpreted Article 14 of the </w:t>
      </w:r>
      <w:r w:rsidR="007865DF">
        <w:rPr>
          <w:rFonts w:cs="Arial"/>
          <w:szCs w:val="28"/>
        </w:rPr>
        <w:t xml:space="preserve">UN </w:t>
      </w:r>
      <w:r w:rsidR="00D032D8" w:rsidRPr="004B706C">
        <w:rPr>
          <w:rFonts w:cs="Arial"/>
          <w:szCs w:val="28"/>
        </w:rPr>
        <w:t>CRPD on Liberty and Security of the Person, to prohibit all deprivations of liberty where the existence of disability is a factor justifying the detention – i.e. even when disability is only one ground for the deprivation of liberty.</w:t>
      </w:r>
      <w:r w:rsidR="00D032D8" w:rsidRPr="004B706C">
        <w:rPr>
          <w:rStyle w:val="FootnoteReference"/>
          <w:rFonts w:cs="Arial"/>
          <w:szCs w:val="28"/>
        </w:rPr>
        <w:footnoteReference w:id="30"/>
      </w:r>
      <w:r w:rsidR="00D032D8" w:rsidRPr="004B706C">
        <w:rPr>
          <w:rFonts w:cs="Arial"/>
          <w:szCs w:val="28"/>
        </w:rPr>
        <w:t xml:space="preserve"> </w:t>
      </w:r>
    </w:p>
    <w:p w:rsidR="00D032D8" w:rsidRPr="004B706C" w:rsidRDefault="00D032D8" w:rsidP="00A26FA1">
      <w:pPr>
        <w:pStyle w:val="ListParagraph"/>
        <w:rPr>
          <w:rFonts w:cs="Arial"/>
          <w:szCs w:val="28"/>
        </w:rPr>
      </w:pPr>
    </w:p>
    <w:p w:rsidR="00A26FA1" w:rsidRPr="004B706C" w:rsidRDefault="00116DFF" w:rsidP="005275A7">
      <w:pPr>
        <w:pStyle w:val="ListParagraph"/>
        <w:numPr>
          <w:ilvl w:val="0"/>
          <w:numId w:val="1"/>
        </w:numPr>
        <w:spacing w:line="300" w:lineRule="auto"/>
        <w:ind w:left="0" w:hanging="530"/>
        <w:rPr>
          <w:rFonts w:cs="Arial"/>
          <w:b/>
          <w:szCs w:val="28"/>
        </w:rPr>
      </w:pPr>
      <w:r w:rsidRPr="004B706C">
        <w:rPr>
          <w:rFonts w:cs="Arial"/>
          <w:szCs w:val="28"/>
        </w:rPr>
        <w:t xml:space="preserve">One argument put forward </w:t>
      </w:r>
      <w:r w:rsidR="007865DF">
        <w:rPr>
          <w:rFonts w:cs="Arial"/>
          <w:szCs w:val="28"/>
        </w:rPr>
        <w:t xml:space="preserve">on </w:t>
      </w:r>
      <w:r w:rsidR="00CF1C4E" w:rsidRPr="004B706C">
        <w:rPr>
          <w:rFonts w:cs="Arial"/>
          <w:szCs w:val="28"/>
        </w:rPr>
        <w:t xml:space="preserve">deprivation of liberty is that it can be necessary to protect the detained person’s safety, or to protect members of the public. </w:t>
      </w:r>
      <w:r w:rsidR="00484E8B" w:rsidRPr="004B706C">
        <w:rPr>
          <w:rFonts w:cs="Arial"/>
          <w:szCs w:val="28"/>
        </w:rPr>
        <w:t>This aspect of the debate therefore engages questions relating to Article 2 of the ECHR on the right to life and the positive obligation of the state in relation to these rights. Key points raised by scholars and practitione</w:t>
      </w:r>
      <w:r w:rsidR="0025024A" w:rsidRPr="004B706C">
        <w:rPr>
          <w:rFonts w:cs="Arial"/>
          <w:szCs w:val="28"/>
        </w:rPr>
        <w:t xml:space="preserve">rs in relation to this include a </w:t>
      </w:r>
      <w:r w:rsidR="00484E8B" w:rsidRPr="004B706C">
        <w:rPr>
          <w:rFonts w:cs="Arial"/>
          <w:szCs w:val="28"/>
        </w:rPr>
        <w:t>large body of evidence to show that for people who are self-harming or at risk of self-harm or suicide, care and support can be provided in non-coercive ways, and often these ways are more effective</w:t>
      </w:r>
      <w:r w:rsidR="004C4C70" w:rsidRPr="004B706C">
        <w:rPr>
          <w:rFonts w:cs="Arial"/>
          <w:szCs w:val="28"/>
        </w:rPr>
        <w:t xml:space="preserve"> than more restrictive inpatient </w:t>
      </w:r>
      <w:r w:rsidR="004C4C70" w:rsidRPr="004B706C">
        <w:rPr>
          <w:rFonts w:cs="Arial"/>
          <w:szCs w:val="28"/>
        </w:rPr>
        <w:lastRenderedPageBreak/>
        <w:t>care</w:t>
      </w:r>
      <w:r w:rsidR="00484E8B" w:rsidRPr="004B706C">
        <w:rPr>
          <w:rFonts w:cs="Arial"/>
          <w:szCs w:val="28"/>
        </w:rPr>
        <w:t>. E.g. trauma-based approaches, trauma-informed care, peer support models.</w:t>
      </w:r>
      <w:r w:rsidR="0069627A" w:rsidRPr="004B706C">
        <w:rPr>
          <w:rStyle w:val="FootnoteReference"/>
          <w:rFonts w:cs="Arial"/>
          <w:szCs w:val="28"/>
        </w:rPr>
        <w:footnoteReference w:id="31"/>
      </w:r>
    </w:p>
    <w:p w:rsidR="005275A7" w:rsidRPr="004B706C" w:rsidRDefault="005275A7" w:rsidP="005275A7">
      <w:pPr>
        <w:pStyle w:val="ListParagraph"/>
        <w:rPr>
          <w:rFonts w:cs="Arial"/>
          <w:b/>
          <w:szCs w:val="28"/>
        </w:rPr>
      </w:pPr>
    </w:p>
    <w:p w:rsidR="005275A7" w:rsidRPr="004B706C" w:rsidRDefault="005275A7" w:rsidP="005275A7">
      <w:pPr>
        <w:pStyle w:val="ListParagraph"/>
        <w:numPr>
          <w:ilvl w:val="0"/>
          <w:numId w:val="1"/>
        </w:numPr>
        <w:spacing w:line="300" w:lineRule="auto"/>
        <w:ind w:left="0" w:hanging="530"/>
        <w:rPr>
          <w:rFonts w:cs="Arial"/>
          <w:b/>
          <w:szCs w:val="28"/>
        </w:rPr>
      </w:pPr>
      <w:r w:rsidRPr="004B706C">
        <w:rPr>
          <w:rFonts w:cs="Arial"/>
          <w:szCs w:val="28"/>
        </w:rPr>
        <w:t>Some scholars argue that a disability-neutral assessment of decision-making capability</w:t>
      </w:r>
      <w:r w:rsidR="00116DFF" w:rsidRPr="004B706C">
        <w:rPr>
          <w:rFonts w:cs="Arial"/>
          <w:szCs w:val="28"/>
        </w:rPr>
        <w:t>, i.e. that it is not specifically about mental health but the mental capacity of an individual,</w:t>
      </w:r>
      <w:r w:rsidRPr="004B706C">
        <w:rPr>
          <w:rFonts w:cs="Arial"/>
          <w:szCs w:val="28"/>
        </w:rPr>
        <w:t xml:space="preserve"> can provide the basis for involuntary detention or treatment.</w:t>
      </w:r>
      <w:r w:rsidRPr="004B706C">
        <w:rPr>
          <w:rStyle w:val="FootnoteReference"/>
          <w:rFonts w:cs="Arial"/>
          <w:szCs w:val="28"/>
        </w:rPr>
        <w:footnoteReference w:id="32"/>
      </w:r>
      <w:r w:rsidRPr="004B706C">
        <w:rPr>
          <w:rFonts w:cs="Arial"/>
          <w:szCs w:val="28"/>
        </w:rPr>
        <w:t xml:space="preserve"> Others argue that ‘deprivation of liberty on the basis of a determination of either ‘unsound mind’ or lack of mental capacity is highly subjective and value-laden, and therefore fall foul (… ) of the requirements of both the ECHR and international human rights law that deprivations of liberty must not be arbitrary’.</w:t>
      </w:r>
      <w:r w:rsidRPr="004B706C">
        <w:rPr>
          <w:rStyle w:val="FootnoteReference"/>
          <w:rFonts w:cs="Arial"/>
          <w:szCs w:val="28"/>
        </w:rPr>
        <w:footnoteReference w:id="33"/>
      </w:r>
      <w:r w:rsidRPr="004B706C">
        <w:rPr>
          <w:rFonts w:cs="Arial"/>
          <w:szCs w:val="28"/>
        </w:rPr>
        <w:t xml:space="preserve"> </w:t>
      </w:r>
    </w:p>
    <w:p w:rsidR="00D5072E" w:rsidRPr="004B706C" w:rsidRDefault="00D5072E" w:rsidP="00D5072E">
      <w:pPr>
        <w:pStyle w:val="ListParagraph"/>
        <w:spacing w:line="300" w:lineRule="auto"/>
        <w:ind w:left="0"/>
        <w:rPr>
          <w:rFonts w:cs="Arial"/>
          <w:b/>
          <w:szCs w:val="28"/>
        </w:rPr>
      </w:pPr>
    </w:p>
    <w:p w:rsidR="00D5072E" w:rsidRDefault="00D5072E" w:rsidP="00070202">
      <w:pPr>
        <w:pStyle w:val="Heading2"/>
      </w:pPr>
      <w:r w:rsidRPr="004B706C">
        <w:t>Placing greater weight on the capacity of the individual to determine their own treatment</w:t>
      </w:r>
    </w:p>
    <w:p w:rsidR="00070202" w:rsidRPr="00070202" w:rsidRDefault="00070202" w:rsidP="00070202"/>
    <w:p w:rsidR="00E11E58" w:rsidRPr="00070202" w:rsidRDefault="00D5072E" w:rsidP="00E11E58">
      <w:pPr>
        <w:pStyle w:val="ListParagraph"/>
        <w:numPr>
          <w:ilvl w:val="0"/>
          <w:numId w:val="1"/>
        </w:numPr>
        <w:spacing w:line="300" w:lineRule="auto"/>
        <w:ind w:left="0" w:hanging="530"/>
        <w:rPr>
          <w:rFonts w:cs="Arial"/>
          <w:szCs w:val="28"/>
        </w:rPr>
      </w:pPr>
      <w:r w:rsidRPr="004B706C">
        <w:rPr>
          <w:rFonts w:cs="Arial"/>
          <w:szCs w:val="28"/>
        </w:rPr>
        <w:t xml:space="preserve">In the event that the MHA is not substantially reformed. </w:t>
      </w:r>
      <w:r w:rsidR="00E11E58" w:rsidRPr="004B706C">
        <w:rPr>
          <w:rFonts w:cs="Arial"/>
          <w:szCs w:val="28"/>
        </w:rPr>
        <w:t xml:space="preserve">It will still be important to examine how different measures within the Act are working in practice and whether there are less restrictive measures that could be taken.  For example, whether steps might be taken under </w:t>
      </w:r>
      <w:r w:rsidRPr="004B706C">
        <w:rPr>
          <w:rFonts w:cs="Arial"/>
          <w:szCs w:val="28"/>
        </w:rPr>
        <w:t>Part 4 of the</w:t>
      </w:r>
      <w:r w:rsidR="00E11E58" w:rsidRPr="004B706C">
        <w:rPr>
          <w:rFonts w:cs="Arial"/>
          <w:szCs w:val="28"/>
        </w:rPr>
        <w:t xml:space="preserve"> MHA to introduce further</w:t>
      </w:r>
      <w:r w:rsidRPr="004B706C">
        <w:rPr>
          <w:rFonts w:cs="Arial"/>
          <w:szCs w:val="28"/>
        </w:rPr>
        <w:t xml:space="preserve"> safeguards </w:t>
      </w:r>
      <w:r w:rsidR="00E11E58" w:rsidRPr="004B706C">
        <w:rPr>
          <w:rFonts w:cs="Arial"/>
          <w:szCs w:val="28"/>
        </w:rPr>
        <w:t xml:space="preserve">(as apply in other sections of the Act) </w:t>
      </w:r>
      <w:r w:rsidRPr="004B706C">
        <w:rPr>
          <w:rFonts w:cs="Arial"/>
          <w:szCs w:val="28"/>
        </w:rPr>
        <w:t xml:space="preserve">for people who do </w:t>
      </w:r>
      <w:r w:rsidR="00CC16BD" w:rsidRPr="004B706C">
        <w:rPr>
          <w:rFonts w:cs="Arial"/>
          <w:szCs w:val="28"/>
        </w:rPr>
        <w:t>not consent to their treatment in the first th</w:t>
      </w:r>
      <w:r w:rsidR="00070202">
        <w:rPr>
          <w:rFonts w:cs="Arial"/>
          <w:szCs w:val="28"/>
        </w:rPr>
        <w:t>ree months of their detention.</w:t>
      </w:r>
    </w:p>
    <w:p w:rsidR="007423E3" w:rsidRPr="004B706C" w:rsidRDefault="007423E3" w:rsidP="00C15387">
      <w:pPr>
        <w:pStyle w:val="ListParagraph"/>
        <w:numPr>
          <w:ilvl w:val="0"/>
          <w:numId w:val="1"/>
        </w:numPr>
        <w:spacing w:line="300" w:lineRule="auto"/>
        <w:ind w:left="0" w:hanging="530"/>
        <w:rPr>
          <w:rFonts w:cs="Arial"/>
          <w:b/>
          <w:szCs w:val="28"/>
        </w:rPr>
      </w:pPr>
      <w:r w:rsidRPr="004B706C">
        <w:rPr>
          <w:rFonts w:cs="Arial"/>
          <w:szCs w:val="28"/>
        </w:rPr>
        <w:t xml:space="preserve">We are concerned to hear that some patients who may be assessed to lack capacity are not able to challenge their detention either via a </w:t>
      </w:r>
      <w:r w:rsidRPr="004B706C">
        <w:rPr>
          <w:rFonts w:cs="Arial"/>
          <w:szCs w:val="28"/>
        </w:rPr>
        <w:lastRenderedPageBreak/>
        <w:t>tribunal or managers’</w:t>
      </w:r>
      <w:r w:rsidR="002B66B6" w:rsidRPr="004B706C">
        <w:rPr>
          <w:rFonts w:cs="Arial"/>
          <w:szCs w:val="28"/>
        </w:rPr>
        <w:t xml:space="preserve"> hearing.</w:t>
      </w:r>
      <w:r w:rsidR="002B66B6" w:rsidRPr="004B706C">
        <w:rPr>
          <w:rStyle w:val="FootnoteReference"/>
          <w:rFonts w:cs="Arial"/>
          <w:szCs w:val="28"/>
        </w:rPr>
        <w:footnoteReference w:id="34"/>
      </w:r>
      <w:r w:rsidRPr="004B706C">
        <w:rPr>
          <w:rFonts w:cs="Arial"/>
          <w:szCs w:val="28"/>
        </w:rPr>
        <w:t xml:space="preserve">  Where ever possible decisions should be made by the patient.  In the event this is not possible they should be supported to do this</w:t>
      </w:r>
      <w:r w:rsidR="007A6C6E">
        <w:rPr>
          <w:rFonts w:cs="Arial"/>
          <w:szCs w:val="28"/>
        </w:rPr>
        <w:t xml:space="preserve"> as required under S.130 of the MHA</w:t>
      </w:r>
      <w:r w:rsidRPr="004B706C">
        <w:rPr>
          <w:rFonts w:cs="Arial"/>
          <w:szCs w:val="28"/>
        </w:rPr>
        <w:t>.</w:t>
      </w:r>
      <w:r w:rsidR="00D45D90" w:rsidRPr="004B706C">
        <w:rPr>
          <w:rFonts w:cs="Arial"/>
          <w:szCs w:val="28"/>
        </w:rPr>
        <w:t xml:space="preserve"> W</w:t>
      </w:r>
      <w:r w:rsidR="00E11E58" w:rsidRPr="004B706C">
        <w:rPr>
          <w:rFonts w:cs="Arial"/>
          <w:szCs w:val="28"/>
        </w:rPr>
        <w:t>e have spoken with a number of stakeholders who have expressed concern about the inconsisten</w:t>
      </w:r>
      <w:r w:rsidR="007A6C6E">
        <w:rPr>
          <w:rFonts w:cs="Arial"/>
          <w:szCs w:val="28"/>
        </w:rPr>
        <w:t>t use of and varied quality of independent mental health a</w:t>
      </w:r>
      <w:r w:rsidR="00E11E58" w:rsidRPr="004B706C">
        <w:rPr>
          <w:rFonts w:cs="Arial"/>
          <w:szCs w:val="28"/>
        </w:rPr>
        <w:t>dvocates</w:t>
      </w:r>
      <w:r w:rsidR="00E11E58" w:rsidRPr="004B706C">
        <w:rPr>
          <w:rFonts w:cs="Arial"/>
          <w:b/>
          <w:szCs w:val="28"/>
        </w:rPr>
        <w:t xml:space="preserve">. </w:t>
      </w:r>
      <w:r w:rsidR="007A6C6E">
        <w:rPr>
          <w:rFonts w:cs="Arial"/>
          <w:szCs w:val="28"/>
        </w:rPr>
        <w:t xml:space="preserve">The availability and quality of independent advocates should be considered by the Review. </w:t>
      </w:r>
    </w:p>
    <w:p w:rsidR="00A26FA1" w:rsidRDefault="00E16DEB" w:rsidP="00070202">
      <w:pPr>
        <w:pStyle w:val="Heading2"/>
      </w:pPr>
      <w:r w:rsidRPr="004B706C">
        <w:t>Does the MHA restrict supported decision-making?</w:t>
      </w:r>
    </w:p>
    <w:p w:rsidR="00070202" w:rsidRPr="00070202" w:rsidRDefault="00070202" w:rsidP="00070202"/>
    <w:p w:rsidR="00A26FA1" w:rsidRPr="004B706C" w:rsidRDefault="008F79B6" w:rsidP="00C15387">
      <w:pPr>
        <w:pStyle w:val="ListParagraph"/>
        <w:numPr>
          <w:ilvl w:val="0"/>
          <w:numId w:val="1"/>
        </w:numPr>
        <w:spacing w:line="300" w:lineRule="auto"/>
        <w:ind w:left="0" w:hanging="530"/>
        <w:rPr>
          <w:rFonts w:cs="Arial"/>
          <w:b/>
          <w:szCs w:val="28"/>
        </w:rPr>
      </w:pPr>
      <w:r w:rsidRPr="004B706C">
        <w:rPr>
          <w:rFonts w:cs="Arial"/>
          <w:szCs w:val="28"/>
        </w:rPr>
        <w:t>A</w:t>
      </w:r>
      <w:r w:rsidR="006576A1" w:rsidRPr="004B706C">
        <w:rPr>
          <w:rFonts w:cs="Arial"/>
          <w:szCs w:val="28"/>
        </w:rPr>
        <w:t>s we set out below, a</w:t>
      </w:r>
      <w:r w:rsidRPr="004B706C">
        <w:rPr>
          <w:rFonts w:cs="Arial"/>
          <w:szCs w:val="28"/>
        </w:rPr>
        <w:t xml:space="preserve"> modern mental health system should place far greater emphasis on the ability of </w:t>
      </w:r>
      <w:r w:rsidR="007A6C6E">
        <w:rPr>
          <w:rFonts w:cs="Arial"/>
          <w:szCs w:val="28"/>
        </w:rPr>
        <w:t xml:space="preserve">each </w:t>
      </w:r>
      <w:r w:rsidRPr="004B706C">
        <w:rPr>
          <w:rFonts w:cs="Arial"/>
          <w:szCs w:val="28"/>
        </w:rPr>
        <w:t>individual to make decisions about their own care and treatment.</w:t>
      </w:r>
      <w:r w:rsidR="007A6C6E">
        <w:rPr>
          <w:rFonts w:cs="Arial"/>
          <w:szCs w:val="28"/>
        </w:rPr>
        <w:t xml:space="preserve"> This is an overarching principle within the revised Code of Practice. However, it</w:t>
      </w:r>
      <w:r w:rsidRPr="004B706C">
        <w:rPr>
          <w:rFonts w:cs="Arial"/>
          <w:szCs w:val="28"/>
        </w:rPr>
        <w:t xml:space="preserve"> does not appear to </w:t>
      </w:r>
      <w:r w:rsidR="00637064" w:rsidRPr="004B706C">
        <w:rPr>
          <w:rFonts w:cs="Arial"/>
          <w:szCs w:val="28"/>
        </w:rPr>
        <w:t xml:space="preserve">be </w:t>
      </w:r>
      <w:r w:rsidRPr="004B706C">
        <w:rPr>
          <w:rFonts w:cs="Arial"/>
          <w:szCs w:val="28"/>
        </w:rPr>
        <w:t>happening uniformly</w:t>
      </w:r>
      <w:r w:rsidR="007A6C6E">
        <w:rPr>
          <w:rFonts w:cs="Arial"/>
          <w:szCs w:val="28"/>
        </w:rPr>
        <w:t xml:space="preserve"> under</w:t>
      </w:r>
      <w:r w:rsidR="00ED2C51" w:rsidRPr="004B706C">
        <w:rPr>
          <w:rFonts w:cs="Arial"/>
          <w:szCs w:val="28"/>
        </w:rPr>
        <w:t xml:space="preserve"> the MHA, with many patients not being involved in their treatment plans</w:t>
      </w:r>
      <w:r w:rsidRPr="004B706C">
        <w:rPr>
          <w:rFonts w:cs="Arial"/>
          <w:szCs w:val="28"/>
        </w:rPr>
        <w:t>.</w:t>
      </w:r>
      <w:r w:rsidRPr="004B706C">
        <w:rPr>
          <w:rStyle w:val="FootnoteReference"/>
          <w:rFonts w:cs="Arial"/>
          <w:szCs w:val="28"/>
        </w:rPr>
        <w:footnoteReference w:id="35"/>
      </w:r>
      <w:r w:rsidRPr="004B706C">
        <w:rPr>
          <w:rFonts w:cs="Arial"/>
          <w:szCs w:val="28"/>
        </w:rPr>
        <w:t xml:space="preserve"> </w:t>
      </w:r>
    </w:p>
    <w:p w:rsidR="004A726D" w:rsidRPr="004B706C" w:rsidRDefault="004A726D" w:rsidP="004A726D">
      <w:pPr>
        <w:pStyle w:val="ListParagraph"/>
        <w:spacing w:line="300" w:lineRule="auto"/>
        <w:ind w:left="0"/>
        <w:rPr>
          <w:rFonts w:cs="Arial"/>
          <w:b/>
          <w:szCs w:val="28"/>
        </w:rPr>
      </w:pPr>
    </w:p>
    <w:p w:rsidR="004A726D" w:rsidRPr="004B706C" w:rsidRDefault="004A726D" w:rsidP="004A726D">
      <w:pPr>
        <w:pStyle w:val="ListParagraph"/>
        <w:numPr>
          <w:ilvl w:val="0"/>
          <w:numId w:val="1"/>
        </w:numPr>
        <w:spacing w:line="300" w:lineRule="auto"/>
        <w:ind w:left="0" w:hanging="530"/>
        <w:rPr>
          <w:rFonts w:cs="Arial"/>
          <w:b/>
          <w:szCs w:val="28"/>
        </w:rPr>
      </w:pPr>
      <w:r w:rsidRPr="004B706C">
        <w:rPr>
          <w:rFonts w:cs="Arial"/>
          <w:szCs w:val="28"/>
        </w:rPr>
        <w:t>In its 2017 submission to the UN Committee on the Rights of Persons with Disabilities, UKIM expressed its concern that legislation across the UK continues to provide for substituted decision-making, including through the Mental Health Act 1983 as amended, and the Mental Capacity Act 2005.</w:t>
      </w:r>
      <w:r w:rsidRPr="004B706C">
        <w:rPr>
          <w:rStyle w:val="FootnoteReference"/>
          <w:rFonts w:cs="Arial"/>
          <w:szCs w:val="28"/>
        </w:rPr>
        <w:footnoteReference w:id="36"/>
      </w:r>
      <w:r w:rsidRPr="004B706C">
        <w:rPr>
          <w:rFonts w:cs="Arial"/>
          <w:szCs w:val="28"/>
        </w:rPr>
        <w:t xml:space="preserve"> UKIM recommended in its report that ‘the UK Government should increase the scope of supported decision-making in England and Wales, and put in place safeguards to enable the removal of a supporter if they are not acting in accordance with a disabled person’s will and preferences…’</w:t>
      </w:r>
      <w:r w:rsidRPr="004B706C">
        <w:rPr>
          <w:rStyle w:val="FootnoteReference"/>
          <w:rFonts w:cs="Arial"/>
          <w:szCs w:val="28"/>
        </w:rPr>
        <w:footnoteReference w:id="37"/>
      </w:r>
      <w:r w:rsidRPr="004B706C">
        <w:rPr>
          <w:rFonts w:cs="Arial"/>
          <w:szCs w:val="28"/>
        </w:rPr>
        <w:t xml:space="preserve"> The CRPD Committee expressed its concern over ‘the prevalence of substituted decision-making in legislation and in practice, and the lack of full recognition of the right to individualised supported decision-making that fully respects the </w:t>
      </w:r>
      <w:r w:rsidRPr="004B706C">
        <w:rPr>
          <w:rFonts w:cs="Arial"/>
          <w:szCs w:val="28"/>
        </w:rPr>
        <w:lastRenderedPageBreak/>
        <w:t>autonomy, will and preferences of persons with disabilities’.</w:t>
      </w:r>
      <w:r w:rsidRPr="004B706C">
        <w:rPr>
          <w:rStyle w:val="FootnoteReference"/>
          <w:rFonts w:cs="Arial"/>
          <w:szCs w:val="28"/>
        </w:rPr>
        <w:footnoteReference w:id="38"/>
      </w:r>
      <w:r w:rsidRPr="004B706C">
        <w:rPr>
          <w:rFonts w:cs="Arial"/>
          <w:szCs w:val="28"/>
        </w:rPr>
        <w:t xml:space="preserve"> The Committee recommended the abolition of substituted decision-making and improved practice around supported decision making, including through fostering research and good practice. This is equally relevant to both mental capacity and mental health laws.</w:t>
      </w:r>
      <w:r w:rsidRPr="004B706C">
        <w:rPr>
          <w:rStyle w:val="FootnoteReference"/>
          <w:rFonts w:cs="Arial"/>
          <w:szCs w:val="28"/>
        </w:rPr>
        <w:footnoteReference w:id="39"/>
      </w:r>
    </w:p>
    <w:p w:rsidR="004A726D" w:rsidRPr="004B706C" w:rsidRDefault="004A726D" w:rsidP="004A726D">
      <w:pPr>
        <w:rPr>
          <w:rFonts w:cs="Arial"/>
          <w:szCs w:val="28"/>
        </w:rPr>
      </w:pPr>
    </w:p>
    <w:p w:rsidR="00A26FA1" w:rsidRPr="004B706C" w:rsidRDefault="00CB196D" w:rsidP="00A26FA1">
      <w:pPr>
        <w:pStyle w:val="ListParagraph"/>
        <w:numPr>
          <w:ilvl w:val="0"/>
          <w:numId w:val="1"/>
        </w:numPr>
        <w:spacing w:line="300" w:lineRule="auto"/>
        <w:ind w:left="0" w:hanging="530"/>
        <w:rPr>
          <w:rStyle w:val="CommentReference"/>
          <w:rFonts w:cs="Arial"/>
          <w:sz w:val="28"/>
          <w:szCs w:val="28"/>
        </w:rPr>
      </w:pPr>
      <w:r w:rsidRPr="004B706C">
        <w:rPr>
          <w:rFonts w:cs="Arial"/>
          <w:szCs w:val="28"/>
        </w:rPr>
        <w:t>There is extensive literature on what good supported decision making looks like in practice.</w:t>
      </w:r>
      <w:r w:rsidRPr="004B706C">
        <w:rPr>
          <w:rStyle w:val="FootnoteReference"/>
          <w:rFonts w:cs="Arial"/>
          <w:szCs w:val="28"/>
        </w:rPr>
        <w:footnoteReference w:id="40"/>
      </w:r>
      <w:r w:rsidRPr="004B706C">
        <w:rPr>
          <w:rFonts w:cs="Arial"/>
          <w:szCs w:val="28"/>
        </w:rPr>
        <w:t xml:space="preserve"> More consideration also needs to be given</w:t>
      </w:r>
      <w:r w:rsidR="003B1941" w:rsidRPr="004B706C">
        <w:rPr>
          <w:rFonts w:cs="Arial"/>
          <w:szCs w:val="28"/>
        </w:rPr>
        <w:t xml:space="preserve"> advance decision making</w:t>
      </w:r>
      <w:r w:rsidRPr="004B706C">
        <w:rPr>
          <w:rFonts w:cs="Arial"/>
          <w:szCs w:val="28"/>
        </w:rPr>
        <w:t xml:space="preserve"> to enable patients to determine future treatment preferences</w:t>
      </w:r>
      <w:r w:rsidR="00EF6C66" w:rsidRPr="004B706C">
        <w:rPr>
          <w:rFonts w:cs="Arial"/>
          <w:szCs w:val="28"/>
        </w:rPr>
        <w:t xml:space="preserve"> when they are well</w:t>
      </w:r>
      <w:r w:rsidR="003B1941" w:rsidRPr="004B706C">
        <w:rPr>
          <w:rFonts w:cs="Arial"/>
          <w:szCs w:val="28"/>
        </w:rPr>
        <w:t>,</w:t>
      </w:r>
      <w:r w:rsidR="00EF6C66" w:rsidRPr="004B706C">
        <w:rPr>
          <w:rFonts w:cs="Arial"/>
          <w:szCs w:val="28"/>
        </w:rPr>
        <w:t xml:space="preserve"> as applies in physical healthcare settings.</w:t>
      </w:r>
      <w:r w:rsidR="00ED2C51" w:rsidRPr="004B706C">
        <w:rPr>
          <w:rStyle w:val="FootnoteReference"/>
          <w:rFonts w:cs="Arial"/>
          <w:szCs w:val="28"/>
        </w:rPr>
        <w:footnoteReference w:id="41"/>
      </w:r>
      <w:r w:rsidR="00EF6C66" w:rsidRPr="004B706C">
        <w:rPr>
          <w:rFonts w:cs="Arial"/>
          <w:szCs w:val="28"/>
        </w:rPr>
        <w:t xml:space="preserve"> </w:t>
      </w:r>
      <w:r w:rsidRPr="004B706C">
        <w:rPr>
          <w:rFonts w:cs="Arial"/>
          <w:szCs w:val="28"/>
        </w:rPr>
        <w:t xml:space="preserve"> </w:t>
      </w:r>
    </w:p>
    <w:p w:rsidR="00A26FA1" w:rsidRDefault="00007C97" w:rsidP="00070202">
      <w:pPr>
        <w:pStyle w:val="Heading2"/>
      </w:pPr>
      <w:r w:rsidRPr="004B706C">
        <w:t xml:space="preserve">The </w:t>
      </w:r>
      <w:r w:rsidR="00E16DEB" w:rsidRPr="004B706C">
        <w:t>location of mental health services</w:t>
      </w:r>
    </w:p>
    <w:p w:rsidR="00070202" w:rsidRPr="00070202" w:rsidRDefault="00070202" w:rsidP="00070202"/>
    <w:p w:rsidR="00933FF6" w:rsidRPr="007A6C6E" w:rsidRDefault="00A26FA1" w:rsidP="007910F9">
      <w:pPr>
        <w:pStyle w:val="ListParagraph"/>
        <w:numPr>
          <w:ilvl w:val="0"/>
          <w:numId w:val="1"/>
        </w:numPr>
        <w:spacing w:line="300" w:lineRule="auto"/>
        <w:ind w:left="0" w:hanging="530"/>
        <w:rPr>
          <w:rFonts w:cs="Arial"/>
          <w:b/>
          <w:i/>
          <w:szCs w:val="28"/>
        </w:rPr>
      </w:pPr>
      <w:r w:rsidRPr="007A6C6E">
        <w:rPr>
          <w:rFonts w:cs="Arial"/>
          <w:szCs w:val="28"/>
        </w:rPr>
        <w:t>T</w:t>
      </w:r>
      <w:r w:rsidR="003B1941" w:rsidRPr="007A6C6E">
        <w:rPr>
          <w:rFonts w:cs="Arial"/>
          <w:szCs w:val="28"/>
        </w:rPr>
        <w:t>he location and</w:t>
      </w:r>
      <w:r w:rsidR="00C06371" w:rsidRPr="007A6C6E">
        <w:rPr>
          <w:rFonts w:cs="Arial"/>
          <w:szCs w:val="28"/>
        </w:rPr>
        <w:t xml:space="preserve"> environment in which</w:t>
      </w:r>
      <w:r w:rsidR="003B1941" w:rsidRPr="007A6C6E">
        <w:rPr>
          <w:rFonts w:cs="Arial"/>
          <w:szCs w:val="28"/>
        </w:rPr>
        <w:t xml:space="preserve"> care is </w:t>
      </w:r>
      <w:r w:rsidR="00C06371" w:rsidRPr="007A6C6E">
        <w:rPr>
          <w:rFonts w:cs="Arial"/>
          <w:szCs w:val="28"/>
        </w:rPr>
        <w:t xml:space="preserve">provided remain areas of </w:t>
      </w:r>
      <w:r w:rsidR="00007C97" w:rsidRPr="007A6C6E">
        <w:rPr>
          <w:rFonts w:cs="Arial"/>
          <w:szCs w:val="28"/>
        </w:rPr>
        <w:t xml:space="preserve">concern. The lack of capacity in some areas results in patients having to receive support </w:t>
      </w:r>
      <w:r w:rsidR="00D45D90" w:rsidRPr="007A6C6E">
        <w:rPr>
          <w:rFonts w:cs="Arial"/>
          <w:szCs w:val="28"/>
        </w:rPr>
        <w:t>‘</w:t>
      </w:r>
      <w:r w:rsidR="00007C97" w:rsidRPr="007A6C6E">
        <w:rPr>
          <w:rFonts w:cs="Arial"/>
          <w:szCs w:val="28"/>
        </w:rPr>
        <w:t>out of area</w:t>
      </w:r>
      <w:r w:rsidR="00D45D90" w:rsidRPr="007A6C6E">
        <w:rPr>
          <w:rFonts w:cs="Arial"/>
          <w:szCs w:val="28"/>
        </w:rPr>
        <w:t>’</w:t>
      </w:r>
      <w:r w:rsidR="00007C97" w:rsidRPr="007A6C6E">
        <w:rPr>
          <w:rFonts w:cs="Arial"/>
          <w:szCs w:val="28"/>
        </w:rPr>
        <w:t>.</w:t>
      </w:r>
      <w:r w:rsidR="00AA71A8">
        <w:rPr>
          <w:rStyle w:val="FootnoteReference"/>
          <w:rFonts w:cs="Arial"/>
          <w:szCs w:val="28"/>
        </w:rPr>
        <w:footnoteReference w:id="42"/>
      </w:r>
      <w:r w:rsidR="00007C97" w:rsidRPr="007A6C6E">
        <w:rPr>
          <w:rFonts w:cs="Arial"/>
          <w:szCs w:val="28"/>
        </w:rPr>
        <w:t xml:space="preserve"> For many patients the experience of going ‘out of area’</w:t>
      </w:r>
      <w:r w:rsidR="00E54BEE" w:rsidRPr="007A6C6E">
        <w:rPr>
          <w:rFonts w:cs="Arial"/>
          <w:szCs w:val="28"/>
        </w:rPr>
        <w:t xml:space="preserve"> and</w:t>
      </w:r>
      <w:r w:rsidR="00007C97" w:rsidRPr="007A6C6E">
        <w:rPr>
          <w:rFonts w:cs="Arial"/>
          <w:szCs w:val="28"/>
        </w:rPr>
        <w:t xml:space="preserve"> away from friends and family is likely to add additional trauma to their experience.  This is apparent across different pr</w:t>
      </w:r>
      <w:r w:rsidR="003C4EED" w:rsidRPr="007A6C6E">
        <w:rPr>
          <w:rFonts w:cs="Arial"/>
          <w:szCs w:val="28"/>
        </w:rPr>
        <w:t>otected groups, including inpatients beds for children.</w:t>
      </w:r>
      <w:r w:rsidR="00933FF6" w:rsidRPr="004B706C">
        <w:rPr>
          <w:rStyle w:val="FootnoteReference"/>
          <w:rFonts w:cs="Arial"/>
          <w:szCs w:val="28"/>
        </w:rPr>
        <w:footnoteReference w:id="43"/>
      </w:r>
      <w:r w:rsidR="003C4EED" w:rsidRPr="007A6C6E">
        <w:rPr>
          <w:rFonts w:cs="Arial"/>
          <w:szCs w:val="28"/>
        </w:rPr>
        <w:t xml:space="preserve"> </w:t>
      </w:r>
    </w:p>
    <w:p w:rsidR="007A6C6E" w:rsidRPr="007A6C6E" w:rsidRDefault="007A6C6E" w:rsidP="007A6C6E">
      <w:pPr>
        <w:pStyle w:val="ListParagraph"/>
        <w:spacing w:line="300" w:lineRule="auto"/>
        <w:ind w:left="0"/>
        <w:rPr>
          <w:rFonts w:cs="Arial"/>
          <w:b/>
          <w:i/>
          <w:szCs w:val="28"/>
        </w:rPr>
      </w:pPr>
    </w:p>
    <w:p w:rsidR="00C73727" w:rsidRDefault="00007C97" w:rsidP="00070202">
      <w:pPr>
        <w:pStyle w:val="Heading2"/>
      </w:pPr>
      <w:r w:rsidRPr="004B706C">
        <w:t>Safety and conditions within inpatient care</w:t>
      </w:r>
    </w:p>
    <w:p w:rsidR="00070202" w:rsidRPr="00070202" w:rsidRDefault="00070202" w:rsidP="00070202"/>
    <w:p w:rsidR="00A26FA1" w:rsidRPr="004B706C" w:rsidRDefault="00BE1634" w:rsidP="00C15387">
      <w:pPr>
        <w:pStyle w:val="ListParagraph"/>
        <w:numPr>
          <w:ilvl w:val="0"/>
          <w:numId w:val="1"/>
        </w:numPr>
        <w:spacing w:line="300" w:lineRule="auto"/>
        <w:ind w:left="0" w:hanging="530"/>
        <w:rPr>
          <w:rFonts w:cs="Arial"/>
          <w:szCs w:val="28"/>
        </w:rPr>
      </w:pPr>
      <w:r w:rsidRPr="004B706C">
        <w:rPr>
          <w:rFonts w:cs="Arial"/>
          <w:szCs w:val="28"/>
        </w:rPr>
        <w:t>The most recent reviews of inpatient mental health services by the Care Quality Commission have found that conditions w</w:t>
      </w:r>
      <w:r w:rsidR="00C06371" w:rsidRPr="004B706C">
        <w:rPr>
          <w:rFonts w:cs="Arial"/>
          <w:szCs w:val="28"/>
        </w:rPr>
        <w:t>ithin some</w:t>
      </w:r>
      <w:r w:rsidRPr="004B706C">
        <w:rPr>
          <w:rFonts w:cs="Arial"/>
          <w:szCs w:val="28"/>
        </w:rPr>
        <w:t xml:space="preserve"> providers are poor.</w:t>
      </w:r>
      <w:r w:rsidR="00C06371" w:rsidRPr="004B706C">
        <w:rPr>
          <w:rStyle w:val="FootnoteReference"/>
          <w:rFonts w:cs="Arial"/>
          <w:szCs w:val="28"/>
        </w:rPr>
        <w:footnoteReference w:id="44"/>
      </w:r>
      <w:r w:rsidRPr="004B706C">
        <w:rPr>
          <w:rFonts w:cs="Arial"/>
          <w:szCs w:val="28"/>
        </w:rPr>
        <w:t xml:space="preserve"> </w:t>
      </w:r>
      <w:r w:rsidR="00C06371" w:rsidRPr="004B706C">
        <w:rPr>
          <w:rFonts w:cs="Arial"/>
          <w:szCs w:val="28"/>
        </w:rPr>
        <w:t>This can include concerns around the safety of patients due in part to some building b</w:t>
      </w:r>
      <w:r w:rsidR="006B3438" w:rsidRPr="004B706C">
        <w:rPr>
          <w:rFonts w:cs="Arial"/>
          <w:szCs w:val="28"/>
        </w:rPr>
        <w:t>eing old</w:t>
      </w:r>
      <w:r w:rsidR="00637064" w:rsidRPr="004B706C">
        <w:rPr>
          <w:rFonts w:cs="Arial"/>
          <w:szCs w:val="28"/>
        </w:rPr>
        <w:t xml:space="preserve"> which makes</w:t>
      </w:r>
      <w:r w:rsidR="006B3438" w:rsidRPr="004B706C">
        <w:rPr>
          <w:rFonts w:cs="Arial"/>
          <w:szCs w:val="28"/>
        </w:rPr>
        <w:t xml:space="preserve"> it more difficult</w:t>
      </w:r>
      <w:r w:rsidR="00C06371" w:rsidRPr="004B706C">
        <w:rPr>
          <w:rFonts w:cs="Arial"/>
          <w:szCs w:val="28"/>
        </w:rPr>
        <w:t xml:space="preserve"> to prevent </w:t>
      </w:r>
      <w:r w:rsidR="00C06371" w:rsidRPr="004B706C">
        <w:rPr>
          <w:rFonts w:cs="Arial"/>
          <w:szCs w:val="28"/>
        </w:rPr>
        <w:lastRenderedPageBreak/>
        <w:t xml:space="preserve">self-harm and suicide. </w:t>
      </w:r>
      <w:r w:rsidR="00933FF6" w:rsidRPr="004B706C">
        <w:rPr>
          <w:rFonts w:cs="Arial"/>
          <w:szCs w:val="28"/>
        </w:rPr>
        <w:t>Reasons can include a greater prevalence of potential ligature points and greater difficulty for staff in monitoring the location of patients.</w:t>
      </w:r>
      <w:r w:rsidR="00C06371" w:rsidRPr="004B706C">
        <w:rPr>
          <w:rFonts w:cs="Arial"/>
          <w:szCs w:val="28"/>
        </w:rPr>
        <w:t xml:space="preserve"> Safety is also a concern where there is a high prevalence of restraint and seclusion</w:t>
      </w:r>
      <w:r w:rsidR="002B0042" w:rsidRPr="004B706C">
        <w:rPr>
          <w:rFonts w:cs="Arial"/>
          <w:szCs w:val="28"/>
        </w:rPr>
        <w:t xml:space="preserve">, which may run contrary to Article 3 </w:t>
      </w:r>
      <w:r w:rsidR="001E5FD6">
        <w:rPr>
          <w:rFonts w:cs="Arial"/>
          <w:szCs w:val="28"/>
        </w:rPr>
        <w:t xml:space="preserve">of the </w:t>
      </w:r>
      <w:r w:rsidR="00637064" w:rsidRPr="004B706C">
        <w:rPr>
          <w:rFonts w:cs="Arial"/>
          <w:szCs w:val="28"/>
        </w:rPr>
        <w:t xml:space="preserve">ECHR </w:t>
      </w:r>
      <w:r w:rsidR="001E5FD6">
        <w:rPr>
          <w:rFonts w:cs="Arial"/>
          <w:szCs w:val="28"/>
        </w:rPr>
        <w:t xml:space="preserve">on </w:t>
      </w:r>
      <w:r w:rsidR="002B0042" w:rsidRPr="004B706C">
        <w:rPr>
          <w:rFonts w:cs="Arial"/>
          <w:szCs w:val="28"/>
        </w:rPr>
        <w:t>prohibition of torture and inhuman or degrading treatment</w:t>
      </w:r>
      <w:r w:rsidR="00C06371" w:rsidRPr="004B706C">
        <w:rPr>
          <w:rFonts w:cs="Arial"/>
          <w:szCs w:val="28"/>
        </w:rPr>
        <w:t xml:space="preserve">.  </w:t>
      </w:r>
      <w:r w:rsidR="00BC6525" w:rsidRPr="004B706C">
        <w:rPr>
          <w:rFonts w:cs="Arial"/>
          <w:szCs w:val="28"/>
        </w:rPr>
        <w:t>We refer to concerns about the disproportionate use of r</w:t>
      </w:r>
      <w:r w:rsidR="00634EE7">
        <w:rPr>
          <w:rFonts w:cs="Arial"/>
          <w:szCs w:val="28"/>
        </w:rPr>
        <w:t>estraint at paragraph 18, above.</w:t>
      </w:r>
      <w:r w:rsidR="00BC6525" w:rsidRPr="004B706C">
        <w:rPr>
          <w:rFonts w:cs="Arial"/>
          <w:szCs w:val="28"/>
        </w:rPr>
        <w:t xml:space="preserve"> </w:t>
      </w:r>
    </w:p>
    <w:p w:rsidR="00A26FA1" w:rsidRPr="004B706C" w:rsidRDefault="00A26FA1" w:rsidP="00A26FA1">
      <w:pPr>
        <w:pStyle w:val="ListParagraph"/>
        <w:rPr>
          <w:rFonts w:cs="Arial"/>
          <w:szCs w:val="28"/>
        </w:rPr>
      </w:pPr>
    </w:p>
    <w:p w:rsidR="009C5C48" w:rsidRPr="00E14410" w:rsidRDefault="00C06371" w:rsidP="00BF76E6">
      <w:pPr>
        <w:pStyle w:val="ListParagraph"/>
        <w:numPr>
          <w:ilvl w:val="0"/>
          <w:numId w:val="1"/>
        </w:numPr>
        <w:spacing w:line="300" w:lineRule="auto"/>
        <w:ind w:left="0" w:hanging="530"/>
        <w:rPr>
          <w:rFonts w:cs="Arial"/>
          <w:szCs w:val="28"/>
        </w:rPr>
      </w:pPr>
      <w:r w:rsidRPr="00E14410">
        <w:rPr>
          <w:rFonts w:cs="Arial"/>
          <w:szCs w:val="28"/>
        </w:rPr>
        <w:t>Some older buildings are also inaccessible</w:t>
      </w:r>
      <w:r w:rsidR="002B0042" w:rsidRPr="00E14410">
        <w:rPr>
          <w:rFonts w:cs="Arial"/>
          <w:szCs w:val="28"/>
        </w:rPr>
        <w:t xml:space="preserve"> to people with reduced mobility</w:t>
      </w:r>
      <w:r w:rsidR="001A568C" w:rsidRPr="00E14410">
        <w:rPr>
          <w:rFonts w:cs="Arial"/>
          <w:szCs w:val="28"/>
        </w:rPr>
        <w:t>,</w:t>
      </w:r>
      <w:r w:rsidRPr="004B706C">
        <w:rPr>
          <w:rStyle w:val="FootnoteReference"/>
          <w:rFonts w:cs="Arial"/>
          <w:szCs w:val="28"/>
        </w:rPr>
        <w:footnoteReference w:id="45"/>
      </w:r>
      <w:r w:rsidRPr="00E14410">
        <w:rPr>
          <w:rFonts w:cs="Arial"/>
          <w:szCs w:val="28"/>
        </w:rPr>
        <w:t xml:space="preserve"> which may breach the requirements of Equality Act 2010</w:t>
      </w:r>
      <w:r w:rsidR="00637064" w:rsidRPr="00E14410">
        <w:rPr>
          <w:rFonts w:cs="Arial"/>
          <w:szCs w:val="28"/>
        </w:rPr>
        <w:t>, in respect to disability discrimination and a failure to provide reasonable adjustments</w:t>
      </w:r>
      <w:r w:rsidRPr="00E14410">
        <w:rPr>
          <w:rFonts w:cs="Arial"/>
          <w:szCs w:val="28"/>
        </w:rPr>
        <w:t xml:space="preserve">.  </w:t>
      </w:r>
    </w:p>
    <w:p w:rsidR="00A26FA1" w:rsidRDefault="007B0C0B" w:rsidP="00070202">
      <w:pPr>
        <w:pStyle w:val="Heading2"/>
      </w:pPr>
      <w:r w:rsidRPr="00634EE7">
        <w:t>Un</w:t>
      </w:r>
      <w:r w:rsidR="009C5C48" w:rsidRPr="00634EE7">
        <w:t>necessary deprivations of liberty</w:t>
      </w:r>
    </w:p>
    <w:p w:rsidR="00070202" w:rsidRPr="00070202" w:rsidRDefault="00070202" w:rsidP="00070202"/>
    <w:p w:rsidR="00C06371" w:rsidRPr="004B706C" w:rsidRDefault="00634EE7" w:rsidP="00C15387">
      <w:pPr>
        <w:pStyle w:val="ListParagraph"/>
        <w:numPr>
          <w:ilvl w:val="0"/>
          <w:numId w:val="1"/>
        </w:numPr>
        <w:spacing w:line="300" w:lineRule="auto"/>
        <w:ind w:left="0" w:hanging="530"/>
        <w:rPr>
          <w:rFonts w:cs="Arial"/>
          <w:szCs w:val="28"/>
        </w:rPr>
      </w:pPr>
      <w:r>
        <w:rPr>
          <w:rFonts w:cs="Arial"/>
          <w:szCs w:val="28"/>
        </w:rPr>
        <w:t xml:space="preserve">Constraints on space and the availability of beds </w:t>
      </w:r>
      <w:r w:rsidR="002B0042" w:rsidRPr="004B706C">
        <w:rPr>
          <w:rFonts w:cs="Arial"/>
          <w:szCs w:val="28"/>
        </w:rPr>
        <w:t xml:space="preserve">can lead </w:t>
      </w:r>
      <w:r w:rsidR="00A33E69" w:rsidRPr="004B706C">
        <w:rPr>
          <w:rFonts w:cs="Arial"/>
          <w:szCs w:val="28"/>
        </w:rPr>
        <w:t xml:space="preserve">to </w:t>
      </w:r>
      <w:r w:rsidR="006B3438" w:rsidRPr="004B706C">
        <w:rPr>
          <w:rFonts w:cs="Arial"/>
          <w:szCs w:val="28"/>
        </w:rPr>
        <w:t xml:space="preserve">patients being held in higher security wards than they need due to a lack of suitable alternatives and </w:t>
      </w:r>
      <w:r w:rsidR="002B0042" w:rsidRPr="004B706C">
        <w:rPr>
          <w:rFonts w:cs="Arial"/>
          <w:szCs w:val="28"/>
        </w:rPr>
        <w:t>to care environments that are not therapeutic.</w:t>
      </w:r>
      <w:r w:rsidR="006576A1" w:rsidRPr="004B706C">
        <w:rPr>
          <w:rStyle w:val="FootnoteReference"/>
          <w:rFonts w:cs="Arial"/>
          <w:szCs w:val="28"/>
        </w:rPr>
        <w:footnoteReference w:id="46"/>
      </w:r>
      <w:r>
        <w:rPr>
          <w:rFonts w:cs="Arial"/>
          <w:szCs w:val="28"/>
        </w:rPr>
        <w:t xml:space="preserve"> Shortages in staff numbers are also like to exacerbate this situation. </w:t>
      </w:r>
      <w:r w:rsidR="002B0042" w:rsidRPr="004B706C">
        <w:rPr>
          <w:rFonts w:cs="Arial"/>
          <w:szCs w:val="28"/>
        </w:rPr>
        <w:t xml:space="preserve"> It can also lead to the use of blanket bans on mobile phones and the locking of wards</w:t>
      </w:r>
      <w:r w:rsidR="00917EF4" w:rsidRPr="004B706C">
        <w:rPr>
          <w:rFonts w:cs="Arial"/>
          <w:szCs w:val="28"/>
        </w:rPr>
        <w:t>, including situations where there is no power to lock some patients in, i.e. where they are voluntarily admitted</w:t>
      </w:r>
      <w:r w:rsidR="002B0042" w:rsidRPr="004B706C">
        <w:rPr>
          <w:rFonts w:cs="Arial"/>
          <w:szCs w:val="28"/>
        </w:rPr>
        <w:t>.</w:t>
      </w:r>
      <w:r w:rsidR="002B0042" w:rsidRPr="004B706C">
        <w:rPr>
          <w:rStyle w:val="FootnoteReference"/>
          <w:rFonts w:cs="Arial"/>
          <w:szCs w:val="28"/>
        </w:rPr>
        <w:footnoteReference w:id="47"/>
      </w:r>
      <w:r w:rsidR="00917EF4" w:rsidRPr="004B706C">
        <w:rPr>
          <w:rFonts w:cs="Arial"/>
          <w:szCs w:val="28"/>
        </w:rPr>
        <w:t xml:space="preserve"> </w:t>
      </w:r>
      <w:r w:rsidR="003C4EED" w:rsidRPr="004B706C">
        <w:rPr>
          <w:rFonts w:cs="Arial"/>
          <w:szCs w:val="28"/>
        </w:rPr>
        <w:t>All patients whether admitted voluntarily or not should have the same stringent safeguards</w:t>
      </w:r>
      <w:r w:rsidR="00177695" w:rsidRPr="004B706C">
        <w:rPr>
          <w:rFonts w:cs="Arial"/>
          <w:szCs w:val="28"/>
        </w:rPr>
        <w:t>, regardless of their age</w:t>
      </w:r>
      <w:r w:rsidR="003C4EED" w:rsidRPr="004B706C">
        <w:rPr>
          <w:rFonts w:cs="Arial"/>
          <w:szCs w:val="28"/>
        </w:rPr>
        <w:t xml:space="preserve">. </w:t>
      </w:r>
      <w:r w:rsidR="00177695" w:rsidRPr="004B706C">
        <w:rPr>
          <w:rFonts w:cs="Arial"/>
          <w:szCs w:val="28"/>
        </w:rPr>
        <w:t>It is also essential that all patients receive the same rights to aftercare.  Currently not all patients will be entitled to support under the Care Programme Approach</w:t>
      </w:r>
      <w:r w:rsidR="00935878">
        <w:rPr>
          <w:rFonts w:cs="Arial"/>
          <w:szCs w:val="28"/>
        </w:rPr>
        <w:t xml:space="preserve"> and we have been told by stakeholders that this may influence the decision of some clinicians on which powers to use</w:t>
      </w:r>
      <w:r w:rsidR="00177695" w:rsidRPr="004B706C">
        <w:rPr>
          <w:rFonts w:cs="Arial"/>
          <w:szCs w:val="28"/>
        </w:rPr>
        <w:t xml:space="preserve">. </w:t>
      </w:r>
    </w:p>
    <w:p w:rsidR="005073EA" w:rsidRPr="004B706C" w:rsidRDefault="005073EA" w:rsidP="009C5C48">
      <w:pPr>
        <w:rPr>
          <w:rFonts w:cs="Arial"/>
          <w:szCs w:val="28"/>
        </w:rPr>
      </w:pPr>
    </w:p>
    <w:p w:rsidR="00207705" w:rsidRDefault="00207705" w:rsidP="00070202">
      <w:pPr>
        <w:pStyle w:val="Heading2"/>
      </w:pPr>
      <w:r w:rsidRPr="00AA71A8">
        <w:lastRenderedPageBreak/>
        <w:t>Patients awaiting trial and/or arriving from prison</w:t>
      </w:r>
    </w:p>
    <w:p w:rsidR="00070202" w:rsidRPr="00070202" w:rsidRDefault="00070202" w:rsidP="00070202"/>
    <w:p w:rsidR="00207705" w:rsidRPr="004B706C" w:rsidRDefault="00207705" w:rsidP="00A26FA1">
      <w:pPr>
        <w:numPr>
          <w:ilvl w:val="0"/>
          <w:numId w:val="1"/>
        </w:numPr>
        <w:spacing w:line="300" w:lineRule="auto"/>
        <w:ind w:left="0" w:hanging="530"/>
        <w:contextualSpacing/>
        <w:rPr>
          <w:rFonts w:cs="Arial"/>
          <w:szCs w:val="28"/>
        </w:rPr>
      </w:pPr>
      <w:r w:rsidRPr="00207705">
        <w:rPr>
          <w:rFonts w:cs="Arial"/>
          <w:szCs w:val="28"/>
        </w:rPr>
        <w:t xml:space="preserve">We are </w:t>
      </w:r>
      <w:r w:rsidRPr="004B706C">
        <w:rPr>
          <w:rFonts w:cs="Arial"/>
          <w:szCs w:val="28"/>
        </w:rPr>
        <w:t xml:space="preserve">further </w:t>
      </w:r>
      <w:r w:rsidRPr="00207705">
        <w:rPr>
          <w:rFonts w:cs="Arial"/>
          <w:szCs w:val="28"/>
        </w:rPr>
        <w:t>concerned about the experience of people who are being admitted to secure mental health treatment via the criminal justic</w:t>
      </w:r>
      <w:r w:rsidRPr="004B706C">
        <w:rPr>
          <w:rFonts w:cs="Arial"/>
          <w:szCs w:val="28"/>
        </w:rPr>
        <w:t xml:space="preserve">e system. </w:t>
      </w:r>
      <w:r w:rsidRPr="00207705">
        <w:rPr>
          <w:rFonts w:cs="Arial"/>
          <w:szCs w:val="28"/>
        </w:rPr>
        <w:t xml:space="preserve">This applies to the transfer of convicted prisoners who need more intensive mental health treatment, who are often subject to long </w:t>
      </w:r>
      <w:r w:rsidR="00311B9E" w:rsidRPr="004B706C">
        <w:rPr>
          <w:rFonts w:cs="Arial"/>
          <w:szCs w:val="28"/>
        </w:rPr>
        <w:t xml:space="preserve">and unnecessary </w:t>
      </w:r>
      <w:r w:rsidRPr="00207705">
        <w:rPr>
          <w:rFonts w:cs="Arial"/>
          <w:szCs w:val="28"/>
        </w:rPr>
        <w:t xml:space="preserve">delays in accessing </w:t>
      </w:r>
      <w:r w:rsidRPr="004B706C">
        <w:rPr>
          <w:rFonts w:cs="Arial"/>
          <w:szCs w:val="28"/>
        </w:rPr>
        <w:t xml:space="preserve">the </w:t>
      </w:r>
      <w:r w:rsidRPr="00207705">
        <w:rPr>
          <w:rFonts w:cs="Arial"/>
          <w:szCs w:val="28"/>
        </w:rPr>
        <w:t>treatment</w:t>
      </w:r>
      <w:r w:rsidRPr="004B706C">
        <w:rPr>
          <w:rFonts w:cs="Arial"/>
          <w:szCs w:val="28"/>
        </w:rPr>
        <w:t xml:space="preserve"> that they need.</w:t>
      </w:r>
      <w:r w:rsidRPr="00207705">
        <w:rPr>
          <w:rFonts w:cs="Arial"/>
          <w:szCs w:val="28"/>
        </w:rPr>
        <w:t xml:space="preserve"> Some unconvicted offenders may also be admitted to hospital via the magistrates’ courts, which may leave them with an untried criminal charge on their record fo</w:t>
      </w:r>
      <w:r w:rsidR="00311B9E" w:rsidRPr="004B706C">
        <w:rPr>
          <w:rFonts w:cs="Arial"/>
          <w:szCs w:val="28"/>
        </w:rPr>
        <w:t>r an indefinite period of time.</w:t>
      </w:r>
      <w:r w:rsidRPr="00207705">
        <w:rPr>
          <w:rFonts w:cs="Arial"/>
          <w:szCs w:val="28"/>
        </w:rPr>
        <w:t xml:space="preserve"> </w:t>
      </w:r>
      <w:r w:rsidR="00311B9E" w:rsidRPr="004B706C">
        <w:rPr>
          <w:rFonts w:cs="Arial"/>
          <w:szCs w:val="28"/>
        </w:rPr>
        <w:t xml:space="preserve">This has implications for </w:t>
      </w:r>
      <w:r w:rsidRPr="004B706C">
        <w:rPr>
          <w:rFonts w:cs="Arial"/>
          <w:szCs w:val="28"/>
        </w:rPr>
        <w:t>Article 6</w:t>
      </w:r>
      <w:r w:rsidR="00311B9E" w:rsidRPr="004B706C">
        <w:rPr>
          <w:rFonts w:cs="Arial"/>
          <w:szCs w:val="28"/>
        </w:rPr>
        <w:t xml:space="preserve"> and 7 Convention Rights. </w:t>
      </w:r>
    </w:p>
    <w:p w:rsidR="00311B9E" w:rsidRPr="004B706C" w:rsidRDefault="00311B9E" w:rsidP="00311B9E">
      <w:pPr>
        <w:spacing w:line="300" w:lineRule="auto"/>
        <w:contextualSpacing/>
        <w:rPr>
          <w:rFonts w:cs="Arial"/>
          <w:szCs w:val="28"/>
        </w:rPr>
      </w:pPr>
    </w:p>
    <w:p w:rsidR="00A26FA1" w:rsidRDefault="004B706C" w:rsidP="00070202">
      <w:pPr>
        <w:pStyle w:val="Heading2"/>
      </w:pPr>
      <w:r w:rsidRPr="004B706C">
        <w:t>Conclusion</w:t>
      </w:r>
    </w:p>
    <w:p w:rsidR="00070202" w:rsidRPr="00070202" w:rsidRDefault="00070202" w:rsidP="00070202"/>
    <w:p w:rsidR="00A26FA1" w:rsidRDefault="00F051D9" w:rsidP="00A26FA1">
      <w:pPr>
        <w:pStyle w:val="ListParagraph"/>
        <w:numPr>
          <w:ilvl w:val="0"/>
          <w:numId w:val="1"/>
        </w:numPr>
        <w:spacing w:line="300" w:lineRule="auto"/>
        <w:ind w:left="0" w:hanging="567"/>
        <w:rPr>
          <w:rFonts w:cs="Arial"/>
          <w:szCs w:val="28"/>
        </w:rPr>
      </w:pPr>
      <w:r w:rsidRPr="004B706C">
        <w:rPr>
          <w:rFonts w:cs="Arial"/>
          <w:szCs w:val="28"/>
        </w:rPr>
        <w:t>The Commission welcomes the Review of the MHA.  It provides a significant opportunity to pause and to consider whether the MHA is fit for purpose, or whether a fundamentally new approach is required. Critically, it provides the opportunity to consider whether the significant inequalities and human rights challenges which arise through the operation of the MHA can be addressed through changes in practice or whether we require more fundamental legislative reform to guarantee the best possible care and the human rights of all patients?</w:t>
      </w:r>
    </w:p>
    <w:p w:rsidR="00070202" w:rsidRPr="00070202" w:rsidRDefault="00070202" w:rsidP="00070202">
      <w:pPr>
        <w:pStyle w:val="ListParagraph"/>
        <w:spacing w:line="300" w:lineRule="auto"/>
        <w:ind w:left="0"/>
        <w:rPr>
          <w:rFonts w:cs="Arial"/>
          <w:szCs w:val="28"/>
        </w:rPr>
      </w:pPr>
    </w:p>
    <w:p w:rsidR="004B706C" w:rsidRPr="00070202" w:rsidRDefault="00F051D9" w:rsidP="004B706C">
      <w:pPr>
        <w:pStyle w:val="ListParagraph"/>
        <w:numPr>
          <w:ilvl w:val="0"/>
          <w:numId w:val="1"/>
        </w:numPr>
        <w:spacing w:line="300" w:lineRule="auto"/>
        <w:ind w:left="0" w:hanging="530"/>
        <w:rPr>
          <w:rFonts w:cs="Arial"/>
          <w:szCs w:val="28"/>
        </w:rPr>
      </w:pPr>
      <w:r w:rsidRPr="004B706C">
        <w:rPr>
          <w:rFonts w:cs="Arial"/>
          <w:szCs w:val="28"/>
        </w:rPr>
        <w:t xml:space="preserve">We have set out evidence and analysis </w:t>
      </w:r>
      <w:r w:rsidR="009542BD">
        <w:rPr>
          <w:rFonts w:cs="Arial"/>
          <w:szCs w:val="28"/>
        </w:rPr>
        <w:t xml:space="preserve">to back up our observations and considerations </w:t>
      </w:r>
      <w:r w:rsidRPr="004B706C">
        <w:rPr>
          <w:rFonts w:cs="Arial"/>
          <w:szCs w:val="28"/>
        </w:rPr>
        <w:t>from research that</w:t>
      </w:r>
      <w:r w:rsidR="004B706C" w:rsidRPr="004B706C">
        <w:rPr>
          <w:rFonts w:cs="Arial"/>
          <w:szCs w:val="28"/>
        </w:rPr>
        <w:t xml:space="preserve"> we and others have published. </w:t>
      </w:r>
      <w:r w:rsidRPr="004B706C">
        <w:rPr>
          <w:rFonts w:cs="Arial"/>
          <w:szCs w:val="28"/>
        </w:rPr>
        <w:t>This includes analysis of how the UK is meeting the requirements of its</w:t>
      </w:r>
      <w:r w:rsidR="004B706C" w:rsidRPr="004B706C">
        <w:rPr>
          <w:rFonts w:cs="Arial"/>
          <w:szCs w:val="28"/>
        </w:rPr>
        <w:t xml:space="preserve"> treaty obligations.</w:t>
      </w:r>
      <w:r w:rsidRPr="004B706C">
        <w:rPr>
          <w:rFonts w:cs="Arial"/>
          <w:szCs w:val="28"/>
        </w:rPr>
        <w:t xml:space="preserve"> </w:t>
      </w:r>
      <w:r w:rsidR="004B706C" w:rsidRPr="004B706C">
        <w:rPr>
          <w:rFonts w:cs="Arial"/>
          <w:szCs w:val="28"/>
        </w:rPr>
        <w:t xml:space="preserve"> It is apparent that the rising numbers of detentions under the MHA cannot be viewed in isolation from other mental health services, which require greater levels of funding and a clearer understanding of how to meet the needs of patients with different protected characteristics.</w:t>
      </w:r>
    </w:p>
    <w:p w:rsidR="00A26FA1" w:rsidRPr="004B706C" w:rsidRDefault="004B706C" w:rsidP="00A26FA1">
      <w:pPr>
        <w:pStyle w:val="ListParagraph"/>
        <w:numPr>
          <w:ilvl w:val="0"/>
          <w:numId w:val="1"/>
        </w:numPr>
        <w:spacing w:line="300" w:lineRule="auto"/>
        <w:ind w:left="0" w:hanging="530"/>
        <w:rPr>
          <w:rFonts w:cs="Arial"/>
          <w:szCs w:val="28"/>
        </w:rPr>
      </w:pPr>
      <w:r w:rsidRPr="004B706C">
        <w:rPr>
          <w:rFonts w:cs="Arial"/>
          <w:szCs w:val="28"/>
        </w:rPr>
        <w:lastRenderedPageBreak/>
        <w:t xml:space="preserve">There is a strong case for reform. </w:t>
      </w:r>
      <w:r w:rsidR="00D462C5" w:rsidRPr="004B706C">
        <w:rPr>
          <w:rFonts w:cs="Arial"/>
          <w:szCs w:val="28"/>
        </w:rPr>
        <w:t xml:space="preserve">In 2018/19, the Commission will be </w:t>
      </w:r>
      <w:r w:rsidR="00A33E69" w:rsidRPr="004B706C">
        <w:rPr>
          <w:rFonts w:cs="Arial"/>
          <w:szCs w:val="28"/>
        </w:rPr>
        <w:t>undertaking a broad range of work to improve practice in these areas:</w:t>
      </w:r>
    </w:p>
    <w:p w:rsidR="00A26FA1" w:rsidRPr="004B706C" w:rsidRDefault="00A26FA1" w:rsidP="00A26FA1">
      <w:pPr>
        <w:pStyle w:val="NormalWeb"/>
        <w:numPr>
          <w:ilvl w:val="0"/>
          <w:numId w:val="39"/>
        </w:numPr>
        <w:rPr>
          <w:rFonts w:ascii="Arial" w:hAnsi="Arial" w:cs="Arial"/>
          <w:sz w:val="28"/>
          <w:szCs w:val="28"/>
        </w:rPr>
      </w:pPr>
      <w:r w:rsidRPr="004B706C">
        <w:rPr>
          <w:rFonts w:ascii="Arial" w:hAnsi="Arial" w:cs="Arial"/>
          <w:sz w:val="28"/>
          <w:szCs w:val="28"/>
        </w:rPr>
        <w:t xml:space="preserve">We will be engaging with national and international stakeholders and developing our evidence base of alternative models to the MHA, including the provision of care in less restrictive, community settings. </w:t>
      </w:r>
    </w:p>
    <w:p w:rsidR="00A26FA1" w:rsidRPr="004B706C" w:rsidRDefault="00A26FA1" w:rsidP="00A26FA1">
      <w:pPr>
        <w:pStyle w:val="NormalWeb"/>
        <w:numPr>
          <w:ilvl w:val="0"/>
          <w:numId w:val="39"/>
        </w:numPr>
        <w:rPr>
          <w:rFonts w:ascii="Arial" w:hAnsi="Arial" w:cs="Arial"/>
          <w:sz w:val="28"/>
          <w:szCs w:val="28"/>
        </w:rPr>
      </w:pPr>
      <w:r w:rsidRPr="004B706C">
        <w:rPr>
          <w:rFonts w:ascii="Arial" w:hAnsi="Arial" w:cs="Arial"/>
          <w:sz w:val="28"/>
          <w:szCs w:val="28"/>
        </w:rPr>
        <w:t xml:space="preserve">Working with regulators, inspectorates and ombudsmen to ensure that human rights are adequately reflected in their regulatory frameworks to ensure that inappropriate use restraint and seclusion are identified and tackled and sharing learning across sectors. </w:t>
      </w:r>
    </w:p>
    <w:p w:rsidR="00A26FA1" w:rsidRPr="004B706C" w:rsidRDefault="00A26FA1" w:rsidP="00A26FA1">
      <w:pPr>
        <w:pStyle w:val="NormalWeb"/>
        <w:numPr>
          <w:ilvl w:val="0"/>
          <w:numId w:val="39"/>
        </w:numPr>
        <w:rPr>
          <w:rFonts w:ascii="Arial" w:hAnsi="Arial" w:cs="Arial"/>
          <w:sz w:val="28"/>
          <w:szCs w:val="28"/>
        </w:rPr>
      </w:pPr>
      <w:r w:rsidRPr="004B706C">
        <w:rPr>
          <w:rFonts w:ascii="Arial" w:hAnsi="Arial" w:cs="Arial"/>
          <w:sz w:val="28"/>
          <w:szCs w:val="28"/>
        </w:rPr>
        <w:t xml:space="preserve">Commissioning research to better understand the barriers to information on rights and legal redress for breaches of the MHA; </w:t>
      </w:r>
    </w:p>
    <w:p w:rsidR="00A26FA1" w:rsidRPr="004B706C" w:rsidRDefault="00A26FA1" w:rsidP="00A26FA1">
      <w:pPr>
        <w:pStyle w:val="NormalWeb"/>
        <w:numPr>
          <w:ilvl w:val="0"/>
          <w:numId w:val="39"/>
        </w:numPr>
        <w:rPr>
          <w:rFonts w:ascii="Arial" w:hAnsi="Arial" w:cs="Arial"/>
          <w:sz w:val="28"/>
          <w:szCs w:val="28"/>
        </w:rPr>
      </w:pPr>
      <w:r w:rsidRPr="004B706C">
        <w:rPr>
          <w:rFonts w:ascii="Arial" w:hAnsi="Arial" w:cs="Arial"/>
          <w:sz w:val="28"/>
          <w:szCs w:val="28"/>
        </w:rPr>
        <w:t xml:space="preserve">Developing </w:t>
      </w:r>
      <w:r w:rsidR="006576A1" w:rsidRPr="004B706C">
        <w:rPr>
          <w:rFonts w:ascii="Arial" w:hAnsi="Arial" w:cs="Arial"/>
          <w:sz w:val="28"/>
          <w:szCs w:val="28"/>
        </w:rPr>
        <w:t>new thinki</w:t>
      </w:r>
      <w:r w:rsidR="004B706C" w:rsidRPr="004B706C">
        <w:rPr>
          <w:rFonts w:ascii="Arial" w:hAnsi="Arial" w:cs="Arial"/>
          <w:sz w:val="28"/>
          <w:szCs w:val="28"/>
        </w:rPr>
        <w:t>ng to examine the barriers</w:t>
      </w:r>
      <w:r w:rsidR="006576A1" w:rsidRPr="004B706C">
        <w:rPr>
          <w:rFonts w:ascii="Arial" w:hAnsi="Arial" w:cs="Arial"/>
          <w:sz w:val="28"/>
          <w:szCs w:val="28"/>
        </w:rPr>
        <w:t xml:space="preserve"> to the uptake and completion of IAPT mental health services and </w:t>
      </w:r>
      <w:r w:rsidR="004B706C" w:rsidRPr="004B706C">
        <w:rPr>
          <w:rFonts w:ascii="Arial" w:hAnsi="Arial" w:cs="Arial"/>
          <w:sz w:val="28"/>
          <w:szCs w:val="28"/>
        </w:rPr>
        <w:t xml:space="preserve">to </w:t>
      </w:r>
      <w:r w:rsidR="006576A1" w:rsidRPr="004B706C">
        <w:rPr>
          <w:rFonts w:ascii="Arial" w:hAnsi="Arial" w:cs="Arial"/>
          <w:sz w:val="28"/>
          <w:szCs w:val="28"/>
        </w:rPr>
        <w:t xml:space="preserve">identify ways to tackle </w:t>
      </w:r>
      <w:r w:rsidR="00DF6BBE">
        <w:rPr>
          <w:rFonts w:ascii="Arial" w:hAnsi="Arial" w:cs="Arial"/>
          <w:sz w:val="28"/>
          <w:szCs w:val="28"/>
        </w:rPr>
        <w:t xml:space="preserve">existing </w:t>
      </w:r>
      <w:r w:rsidR="006576A1" w:rsidRPr="004B706C">
        <w:rPr>
          <w:rFonts w:ascii="Arial" w:hAnsi="Arial" w:cs="Arial"/>
          <w:sz w:val="28"/>
          <w:szCs w:val="28"/>
        </w:rPr>
        <w:t>barriers.</w:t>
      </w:r>
    </w:p>
    <w:p w:rsidR="00A26FA1" w:rsidRPr="004B706C" w:rsidRDefault="00A26FA1" w:rsidP="00A26FA1">
      <w:pPr>
        <w:rPr>
          <w:rFonts w:cs="Arial"/>
          <w:szCs w:val="28"/>
        </w:rPr>
      </w:pPr>
    </w:p>
    <w:p w:rsidR="00E140F8" w:rsidRPr="00070202" w:rsidRDefault="00A26FA1" w:rsidP="00070202">
      <w:pPr>
        <w:pStyle w:val="ListParagraph"/>
        <w:numPr>
          <w:ilvl w:val="0"/>
          <w:numId w:val="1"/>
        </w:numPr>
        <w:spacing w:line="300" w:lineRule="auto"/>
        <w:ind w:left="0" w:hanging="530"/>
        <w:rPr>
          <w:rFonts w:cs="Arial"/>
          <w:szCs w:val="28"/>
        </w:rPr>
      </w:pPr>
      <w:r w:rsidRPr="004B706C">
        <w:rPr>
          <w:rFonts w:cs="Arial"/>
          <w:szCs w:val="28"/>
        </w:rPr>
        <w:t>The Commission looks forward to working closely with the MHA review.  Please let us know if you would like further information on any of the above. We are organising a meeting for David Isaac, our Chair, to meet with Sir Simon We</w:t>
      </w:r>
      <w:r w:rsidR="00070202">
        <w:rPr>
          <w:rFonts w:cs="Arial"/>
          <w:szCs w:val="28"/>
        </w:rPr>
        <w:t>ssely, Chair of the MHA Review.</w:t>
      </w:r>
    </w:p>
    <w:sectPr w:rsidR="00E140F8" w:rsidRPr="00070202" w:rsidSect="00756DE7">
      <w:headerReference w:type="default" r:id="rId12"/>
      <w:footerReference w:type="default" r:id="rId13"/>
      <w:pgSz w:w="11906" w:h="16838"/>
      <w:pgMar w:top="1134" w:right="1440" w:bottom="1134" w:left="1440" w:header="1138"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D107C2" w16cid:durableId="1D8AF6C3"/>
  <w16cid:commentId w16cid:paraId="5DEECD29" w16cid:durableId="1D8AFA10"/>
  <w16cid:commentId w16cid:paraId="2D41884B" w16cid:durableId="1D8AFBCA"/>
  <w16cid:commentId w16cid:paraId="67AEC551" w16cid:durableId="1D8AF6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41F" w:rsidRDefault="0006641F" w:rsidP="00C12CB4">
      <w:r>
        <w:separator/>
      </w:r>
    </w:p>
  </w:endnote>
  <w:endnote w:type="continuationSeparator" w:id="0">
    <w:p w:rsidR="0006641F" w:rsidRDefault="0006641F" w:rsidP="00C1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592249"/>
      <w:docPartObj>
        <w:docPartGallery w:val="Page Numbers (Bottom of Page)"/>
        <w:docPartUnique/>
      </w:docPartObj>
    </w:sdtPr>
    <w:sdtEndPr>
      <w:rPr>
        <w:noProof/>
      </w:rPr>
    </w:sdtEndPr>
    <w:sdtContent>
      <w:p w:rsidR="00331D98" w:rsidRDefault="00331D98">
        <w:pPr>
          <w:pStyle w:val="Footer"/>
          <w:jc w:val="center"/>
        </w:pPr>
        <w:r>
          <w:fldChar w:fldCharType="begin"/>
        </w:r>
        <w:r>
          <w:instrText xml:space="preserve"> PAGE   \* MERGEFORMAT </w:instrText>
        </w:r>
        <w:r>
          <w:fldChar w:fldCharType="separate"/>
        </w:r>
        <w:r w:rsidR="00321DE8">
          <w:rPr>
            <w:noProof/>
          </w:rPr>
          <w:t>1</w:t>
        </w:r>
        <w:r>
          <w:rPr>
            <w:noProof/>
          </w:rPr>
          <w:fldChar w:fldCharType="end"/>
        </w:r>
      </w:p>
    </w:sdtContent>
  </w:sdt>
  <w:p w:rsidR="00331D98" w:rsidRDefault="00331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41F" w:rsidRDefault="0006641F" w:rsidP="00C12CB4">
      <w:r>
        <w:separator/>
      </w:r>
    </w:p>
  </w:footnote>
  <w:footnote w:type="continuationSeparator" w:id="0">
    <w:p w:rsidR="0006641F" w:rsidRDefault="0006641F" w:rsidP="00C12CB4">
      <w:r>
        <w:continuationSeparator/>
      </w:r>
    </w:p>
  </w:footnote>
  <w:footnote w:id="1">
    <w:p w:rsidR="00331D98" w:rsidRDefault="00331D98">
      <w:pPr>
        <w:pStyle w:val="FootnoteText"/>
      </w:pPr>
      <w:r>
        <w:rPr>
          <w:rStyle w:val="FootnoteReference"/>
        </w:rPr>
        <w:footnoteRef/>
      </w:r>
      <w:r w:rsidR="006137E5">
        <w:t xml:space="preserve"> Our Business Plan can be found </w:t>
      </w:r>
      <w:hyperlink r:id="rId1" w:history="1">
        <w:r w:rsidR="006137E5" w:rsidRPr="006137E5">
          <w:rPr>
            <w:rStyle w:val="Hyperlink"/>
          </w:rPr>
          <w:t>here</w:t>
        </w:r>
      </w:hyperlink>
      <w:r w:rsidR="006137E5">
        <w:t>.</w:t>
      </w:r>
    </w:p>
  </w:footnote>
  <w:footnote w:id="2">
    <w:p w:rsidR="00331D98" w:rsidRDefault="00331D98" w:rsidP="00553A2C">
      <w:pPr>
        <w:pStyle w:val="FootnoteText"/>
      </w:pPr>
      <w:r>
        <w:rPr>
          <w:rStyle w:val="FootnoteReference"/>
        </w:rPr>
        <w:footnoteRef/>
      </w:r>
      <w:r>
        <w:t xml:space="preserve"> This is a point made in the Law Commissi</w:t>
      </w:r>
      <w:r w:rsidR="00E864EB">
        <w:t>on’s response (unpublished) to the</w:t>
      </w:r>
      <w:r>
        <w:t xml:space="preserve"> MHA Review’s call for evidence (Jan, 2018).</w:t>
      </w:r>
    </w:p>
  </w:footnote>
  <w:footnote w:id="3">
    <w:p w:rsidR="00331435" w:rsidRPr="001072A3" w:rsidRDefault="00331435" w:rsidP="00331435">
      <w:pPr>
        <w:pStyle w:val="FootnoteText"/>
        <w:rPr>
          <w:rFonts w:cs="Arial"/>
          <w:sz w:val="22"/>
          <w:szCs w:val="22"/>
        </w:rPr>
      </w:pPr>
      <w:r w:rsidRPr="001072A3">
        <w:rPr>
          <w:rStyle w:val="FootnoteReference"/>
          <w:rFonts w:cs="Arial"/>
          <w:sz w:val="22"/>
          <w:szCs w:val="22"/>
        </w:rPr>
        <w:footnoteRef/>
      </w:r>
      <w:r w:rsidRPr="001072A3">
        <w:rPr>
          <w:rFonts w:cs="Arial"/>
          <w:sz w:val="22"/>
          <w:szCs w:val="22"/>
        </w:rPr>
        <w:t xml:space="preserve"> </w:t>
      </w:r>
      <w:r w:rsidRPr="00D45D90">
        <w:rPr>
          <w:rFonts w:cs="Arial"/>
        </w:rPr>
        <w:t>EHRC shadow report to the Committee for Economic, Social and Cultural Rights April 2016,</w:t>
      </w:r>
      <w:r w:rsidR="00E864EB">
        <w:rPr>
          <w:rFonts w:cs="Arial"/>
        </w:rPr>
        <w:t xml:space="preserve"> </w:t>
      </w:r>
      <w:r w:rsidRPr="00D45D90">
        <w:rPr>
          <w:rFonts w:cs="Arial"/>
        </w:rPr>
        <w:t>Para 6.2.</w:t>
      </w:r>
      <w:r w:rsidRPr="001072A3">
        <w:rPr>
          <w:rFonts w:cs="Arial"/>
          <w:sz w:val="22"/>
          <w:szCs w:val="22"/>
        </w:rPr>
        <w:t xml:space="preserve"> </w:t>
      </w:r>
      <w:r w:rsidR="006137E5">
        <w:rPr>
          <w:rFonts w:cs="Arial"/>
        </w:rPr>
        <w:t xml:space="preserve">Available </w:t>
      </w:r>
      <w:hyperlink r:id="rId2" w:history="1">
        <w:r w:rsidR="006137E5" w:rsidRPr="006137E5">
          <w:rPr>
            <w:rStyle w:val="Hyperlink"/>
            <w:rFonts w:cs="Arial"/>
          </w:rPr>
          <w:t>here</w:t>
        </w:r>
      </w:hyperlink>
      <w:r w:rsidR="006137E5">
        <w:rPr>
          <w:rFonts w:cs="Arial"/>
        </w:rPr>
        <w:t>.</w:t>
      </w:r>
      <w:r w:rsidR="00E864EB">
        <w:rPr>
          <w:rFonts w:cs="Arial"/>
        </w:rPr>
        <w:t xml:space="preserve"> </w:t>
      </w:r>
    </w:p>
  </w:footnote>
  <w:footnote w:id="4">
    <w:p w:rsidR="00331435" w:rsidRPr="001072A3" w:rsidRDefault="00331435" w:rsidP="00331435">
      <w:pPr>
        <w:pStyle w:val="FootnoteText"/>
        <w:rPr>
          <w:rFonts w:cs="Arial"/>
          <w:sz w:val="22"/>
          <w:szCs w:val="22"/>
        </w:rPr>
      </w:pPr>
      <w:r w:rsidRPr="001072A3">
        <w:rPr>
          <w:rStyle w:val="FootnoteReference"/>
          <w:rFonts w:cs="Arial"/>
          <w:sz w:val="22"/>
          <w:szCs w:val="22"/>
        </w:rPr>
        <w:footnoteRef/>
      </w:r>
      <w:r w:rsidR="00E864EB">
        <w:rPr>
          <w:rFonts w:cs="Arial"/>
          <w:sz w:val="22"/>
          <w:szCs w:val="22"/>
        </w:rPr>
        <w:t xml:space="preserve"> The </w:t>
      </w:r>
      <w:r w:rsidR="00E864EB" w:rsidRPr="000A047B">
        <w:rPr>
          <w:rFonts w:cs="Arial"/>
        </w:rPr>
        <w:t xml:space="preserve">Kings Fund (2018), Funding and staffing of NHS mental health providers: still waiting for parity. [ONLINE]. </w:t>
      </w:r>
      <w:r w:rsidR="006137E5">
        <w:rPr>
          <w:rFonts w:cs="Arial"/>
        </w:rPr>
        <w:t xml:space="preserve">Available </w:t>
      </w:r>
      <w:hyperlink r:id="rId3" w:history="1">
        <w:r w:rsidR="006137E5" w:rsidRPr="006137E5">
          <w:rPr>
            <w:rStyle w:val="Hyperlink"/>
            <w:rFonts w:cs="Arial"/>
          </w:rPr>
          <w:t>here.</w:t>
        </w:r>
      </w:hyperlink>
      <w:r w:rsidR="006137E5">
        <w:rPr>
          <w:rFonts w:cs="Arial"/>
        </w:rPr>
        <w:t xml:space="preserve"> </w:t>
      </w:r>
    </w:p>
  </w:footnote>
  <w:footnote w:id="5">
    <w:p w:rsidR="00F82E92" w:rsidRDefault="00F82E92">
      <w:pPr>
        <w:pStyle w:val="FootnoteText"/>
      </w:pPr>
      <w:r>
        <w:rPr>
          <w:rStyle w:val="FootnoteReference"/>
        </w:rPr>
        <w:footnoteRef/>
      </w:r>
      <w:r>
        <w:t xml:space="preserve"> </w:t>
      </w:r>
      <w:r w:rsidRPr="000A047B">
        <w:t xml:space="preserve">UK Independent Mechanism (2017), ‘Disability rights in the UK’ Para. 89 </w:t>
      </w:r>
      <w:r w:rsidR="006137E5">
        <w:t xml:space="preserve">Available </w:t>
      </w:r>
      <w:hyperlink r:id="rId4" w:history="1">
        <w:r w:rsidR="006137E5" w:rsidRPr="006137E5">
          <w:rPr>
            <w:rStyle w:val="Hyperlink"/>
          </w:rPr>
          <w:t>here</w:t>
        </w:r>
      </w:hyperlink>
      <w:r w:rsidR="006137E5">
        <w:t xml:space="preserve">. </w:t>
      </w:r>
    </w:p>
  </w:footnote>
  <w:footnote w:id="6">
    <w:p w:rsidR="00331D98" w:rsidRDefault="00331D98">
      <w:pPr>
        <w:pStyle w:val="FootnoteText"/>
      </w:pPr>
      <w:r>
        <w:rPr>
          <w:rStyle w:val="FootnoteReference"/>
        </w:rPr>
        <w:footnoteRef/>
      </w:r>
      <w:r>
        <w:t xml:space="preserve"> </w:t>
      </w:r>
      <w:r w:rsidR="00F3081F">
        <w:t xml:space="preserve">Treaty monitoring page is available </w:t>
      </w:r>
      <w:hyperlink r:id="rId5" w:history="1">
        <w:r w:rsidR="00F3081F" w:rsidRPr="00F3081F">
          <w:rPr>
            <w:rStyle w:val="Hyperlink"/>
          </w:rPr>
          <w:t>here.</w:t>
        </w:r>
      </w:hyperlink>
      <w:r w:rsidR="00F3081F">
        <w:t xml:space="preserve"> </w:t>
      </w:r>
    </w:p>
  </w:footnote>
  <w:footnote w:id="7">
    <w:p w:rsidR="00331435" w:rsidRPr="00251603" w:rsidRDefault="00331435" w:rsidP="00251603">
      <w:pPr>
        <w:pStyle w:val="HChG"/>
        <w:spacing w:before="0" w:after="100" w:afterAutospacing="1"/>
        <w:ind w:left="142" w:right="0" w:hanging="142"/>
        <w:rPr>
          <w:rFonts w:ascii="Arial" w:hAnsi="Arial" w:cs="Arial"/>
          <w:sz w:val="22"/>
          <w:szCs w:val="22"/>
        </w:rPr>
      </w:pPr>
      <w:r w:rsidRPr="00582BAD">
        <w:rPr>
          <w:rStyle w:val="FootnoteReference"/>
          <w:sz w:val="24"/>
          <w:szCs w:val="24"/>
        </w:rPr>
        <w:footnoteRef/>
      </w:r>
      <w:r w:rsidRPr="00582BAD">
        <w:rPr>
          <w:sz w:val="24"/>
          <w:szCs w:val="24"/>
        </w:rPr>
        <w:t xml:space="preserve"> </w:t>
      </w:r>
      <w:r w:rsidR="00251603">
        <w:rPr>
          <w:rFonts w:ascii="Arial" w:hAnsi="Arial" w:cs="Arial"/>
          <w:b w:val="0"/>
          <w:sz w:val="20"/>
        </w:rPr>
        <w:t xml:space="preserve"> </w:t>
      </w:r>
      <w:r w:rsidR="00BB5BF5" w:rsidRPr="006219DB">
        <w:rPr>
          <w:rFonts w:ascii="Arial" w:hAnsi="Arial" w:cs="Arial"/>
          <w:b w:val="0"/>
          <w:sz w:val="20"/>
        </w:rPr>
        <w:t>Concluding observations on the sixth periodic report of the United Kingdom of Great Britain and Northern Ireland July 2016, Paras 57-58</w:t>
      </w:r>
      <w:r w:rsidR="00F3081F">
        <w:rPr>
          <w:rFonts w:ascii="Arial" w:hAnsi="Arial" w:cs="Arial"/>
          <w:b w:val="0"/>
          <w:sz w:val="20"/>
        </w:rPr>
        <w:t xml:space="preserve">. Available </w:t>
      </w:r>
      <w:hyperlink r:id="rId6" w:history="1">
        <w:r w:rsidR="00F3081F" w:rsidRPr="00F3081F">
          <w:rPr>
            <w:rStyle w:val="Hyperlink"/>
            <w:rFonts w:ascii="Arial" w:hAnsi="Arial" w:cs="Arial"/>
            <w:b w:val="0"/>
            <w:sz w:val="20"/>
          </w:rPr>
          <w:t>here</w:t>
        </w:r>
      </w:hyperlink>
    </w:p>
  </w:footnote>
  <w:footnote w:id="8">
    <w:p w:rsidR="00331D98" w:rsidRDefault="00331D98" w:rsidP="00B103F8">
      <w:pPr>
        <w:pStyle w:val="FootnoteText"/>
      </w:pPr>
      <w:r w:rsidRPr="001072A3">
        <w:rPr>
          <w:rStyle w:val="FootnoteReference"/>
          <w:rFonts w:cs="Arial"/>
          <w:sz w:val="22"/>
          <w:szCs w:val="22"/>
        </w:rPr>
        <w:footnoteRef/>
      </w:r>
      <w:r w:rsidR="00BB5BF5">
        <w:rPr>
          <w:rFonts w:cs="Arial"/>
          <w:sz w:val="22"/>
          <w:szCs w:val="22"/>
        </w:rPr>
        <w:t xml:space="preserve"> </w:t>
      </w:r>
      <w:r w:rsidR="00BB5BF5" w:rsidRPr="006219DB">
        <w:rPr>
          <w:rFonts w:cs="Arial"/>
        </w:rPr>
        <w:t>For more information on ‘Is Britain Fairer? 2015’ see</w:t>
      </w:r>
      <w:r w:rsidR="00F3081F">
        <w:rPr>
          <w:rFonts w:cs="Arial"/>
        </w:rPr>
        <w:t xml:space="preserve"> </w:t>
      </w:r>
      <w:hyperlink r:id="rId7" w:history="1">
        <w:r w:rsidR="00F3081F" w:rsidRPr="00F3081F">
          <w:rPr>
            <w:rStyle w:val="Hyperlink"/>
            <w:rFonts w:cs="Arial"/>
          </w:rPr>
          <w:t xml:space="preserve">here. </w:t>
        </w:r>
      </w:hyperlink>
      <w:r w:rsidR="00F3081F">
        <w:rPr>
          <w:rFonts w:cs="Arial"/>
        </w:rPr>
        <w:t xml:space="preserve"> </w:t>
      </w:r>
    </w:p>
  </w:footnote>
  <w:footnote w:id="9">
    <w:p w:rsidR="00331D98" w:rsidRDefault="00331D98" w:rsidP="00000A9E">
      <w:pPr>
        <w:pStyle w:val="FootnoteText"/>
      </w:pPr>
      <w:r>
        <w:rPr>
          <w:rStyle w:val="FootnoteReference"/>
        </w:rPr>
        <w:footnoteRef/>
      </w:r>
      <w:r>
        <w:t xml:space="preserve"> </w:t>
      </w:r>
      <w:r w:rsidR="00BB5BF5" w:rsidRPr="006219DB">
        <w:rPr>
          <w:rFonts w:cs="Arial"/>
        </w:rPr>
        <w:t>Equality and Human Rights Commission (2017), Inquiry into housing for disable</w:t>
      </w:r>
      <w:r w:rsidR="00F3081F">
        <w:rPr>
          <w:rFonts w:cs="Arial"/>
        </w:rPr>
        <w:t xml:space="preserve">d people. [ONLINE]. Available </w:t>
      </w:r>
      <w:hyperlink r:id="rId8" w:history="1">
        <w:r w:rsidR="00F3081F" w:rsidRPr="00F3081F">
          <w:rPr>
            <w:rStyle w:val="Hyperlink"/>
            <w:rFonts w:cs="Arial"/>
          </w:rPr>
          <w:t>here</w:t>
        </w:r>
      </w:hyperlink>
      <w:r w:rsidR="00F3081F">
        <w:rPr>
          <w:rFonts w:cs="Arial"/>
        </w:rPr>
        <w:t>.</w:t>
      </w:r>
    </w:p>
  </w:footnote>
  <w:footnote w:id="10">
    <w:p w:rsidR="00331D98" w:rsidRDefault="00331D98">
      <w:pPr>
        <w:pStyle w:val="FootnoteText"/>
      </w:pPr>
      <w:r>
        <w:rPr>
          <w:rStyle w:val="FootnoteReference"/>
        </w:rPr>
        <w:footnoteRef/>
      </w:r>
      <w:r>
        <w:t xml:space="preserve"> </w:t>
      </w:r>
      <w:r w:rsidR="00BB5BF5" w:rsidRPr="006219DB">
        <w:rPr>
          <w:rFonts w:cs="Arial"/>
        </w:rPr>
        <w:t>BBC News (2017), Mental health patients stranded in units f</w:t>
      </w:r>
      <w:r w:rsidR="00F3081F">
        <w:rPr>
          <w:rFonts w:cs="Arial"/>
        </w:rPr>
        <w:t xml:space="preserve">or years [ONLINE].  Available </w:t>
      </w:r>
      <w:hyperlink r:id="rId9" w:history="1">
        <w:r w:rsidR="00F3081F" w:rsidRPr="00F3081F">
          <w:rPr>
            <w:rStyle w:val="Hyperlink"/>
            <w:rFonts w:cs="Arial"/>
          </w:rPr>
          <w:t>here.</w:t>
        </w:r>
        <w:r w:rsidR="00BB5BF5" w:rsidRPr="00F3081F">
          <w:rPr>
            <w:rStyle w:val="Hyperlink"/>
            <w:rFonts w:cs="Arial"/>
          </w:rPr>
          <w:t xml:space="preserve"> </w:t>
        </w:r>
      </w:hyperlink>
    </w:p>
  </w:footnote>
  <w:footnote w:id="11">
    <w:p w:rsidR="00331D98" w:rsidRDefault="00331D98">
      <w:pPr>
        <w:pStyle w:val="FootnoteText"/>
      </w:pPr>
      <w:r>
        <w:rPr>
          <w:rStyle w:val="FootnoteReference"/>
        </w:rPr>
        <w:footnoteRef/>
      </w:r>
      <w:r>
        <w:t xml:space="preserve"> </w:t>
      </w:r>
      <w:r w:rsidR="000F581F" w:rsidRPr="000F581F">
        <w:t>Mind (2017), ‘Brick by brick – A review of mental h</w:t>
      </w:r>
      <w:r w:rsidR="00F3081F">
        <w:t xml:space="preserve">ealth and housing’. Available </w:t>
      </w:r>
      <w:hyperlink r:id="rId10" w:history="1">
        <w:r w:rsidR="00F3081F" w:rsidRPr="00F3081F">
          <w:rPr>
            <w:rStyle w:val="Hyperlink"/>
          </w:rPr>
          <w:t>here</w:t>
        </w:r>
      </w:hyperlink>
      <w:r w:rsidR="00F3081F">
        <w:rPr>
          <w:color w:val="0000FF"/>
          <w:u w:val="single"/>
        </w:rPr>
        <w:t>.</w:t>
      </w:r>
    </w:p>
  </w:footnote>
  <w:footnote w:id="12">
    <w:p w:rsidR="00C45673" w:rsidRDefault="00C45673">
      <w:pPr>
        <w:pStyle w:val="FootnoteText"/>
      </w:pPr>
      <w:r>
        <w:rPr>
          <w:rStyle w:val="FootnoteReference"/>
        </w:rPr>
        <w:footnoteRef/>
      </w:r>
      <w:r>
        <w:t xml:space="preserve"> UKIM (2017), ‘Disability rights in the UK: Updated submission to the UN Committee on the Rights of Persons with Disabilities in advance of the public examination of the UK’s implementation of </w:t>
      </w:r>
      <w:r w:rsidR="00F3081F">
        <w:t xml:space="preserve">the UN CRPD’, p 50. Available </w:t>
      </w:r>
      <w:hyperlink r:id="rId11" w:history="1">
        <w:r w:rsidR="00F3081F" w:rsidRPr="00F3081F">
          <w:rPr>
            <w:rStyle w:val="Hyperlink"/>
          </w:rPr>
          <w:t>here</w:t>
        </w:r>
      </w:hyperlink>
      <w:r>
        <w:t xml:space="preserve">: </w:t>
      </w:r>
    </w:p>
  </w:footnote>
  <w:footnote w:id="13">
    <w:p w:rsidR="00331D98" w:rsidRDefault="00331D98" w:rsidP="006C00F6">
      <w:pPr>
        <w:pStyle w:val="FootnoteText"/>
      </w:pPr>
      <w:r>
        <w:rPr>
          <w:rStyle w:val="FootnoteReference"/>
        </w:rPr>
        <w:footnoteRef/>
      </w:r>
      <w:r>
        <w:t xml:space="preserve"> </w:t>
      </w:r>
      <w:r w:rsidR="000F581F" w:rsidRPr="000F581F">
        <w:t>Equality Act 2010</w:t>
      </w:r>
      <w:r w:rsidR="00C53EA1">
        <w:t xml:space="preserve">. Available </w:t>
      </w:r>
      <w:hyperlink r:id="rId12" w:history="1">
        <w:r w:rsidR="00C53EA1" w:rsidRPr="00C53EA1">
          <w:rPr>
            <w:rStyle w:val="Hyperlink"/>
          </w:rPr>
          <w:t xml:space="preserve">here. </w:t>
        </w:r>
      </w:hyperlink>
    </w:p>
  </w:footnote>
  <w:footnote w:id="14">
    <w:p w:rsidR="00331D98" w:rsidRDefault="00331D98">
      <w:pPr>
        <w:pStyle w:val="FootnoteText"/>
      </w:pPr>
      <w:r>
        <w:rPr>
          <w:rStyle w:val="FootnoteReference"/>
        </w:rPr>
        <w:footnoteRef/>
      </w:r>
      <w:r w:rsidR="000F581F">
        <w:t xml:space="preserve"> </w:t>
      </w:r>
      <w:r w:rsidR="000F581F" w:rsidRPr="00C80894">
        <w:t>S.149, Equality Act 2010</w:t>
      </w:r>
      <w:r w:rsidR="00C53EA1">
        <w:t xml:space="preserve">. Available </w:t>
      </w:r>
      <w:hyperlink r:id="rId13" w:history="1">
        <w:r w:rsidR="00C53EA1" w:rsidRPr="00C53EA1">
          <w:rPr>
            <w:rStyle w:val="Hyperlink"/>
          </w:rPr>
          <w:t>here</w:t>
        </w:r>
      </w:hyperlink>
      <w:r w:rsidR="00321DE8">
        <w:t>.</w:t>
      </w:r>
    </w:p>
  </w:footnote>
  <w:footnote w:id="15">
    <w:p w:rsidR="00331D98" w:rsidRDefault="00331D98" w:rsidP="00922CD3">
      <w:pPr>
        <w:pStyle w:val="FootnoteText"/>
      </w:pPr>
      <w:r>
        <w:rPr>
          <w:rStyle w:val="FootnoteReference"/>
        </w:rPr>
        <w:footnoteRef/>
      </w:r>
      <w:r>
        <w:t xml:space="preserve"> </w:t>
      </w:r>
      <w:r w:rsidR="007647FA">
        <w:t xml:space="preserve">EHRC (2017), ‘Race rights in the UK: Submission to the UN Committee on the Elimination of Racial Discrimination’. Available </w:t>
      </w:r>
      <w:hyperlink r:id="rId14" w:history="1">
        <w:r w:rsidR="00C53EA1" w:rsidRPr="00C53EA1">
          <w:rPr>
            <w:rStyle w:val="Hyperlink"/>
          </w:rPr>
          <w:t>here</w:t>
        </w:r>
      </w:hyperlink>
      <w:r w:rsidR="00C53EA1">
        <w:t>.</w:t>
      </w:r>
    </w:p>
  </w:footnote>
  <w:footnote w:id="16">
    <w:p w:rsidR="00331D98" w:rsidRDefault="00331D98" w:rsidP="00922CD3">
      <w:pPr>
        <w:pStyle w:val="FootnoteText"/>
      </w:pPr>
      <w:r>
        <w:rPr>
          <w:rStyle w:val="FootnoteReference"/>
        </w:rPr>
        <w:footnoteRef/>
      </w:r>
      <w:r w:rsidR="00600766">
        <w:t xml:space="preserve"> UN CERD (2016), ‘Concluding observations on the combined twenty-first to twenty-third periodic reports of the United Kingdom of Great Britain and Northern Irel</w:t>
      </w:r>
      <w:r w:rsidR="00C53EA1">
        <w:t xml:space="preserve">and, paras 30-31. Available </w:t>
      </w:r>
      <w:hyperlink r:id="rId15" w:history="1">
        <w:r w:rsidR="00C53EA1" w:rsidRPr="00C53EA1">
          <w:rPr>
            <w:rStyle w:val="Hyperlink"/>
          </w:rPr>
          <w:t xml:space="preserve">here. </w:t>
        </w:r>
      </w:hyperlink>
      <w:r w:rsidR="00C53EA1">
        <w:t xml:space="preserve"> </w:t>
      </w:r>
    </w:p>
  </w:footnote>
  <w:footnote w:id="17">
    <w:p w:rsidR="00977A14" w:rsidRDefault="00977A14">
      <w:pPr>
        <w:pStyle w:val="FootnoteText"/>
      </w:pPr>
      <w:r>
        <w:rPr>
          <w:rStyle w:val="FootnoteReference"/>
        </w:rPr>
        <w:footnoteRef/>
      </w:r>
      <w:r>
        <w:t xml:space="preserve"> NHS Digital (2017), Mental Health Act Statistics, Annual Figures: 2016-1</w:t>
      </w:r>
      <w:bookmarkStart w:id="0" w:name="_GoBack"/>
      <w:bookmarkEnd w:id="0"/>
      <w:r>
        <w:t>7, Experimental Statistics.</w:t>
      </w:r>
    </w:p>
  </w:footnote>
  <w:footnote w:id="18">
    <w:p w:rsidR="00331D98" w:rsidRDefault="00331D98" w:rsidP="00922CD3">
      <w:pPr>
        <w:pStyle w:val="FootnoteText"/>
      </w:pPr>
      <w:r>
        <w:rPr>
          <w:rStyle w:val="FootnoteReference"/>
        </w:rPr>
        <w:footnoteRef/>
      </w:r>
      <w:r w:rsidR="00600766">
        <w:t xml:space="preserve"> </w:t>
      </w:r>
      <w:r w:rsidR="00977A14">
        <w:t>UN CERD (2016), ‘Concluding observations on the combined twenty-first to twenty-third periodic reports of the United Kingdom of Great Britain and Northern Irel</w:t>
      </w:r>
      <w:r w:rsidR="00C53EA1">
        <w:t xml:space="preserve">and, paras 30-31. Available </w:t>
      </w:r>
      <w:hyperlink r:id="rId16" w:history="1">
        <w:r w:rsidR="00C53EA1" w:rsidRPr="00C53EA1">
          <w:rPr>
            <w:rStyle w:val="Hyperlink"/>
          </w:rPr>
          <w:t>here.</w:t>
        </w:r>
      </w:hyperlink>
      <w:r w:rsidR="00C53EA1">
        <w:t xml:space="preserve"> </w:t>
      </w:r>
    </w:p>
  </w:footnote>
  <w:footnote w:id="19">
    <w:p w:rsidR="000F581F" w:rsidRDefault="000F581F">
      <w:pPr>
        <w:pStyle w:val="FootnoteText"/>
      </w:pPr>
      <w:r>
        <w:rPr>
          <w:rStyle w:val="FootnoteReference"/>
        </w:rPr>
        <w:footnoteRef/>
      </w:r>
      <w:r>
        <w:t xml:space="preserve"> </w:t>
      </w:r>
      <w:r w:rsidRPr="00C80894">
        <w:t>EHRC (2017), ‘Race rights in the UK – Submission to the UN Committee on the Elimination of Racial Discrimination in accordance with the Committee’s procedures to follow up on Concluding Observations’, section 4.7, Pages 35-36</w:t>
      </w:r>
      <w:r w:rsidR="00C53EA1">
        <w:t xml:space="preserve">. Available </w:t>
      </w:r>
      <w:hyperlink r:id="rId17" w:history="1">
        <w:r w:rsidR="00C53EA1" w:rsidRPr="00C53EA1">
          <w:rPr>
            <w:rStyle w:val="Hyperlink"/>
          </w:rPr>
          <w:t>here</w:t>
        </w:r>
      </w:hyperlink>
      <w:r w:rsidR="00C53EA1">
        <w:t xml:space="preserve">. </w:t>
      </w:r>
    </w:p>
  </w:footnote>
  <w:footnote w:id="20">
    <w:p w:rsidR="00600766" w:rsidRDefault="00600766" w:rsidP="00600766">
      <w:pPr>
        <w:pStyle w:val="FootnoteText"/>
      </w:pPr>
      <w:r>
        <w:rPr>
          <w:rStyle w:val="FootnoteReference"/>
        </w:rPr>
        <w:footnoteRef/>
      </w:r>
      <w:r>
        <w:t xml:space="preserve"> CPRD (2017), ‘Concluding Observations on the initial report of the United Kingdom of Great Britain and Northern Irel</w:t>
      </w:r>
      <w:r w:rsidR="00C53EA1">
        <w:t xml:space="preserve">and’, paras 30-31. Available at </w:t>
      </w:r>
      <w:hyperlink r:id="rId18" w:history="1">
        <w:r w:rsidR="00C53EA1" w:rsidRPr="00C53EA1">
          <w:rPr>
            <w:rStyle w:val="Hyperlink"/>
          </w:rPr>
          <w:t xml:space="preserve">here. </w:t>
        </w:r>
      </w:hyperlink>
      <w:r>
        <w:t xml:space="preserve"> </w:t>
      </w:r>
    </w:p>
  </w:footnote>
  <w:footnote w:id="21">
    <w:p w:rsidR="00600766" w:rsidRDefault="00600766" w:rsidP="00600766">
      <w:pPr>
        <w:pStyle w:val="FootnoteText"/>
      </w:pPr>
      <w:r>
        <w:rPr>
          <w:rStyle w:val="FootnoteReference"/>
        </w:rPr>
        <w:footnoteRef/>
      </w:r>
      <w:r>
        <w:t xml:space="preserve"> EHRC (2015), ‘Children’s Rights in the UK: EHRC Submission to the United Nations Committee on the Rights of the Child on the UK’s implementation of t</w:t>
      </w:r>
      <w:r w:rsidR="00BA4E83">
        <w:t xml:space="preserve">he CRC’, para 114. Available </w:t>
      </w:r>
      <w:hyperlink r:id="rId19" w:history="1">
        <w:r w:rsidR="00BA4E83" w:rsidRPr="00BA4E83">
          <w:rPr>
            <w:rStyle w:val="Hyperlink"/>
          </w:rPr>
          <w:t>here</w:t>
        </w:r>
      </w:hyperlink>
      <w:r w:rsidR="00BA4E83" w:rsidRPr="00BA4E83">
        <w:t>.</w:t>
      </w:r>
      <w:r w:rsidR="00BA4E83">
        <w:t xml:space="preserve"> </w:t>
      </w:r>
      <w:r>
        <w:t xml:space="preserve"> </w:t>
      </w:r>
    </w:p>
  </w:footnote>
  <w:footnote w:id="22">
    <w:p w:rsidR="00354087" w:rsidRDefault="00331D98">
      <w:pPr>
        <w:pStyle w:val="FootnoteText"/>
      </w:pPr>
      <w:r>
        <w:rPr>
          <w:rStyle w:val="FootnoteReference"/>
        </w:rPr>
        <w:footnoteRef/>
      </w:r>
      <w:r>
        <w:t xml:space="preserve"> </w:t>
      </w:r>
      <w:r w:rsidR="00BA4E83">
        <w:rPr>
          <w:rStyle w:val="Hyperlink"/>
        </w:rPr>
        <w:t>Available here.</w:t>
      </w:r>
    </w:p>
  </w:footnote>
  <w:footnote w:id="23">
    <w:p w:rsidR="00354087" w:rsidRDefault="00354087">
      <w:pPr>
        <w:pStyle w:val="FootnoteText"/>
      </w:pPr>
      <w:r>
        <w:rPr>
          <w:rStyle w:val="FootnoteReference"/>
        </w:rPr>
        <w:footnoteRef/>
      </w:r>
      <w:r>
        <w:t xml:space="preserve"> Ibid.,</w:t>
      </w:r>
    </w:p>
  </w:footnote>
  <w:footnote w:id="24">
    <w:p w:rsidR="00586532" w:rsidRDefault="00586532" w:rsidP="00586532">
      <w:pPr>
        <w:pStyle w:val="FootnoteText"/>
      </w:pPr>
      <w:r>
        <w:rPr>
          <w:rStyle w:val="FootnoteReference"/>
        </w:rPr>
        <w:footnoteRef/>
      </w:r>
      <w:r>
        <w:t xml:space="preserve"> Ibid., P66</w:t>
      </w:r>
    </w:p>
  </w:footnote>
  <w:footnote w:id="25">
    <w:p w:rsidR="00586532" w:rsidRPr="006774E0" w:rsidRDefault="00586532" w:rsidP="00586532">
      <w:pPr>
        <w:pStyle w:val="FootnoteText"/>
        <w:contextualSpacing/>
        <w:rPr>
          <w:rFonts w:cs="Arial"/>
          <w:color w:val="000000" w:themeColor="text1"/>
        </w:rPr>
      </w:pPr>
      <w:r>
        <w:rPr>
          <w:rStyle w:val="FootnoteReference"/>
        </w:rPr>
        <w:footnoteRef/>
      </w:r>
      <w:r>
        <w:t xml:space="preserve"> UKIM (2017), ‘Disability rights in the UK: Updated submission to the UN Committee on the Rights of Persons with Disabilities in advance of the public examination of the UK’s implementation of the UN CRPD’, p 74. Available at</w:t>
      </w:r>
      <w:r w:rsidR="00BA4E83">
        <w:t xml:space="preserve"> </w:t>
      </w:r>
      <w:hyperlink r:id="rId20" w:history="1">
        <w:r w:rsidR="00BA4E83" w:rsidRPr="00BA4E83">
          <w:rPr>
            <w:rStyle w:val="Hyperlink"/>
          </w:rPr>
          <w:t>here</w:t>
        </w:r>
      </w:hyperlink>
      <w:r w:rsidR="00BA4E83">
        <w:t xml:space="preserve">. </w:t>
      </w:r>
    </w:p>
    <w:p w:rsidR="00586532" w:rsidRDefault="00586532" w:rsidP="00586532">
      <w:pPr>
        <w:pStyle w:val="FootnoteText"/>
        <w:contextualSpacing/>
      </w:pPr>
      <w:r w:rsidRPr="006774E0">
        <w:rPr>
          <w:rStyle w:val="FootnoteReference"/>
          <w:rFonts w:cs="Arial"/>
          <w:color w:val="000000" w:themeColor="text1"/>
        </w:rPr>
        <w:footnoteRef/>
      </w:r>
      <w:r>
        <w:rPr>
          <w:rFonts w:cs="Arial"/>
          <w:color w:val="000000" w:themeColor="text1"/>
        </w:rPr>
        <w:t xml:space="preserve"> Ibid.</w:t>
      </w:r>
      <w:r w:rsidRPr="006774E0">
        <w:rPr>
          <w:rFonts w:cs="Arial"/>
          <w:color w:val="000000" w:themeColor="text1"/>
        </w:rPr>
        <w:t>, p</w:t>
      </w:r>
      <w:r>
        <w:rPr>
          <w:rFonts w:cs="Arial"/>
          <w:color w:val="000000" w:themeColor="text1"/>
        </w:rPr>
        <w:t>.</w:t>
      </w:r>
      <w:r w:rsidRPr="006774E0">
        <w:rPr>
          <w:rFonts w:cs="Arial"/>
          <w:color w:val="000000" w:themeColor="text1"/>
        </w:rPr>
        <w:t>46. The EHRC and Children’s Commissioner for England highlighted these issues to the Minister for State for Health (letter 10 August 2016, unpublished). The response to the letter (</w:t>
      </w:r>
      <w:r>
        <w:rPr>
          <w:rFonts w:cs="Arial"/>
          <w:color w:val="000000" w:themeColor="text1"/>
        </w:rPr>
        <w:t xml:space="preserve">21 </w:t>
      </w:r>
      <w:r w:rsidRPr="006774E0">
        <w:rPr>
          <w:rFonts w:cs="Arial"/>
          <w:color w:val="000000" w:themeColor="text1"/>
        </w:rPr>
        <w:t>March 2017</w:t>
      </w:r>
      <w:r w:rsidR="00914ECB">
        <w:rPr>
          <w:rFonts w:cs="Arial"/>
          <w:color w:val="000000" w:themeColor="text1"/>
        </w:rPr>
        <w:t>, unpublished</w:t>
      </w:r>
      <w:r w:rsidRPr="006774E0">
        <w:rPr>
          <w:rFonts w:cs="Arial"/>
          <w:color w:val="000000" w:themeColor="text1"/>
        </w:rPr>
        <w:t xml:space="preserve">) acknowledges the concerns about the long-term detention of young people with learning disabilities/autism in mental health settings for prolonged periods of time. The letter refers to the Transforming Care programme, and the </w:t>
      </w:r>
      <w:r>
        <w:rPr>
          <w:rFonts w:cs="Arial"/>
          <w:color w:val="000000" w:themeColor="text1"/>
        </w:rPr>
        <w:t>recommendations of the Lenehan r</w:t>
      </w:r>
      <w:r w:rsidRPr="006774E0">
        <w:rPr>
          <w:rFonts w:cs="Arial"/>
          <w:color w:val="000000" w:themeColor="text1"/>
        </w:rPr>
        <w:t>eview</w:t>
      </w:r>
      <w:r>
        <w:rPr>
          <w:rFonts w:cs="Arial"/>
          <w:color w:val="000000" w:themeColor="text1"/>
        </w:rPr>
        <w:t xml:space="preserve">. However, it is unclear whether </w:t>
      </w:r>
      <w:r w:rsidRPr="006774E0">
        <w:rPr>
          <w:rFonts w:cs="Arial"/>
          <w:color w:val="000000" w:themeColor="text1"/>
        </w:rPr>
        <w:t xml:space="preserve">these </w:t>
      </w:r>
      <w:r>
        <w:rPr>
          <w:rFonts w:cs="Arial"/>
          <w:color w:val="000000" w:themeColor="text1"/>
        </w:rPr>
        <w:t xml:space="preserve">initiatives will </w:t>
      </w:r>
      <w:r w:rsidRPr="006774E0">
        <w:rPr>
          <w:rFonts w:cs="Arial"/>
          <w:color w:val="000000" w:themeColor="text1"/>
        </w:rPr>
        <w:t>transform the system sufficiently to ensure that children and a</w:t>
      </w:r>
      <w:r>
        <w:rPr>
          <w:rFonts w:cs="Arial"/>
          <w:color w:val="000000" w:themeColor="text1"/>
        </w:rPr>
        <w:t>dults with learning disabilities</w:t>
      </w:r>
      <w:r w:rsidRPr="006774E0">
        <w:rPr>
          <w:rFonts w:cs="Arial"/>
          <w:color w:val="000000" w:themeColor="text1"/>
        </w:rPr>
        <w:t xml:space="preserve"> are not inappropriately detained. </w:t>
      </w:r>
    </w:p>
  </w:footnote>
  <w:footnote w:id="26">
    <w:p w:rsidR="00586532" w:rsidRDefault="00586532" w:rsidP="00586532">
      <w:pPr>
        <w:pStyle w:val="FootnoteText"/>
      </w:pPr>
      <w:r>
        <w:rPr>
          <w:rStyle w:val="FootnoteReference"/>
        </w:rPr>
        <w:footnoteRef/>
      </w:r>
      <w:r>
        <w:t xml:space="preserve"> UKIM (2017), ‘Disability rights in the UK: Updated submission to the UN Committee on the Rights of Persons with Disabilities in advance of the public examination of the UK’s implementation of </w:t>
      </w:r>
      <w:r w:rsidR="00BA4E83">
        <w:t xml:space="preserve">the UN CRPD’, p 28. Available </w:t>
      </w:r>
      <w:hyperlink r:id="rId21" w:history="1">
        <w:r w:rsidR="00BA4E83" w:rsidRPr="00BA4E83">
          <w:rPr>
            <w:rStyle w:val="Hyperlink"/>
          </w:rPr>
          <w:t>here</w:t>
        </w:r>
      </w:hyperlink>
      <w:r w:rsidR="00BA4E83">
        <w:t xml:space="preserve">. </w:t>
      </w:r>
      <w:r>
        <w:t xml:space="preserve"> </w:t>
      </w:r>
    </w:p>
  </w:footnote>
  <w:footnote w:id="27">
    <w:p w:rsidR="00586532" w:rsidRDefault="00586532" w:rsidP="00586532">
      <w:pPr>
        <w:pStyle w:val="FootnoteText"/>
      </w:pPr>
      <w:r>
        <w:rPr>
          <w:rStyle w:val="FootnoteReference"/>
        </w:rPr>
        <w:footnoteRef/>
      </w:r>
      <w:r>
        <w:t xml:space="preserve"> Ibid.</w:t>
      </w:r>
    </w:p>
  </w:footnote>
  <w:footnote w:id="28">
    <w:p w:rsidR="00331D98" w:rsidRDefault="00331D98">
      <w:pPr>
        <w:pStyle w:val="FootnoteText"/>
      </w:pPr>
      <w:r>
        <w:rPr>
          <w:rStyle w:val="FootnoteReference"/>
        </w:rPr>
        <w:footnoteRef/>
      </w:r>
      <w:r w:rsidR="00D15D88" w:rsidRPr="004D777A">
        <w:t xml:space="preserve">Committee on the Rights of Persons with Disabilities (2017), ‘Concluding observations on the initial report of the United Kingdom of Great Britain and Northern </w:t>
      </w:r>
      <w:r w:rsidR="00BA4E83">
        <w:t xml:space="preserve">Ireland’, para 35.  Available </w:t>
      </w:r>
      <w:hyperlink r:id="rId22" w:history="1">
        <w:r w:rsidR="00BA4E83" w:rsidRPr="00BA4E83">
          <w:rPr>
            <w:rStyle w:val="Hyperlink"/>
          </w:rPr>
          <w:t>here</w:t>
        </w:r>
        <w:r w:rsidR="00D15D88" w:rsidRPr="00BA4E83">
          <w:rPr>
            <w:rStyle w:val="Hyperlink"/>
          </w:rPr>
          <w:t>:</w:t>
        </w:r>
      </w:hyperlink>
    </w:p>
  </w:footnote>
  <w:footnote w:id="29">
    <w:p w:rsidR="00D032D8" w:rsidRPr="00D032D8" w:rsidRDefault="00D032D8" w:rsidP="00D032D8">
      <w:pPr>
        <w:pStyle w:val="FootnoteText"/>
        <w:rPr>
          <w:sz w:val="18"/>
          <w:szCs w:val="18"/>
        </w:rPr>
      </w:pPr>
      <w:r>
        <w:rPr>
          <w:rStyle w:val="FootnoteReference"/>
        </w:rPr>
        <w:footnoteRef/>
      </w:r>
      <w:r w:rsidR="00BA4E83">
        <w:rPr>
          <w:sz w:val="18"/>
          <w:szCs w:val="18"/>
        </w:rPr>
        <w:t xml:space="preserve">Available </w:t>
      </w:r>
      <w:hyperlink r:id="rId23" w:history="1">
        <w:r w:rsidR="00BA4E83" w:rsidRPr="00BA4E83">
          <w:rPr>
            <w:rStyle w:val="Hyperlink"/>
            <w:sz w:val="18"/>
            <w:szCs w:val="18"/>
          </w:rPr>
          <w:t>here</w:t>
        </w:r>
      </w:hyperlink>
      <w:r w:rsidR="00BA4E83">
        <w:rPr>
          <w:sz w:val="18"/>
          <w:szCs w:val="18"/>
        </w:rPr>
        <w:t>.</w:t>
      </w:r>
    </w:p>
  </w:footnote>
  <w:footnote w:id="30">
    <w:p w:rsidR="00D032D8" w:rsidRDefault="00D032D8" w:rsidP="00D032D8">
      <w:pPr>
        <w:pStyle w:val="FootnoteText"/>
      </w:pPr>
      <w:r>
        <w:rPr>
          <w:rStyle w:val="FootnoteReference"/>
        </w:rPr>
        <w:footnoteRef/>
      </w:r>
      <w:r>
        <w:t xml:space="preserve"> CRPD (2015), Guidelines on article 14 of the Convention on the Rights of Persons with Disabilities: The right to liberty and security of persons with disabil</w:t>
      </w:r>
      <w:r w:rsidR="00BA4E83">
        <w:t xml:space="preserve">ities, paras 6-9. Available </w:t>
      </w:r>
      <w:hyperlink r:id="rId24" w:history="1">
        <w:r w:rsidR="00BA4E83" w:rsidRPr="00BA4E83">
          <w:rPr>
            <w:rStyle w:val="Hyperlink"/>
          </w:rPr>
          <w:t>here</w:t>
        </w:r>
      </w:hyperlink>
      <w:r w:rsidR="00BA4E83">
        <w:t>.</w:t>
      </w:r>
    </w:p>
  </w:footnote>
  <w:footnote w:id="31">
    <w:p w:rsidR="00331D98" w:rsidRDefault="00331D98" w:rsidP="0069627A">
      <w:pPr>
        <w:autoSpaceDE w:val="0"/>
        <w:autoSpaceDN w:val="0"/>
        <w:rPr>
          <w:rFonts w:cs="Arial"/>
          <w:sz w:val="20"/>
          <w:szCs w:val="20"/>
        </w:rPr>
      </w:pPr>
      <w:r w:rsidRPr="005275A7">
        <w:rPr>
          <w:rStyle w:val="FootnoteReference"/>
          <w:sz w:val="20"/>
          <w:szCs w:val="20"/>
        </w:rPr>
        <w:footnoteRef/>
      </w:r>
      <w:r>
        <w:t xml:space="preserve"> </w:t>
      </w:r>
      <w:r w:rsidRPr="001072A3">
        <w:rPr>
          <w:rFonts w:cs="Arial"/>
          <w:sz w:val="20"/>
          <w:szCs w:val="20"/>
        </w:rPr>
        <w:t>Mead</w:t>
      </w:r>
      <w:r>
        <w:rPr>
          <w:rFonts w:cs="Arial"/>
          <w:sz w:val="20"/>
          <w:szCs w:val="20"/>
        </w:rPr>
        <w:t>, S.</w:t>
      </w:r>
      <w:r w:rsidRPr="0069627A">
        <w:rPr>
          <w:rFonts w:cs="Arial"/>
          <w:sz w:val="20"/>
          <w:szCs w:val="20"/>
        </w:rPr>
        <w:t xml:space="preserve"> and </w:t>
      </w:r>
      <w:r w:rsidRPr="001072A3">
        <w:rPr>
          <w:rFonts w:cs="Arial"/>
          <w:sz w:val="20"/>
          <w:szCs w:val="20"/>
        </w:rPr>
        <w:t>Copeland</w:t>
      </w:r>
      <w:r>
        <w:rPr>
          <w:rFonts w:cs="Arial"/>
          <w:sz w:val="20"/>
          <w:szCs w:val="20"/>
        </w:rPr>
        <w:t>, ME.</w:t>
      </w:r>
      <w:r w:rsidRPr="001072A3">
        <w:rPr>
          <w:rFonts w:cs="Arial"/>
          <w:sz w:val="20"/>
          <w:szCs w:val="20"/>
        </w:rPr>
        <w:t>, ‘What r</w:t>
      </w:r>
      <w:r w:rsidR="005275A7">
        <w:rPr>
          <w:rFonts w:cs="Arial"/>
          <w:sz w:val="20"/>
          <w:szCs w:val="20"/>
        </w:rPr>
        <w:t>ecovery means to us: Consumers'</w:t>
      </w:r>
      <w:r w:rsidR="00D15D88">
        <w:rPr>
          <w:rFonts w:cs="Arial"/>
          <w:sz w:val="20"/>
          <w:szCs w:val="20"/>
        </w:rPr>
        <w:t xml:space="preserve"> </w:t>
      </w:r>
      <w:r w:rsidRPr="001072A3">
        <w:rPr>
          <w:rFonts w:cs="Arial"/>
          <w:sz w:val="20"/>
          <w:szCs w:val="20"/>
        </w:rPr>
        <w:t xml:space="preserve">perspectives’ (2000) 36(3) </w:t>
      </w:r>
      <w:r w:rsidRPr="001072A3">
        <w:rPr>
          <w:rFonts w:cs="Arial"/>
          <w:i/>
          <w:iCs/>
          <w:sz w:val="20"/>
          <w:szCs w:val="20"/>
        </w:rPr>
        <w:t xml:space="preserve">Community mental health journal </w:t>
      </w:r>
      <w:r w:rsidRPr="001072A3">
        <w:rPr>
          <w:rFonts w:cs="Arial"/>
          <w:sz w:val="20"/>
          <w:szCs w:val="20"/>
        </w:rPr>
        <w:t xml:space="preserve">315; </w:t>
      </w:r>
    </w:p>
    <w:p w:rsidR="00331D98" w:rsidRPr="001072A3" w:rsidRDefault="00331D98" w:rsidP="0069627A">
      <w:pPr>
        <w:autoSpaceDE w:val="0"/>
        <w:autoSpaceDN w:val="0"/>
        <w:rPr>
          <w:rFonts w:cs="Arial"/>
          <w:sz w:val="20"/>
          <w:szCs w:val="20"/>
        </w:rPr>
      </w:pPr>
      <w:r w:rsidRPr="001072A3">
        <w:rPr>
          <w:rFonts w:cs="Arial"/>
          <w:sz w:val="20"/>
          <w:szCs w:val="20"/>
        </w:rPr>
        <w:t>Shery Mead, David Hilton and Laurie</w:t>
      </w:r>
      <w:r>
        <w:rPr>
          <w:rFonts w:cs="Arial"/>
          <w:sz w:val="20"/>
          <w:szCs w:val="20"/>
        </w:rPr>
        <w:t xml:space="preserve"> </w:t>
      </w:r>
      <w:r w:rsidRPr="001072A3">
        <w:rPr>
          <w:rFonts w:cs="Arial"/>
          <w:sz w:val="20"/>
          <w:szCs w:val="20"/>
        </w:rPr>
        <w:t xml:space="preserve">Curtis, ‘Peer support: a theoretical perspective’ (2001) 25(2) </w:t>
      </w:r>
      <w:r w:rsidRPr="001072A3">
        <w:rPr>
          <w:rFonts w:cs="Arial"/>
          <w:i/>
          <w:iCs/>
          <w:sz w:val="20"/>
          <w:szCs w:val="20"/>
        </w:rPr>
        <w:t xml:space="preserve">Psychiatric rehabilitation journal </w:t>
      </w:r>
      <w:r w:rsidRPr="001072A3">
        <w:rPr>
          <w:rFonts w:cs="Arial"/>
          <w:sz w:val="20"/>
          <w:szCs w:val="20"/>
        </w:rPr>
        <w:t>134;</w:t>
      </w:r>
    </w:p>
    <w:p w:rsidR="00331D98" w:rsidRPr="001072A3" w:rsidRDefault="00331D98" w:rsidP="0069627A">
      <w:pPr>
        <w:autoSpaceDE w:val="0"/>
        <w:autoSpaceDN w:val="0"/>
        <w:rPr>
          <w:rFonts w:cs="Arial"/>
          <w:sz w:val="20"/>
          <w:szCs w:val="20"/>
        </w:rPr>
      </w:pPr>
      <w:r w:rsidRPr="001072A3">
        <w:rPr>
          <w:rFonts w:cs="Arial"/>
          <w:sz w:val="20"/>
          <w:szCs w:val="20"/>
        </w:rPr>
        <w:t>Douglas Noordsy, William Torrey, Kim Mueser, Shery Mead, Chris O'Keefe and Lindy Fox, ‘Recovery</w:t>
      </w:r>
    </w:p>
    <w:p w:rsidR="00331D98" w:rsidRPr="001072A3" w:rsidRDefault="00331D98" w:rsidP="0069627A">
      <w:pPr>
        <w:autoSpaceDE w:val="0"/>
        <w:autoSpaceDN w:val="0"/>
        <w:rPr>
          <w:rFonts w:cs="Arial"/>
          <w:sz w:val="20"/>
          <w:szCs w:val="20"/>
        </w:rPr>
      </w:pPr>
      <w:r w:rsidRPr="001072A3">
        <w:rPr>
          <w:rFonts w:cs="Arial"/>
          <w:sz w:val="20"/>
          <w:szCs w:val="20"/>
        </w:rPr>
        <w:t>from severe mental illness: an intrapersonal and functional outcome definition’ (2002) 14(4)</w:t>
      </w:r>
    </w:p>
    <w:p w:rsidR="00331D98" w:rsidRPr="00721367" w:rsidRDefault="00331D98" w:rsidP="001072A3">
      <w:pPr>
        <w:rPr>
          <w:rFonts w:cs="Arial"/>
        </w:rPr>
      </w:pPr>
      <w:r w:rsidRPr="0069627A">
        <w:rPr>
          <w:rFonts w:cs="Arial"/>
          <w:i/>
          <w:iCs/>
          <w:sz w:val="20"/>
          <w:szCs w:val="20"/>
        </w:rPr>
        <w:t xml:space="preserve">International Review of Psychiatry </w:t>
      </w:r>
      <w:r w:rsidRPr="0069627A">
        <w:rPr>
          <w:rFonts w:cs="Arial"/>
          <w:sz w:val="20"/>
          <w:szCs w:val="20"/>
        </w:rPr>
        <w:t>318.</w:t>
      </w:r>
    </w:p>
  </w:footnote>
  <w:footnote w:id="32">
    <w:p w:rsidR="005275A7" w:rsidRPr="001072A3" w:rsidRDefault="005275A7" w:rsidP="005275A7">
      <w:pPr>
        <w:rPr>
          <w:rStyle w:val="highwire-cite-metadata-doi"/>
          <w:rFonts w:cs="Arial"/>
          <w:sz w:val="20"/>
          <w:szCs w:val="20"/>
          <w:lang w:val="en"/>
        </w:rPr>
      </w:pPr>
      <w:r w:rsidRPr="001072A3">
        <w:rPr>
          <w:rStyle w:val="FootnoteReference"/>
          <w:sz w:val="20"/>
          <w:szCs w:val="20"/>
        </w:rPr>
        <w:footnoteRef/>
      </w:r>
      <w:r w:rsidRPr="001072A3">
        <w:rPr>
          <w:sz w:val="20"/>
          <w:szCs w:val="20"/>
        </w:rPr>
        <w:t xml:space="preserve"> </w:t>
      </w:r>
      <w:r w:rsidRPr="001072A3">
        <w:rPr>
          <w:rFonts w:cs="Arial"/>
          <w:color w:val="1F497D"/>
          <w:sz w:val="20"/>
          <w:szCs w:val="20"/>
        </w:rPr>
        <w:t xml:space="preserve">George S. and Dawson, J (2006), </w:t>
      </w:r>
      <w:r w:rsidRPr="001072A3">
        <w:rPr>
          <w:rFonts w:cs="Arial"/>
          <w:i/>
          <w:iCs/>
          <w:color w:val="1F497D"/>
          <w:sz w:val="20"/>
          <w:szCs w:val="20"/>
        </w:rPr>
        <w:t>Fusion of mental health and incapacity legislation</w:t>
      </w:r>
      <w:r w:rsidRPr="001072A3">
        <w:rPr>
          <w:rFonts w:cs="Arial"/>
          <w:color w:val="1F497D"/>
          <w:sz w:val="20"/>
          <w:szCs w:val="20"/>
        </w:rPr>
        <w:t xml:space="preserve">, </w:t>
      </w:r>
      <w:r w:rsidRPr="001072A3">
        <w:rPr>
          <w:rStyle w:val="highwire-cite-metadata-journal"/>
          <w:rFonts w:cs="Arial"/>
          <w:sz w:val="20"/>
          <w:szCs w:val="20"/>
          <w:lang w:val="en"/>
        </w:rPr>
        <w:t xml:space="preserve">The British Journal of Psychiatry </w:t>
      </w:r>
      <w:r w:rsidRPr="001072A3">
        <w:rPr>
          <w:rStyle w:val="highwire-cite-metadata-date"/>
          <w:rFonts w:cs="Arial"/>
          <w:sz w:val="20"/>
          <w:szCs w:val="20"/>
          <w:lang w:val="en"/>
        </w:rPr>
        <w:t xml:space="preserve">May 2006, </w:t>
      </w:r>
      <w:r w:rsidRPr="001072A3">
        <w:rPr>
          <w:rStyle w:val="highwire-cite-metadata-volume"/>
          <w:rFonts w:cs="Arial"/>
          <w:sz w:val="20"/>
          <w:szCs w:val="20"/>
          <w:lang w:val="en"/>
        </w:rPr>
        <w:t xml:space="preserve">188 </w:t>
      </w:r>
      <w:r w:rsidRPr="001072A3">
        <w:rPr>
          <w:rStyle w:val="highwire-cite-metadata-issue"/>
          <w:rFonts w:cs="Arial"/>
          <w:sz w:val="20"/>
          <w:szCs w:val="20"/>
          <w:lang w:val="en"/>
        </w:rPr>
        <w:t xml:space="preserve">(6) </w:t>
      </w:r>
      <w:r w:rsidRPr="001072A3">
        <w:rPr>
          <w:rStyle w:val="highwire-cite-metadata-pages"/>
          <w:rFonts w:cs="Arial"/>
          <w:sz w:val="20"/>
          <w:szCs w:val="20"/>
          <w:lang w:val="en"/>
        </w:rPr>
        <w:t xml:space="preserve">504-509; </w:t>
      </w:r>
      <w:r w:rsidRPr="001072A3">
        <w:rPr>
          <w:rStyle w:val="label1"/>
          <w:rFonts w:cs="Arial"/>
          <w:sz w:val="20"/>
          <w:szCs w:val="20"/>
          <w:lang w:val="en"/>
        </w:rPr>
        <w:t>DOI:</w:t>
      </w:r>
      <w:r w:rsidRPr="001072A3">
        <w:rPr>
          <w:rStyle w:val="highwire-cite-metadata-doi"/>
          <w:rFonts w:cs="Arial"/>
          <w:sz w:val="20"/>
          <w:szCs w:val="20"/>
          <w:lang w:val="en"/>
        </w:rPr>
        <w:t xml:space="preserve"> 10.1192/bjp.188.6.504 </w:t>
      </w:r>
      <w:r>
        <w:rPr>
          <w:rStyle w:val="highwire-cite-metadata-doi"/>
          <w:rFonts w:cs="Arial"/>
          <w:sz w:val="20"/>
          <w:szCs w:val="20"/>
          <w:lang w:val="en"/>
        </w:rPr>
        <w:t xml:space="preserve"> </w:t>
      </w:r>
      <w:r w:rsidRPr="001072A3">
        <w:rPr>
          <w:rStyle w:val="highwire-cite-metadata-doi"/>
          <w:rFonts w:cs="Arial"/>
          <w:sz w:val="20"/>
          <w:szCs w:val="20"/>
          <w:lang w:val="en"/>
        </w:rPr>
        <w:t>And:</w:t>
      </w:r>
    </w:p>
    <w:p w:rsidR="005275A7" w:rsidRPr="001072A3" w:rsidRDefault="005275A7" w:rsidP="005275A7">
      <w:pPr>
        <w:rPr>
          <w:rFonts w:cs="Arial"/>
          <w:color w:val="1F497D"/>
        </w:rPr>
      </w:pPr>
      <w:r w:rsidRPr="001072A3">
        <w:rPr>
          <w:rStyle w:val="highwire-cite-metadata-doi"/>
          <w:rFonts w:cs="Arial"/>
          <w:sz w:val="20"/>
          <w:szCs w:val="20"/>
          <w:lang w:val="en"/>
        </w:rPr>
        <w:t xml:space="preserve">George, S. and Kelly, B. (2016), </w:t>
      </w:r>
      <w:r w:rsidRPr="001072A3">
        <w:rPr>
          <w:rStyle w:val="highwire-cite-metadata-doi"/>
          <w:rFonts w:cs="Arial"/>
          <w:i/>
          <w:iCs/>
          <w:sz w:val="20"/>
          <w:szCs w:val="20"/>
          <w:lang w:val="en"/>
        </w:rPr>
        <w:t>We should replace convention mental health law with capacity-based law</w:t>
      </w:r>
      <w:r w:rsidRPr="001072A3">
        <w:rPr>
          <w:rStyle w:val="highwire-cite-metadata-doi"/>
          <w:rFonts w:cs="Arial"/>
          <w:sz w:val="20"/>
          <w:szCs w:val="20"/>
          <w:lang w:val="en"/>
        </w:rPr>
        <w:t xml:space="preserve">, </w:t>
      </w:r>
      <w:r w:rsidRPr="001072A3">
        <w:rPr>
          <w:rStyle w:val="highwire-cite-metadata-journal"/>
          <w:rFonts w:cs="Arial"/>
          <w:sz w:val="20"/>
          <w:szCs w:val="20"/>
          <w:lang w:val="en"/>
        </w:rPr>
        <w:t xml:space="preserve">The British Journal of Psychiatry </w:t>
      </w:r>
      <w:r w:rsidRPr="001072A3">
        <w:rPr>
          <w:rStyle w:val="highwire-cite-metadata-date"/>
          <w:rFonts w:cs="Arial"/>
          <w:sz w:val="20"/>
          <w:szCs w:val="20"/>
          <w:lang w:val="en"/>
        </w:rPr>
        <w:t xml:space="preserve">Dec 2016, </w:t>
      </w:r>
      <w:r w:rsidRPr="001072A3">
        <w:rPr>
          <w:rStyle w:val="highwire-cite-metadata-volume"/>
          <w:rFonts w:cs="Arial"/>
          <w:sz w:val="20"/>
          <w:szCs w:val="20"/>
          <w:lang w:val="en"/>
        </w:rPr>
        <w:t xml:space="preserve">209 </w:t>
      </w:r>
      <w:r w:rsidRPr="001072A3">
        <w:rPr>
          <w:rStyle w:val="highwire-cite-metadata-issue"/>
          <w:rFonts w:cs="Arial"/>
          <w:sz w:val="20"/>
          <w:szCs w:val="20"/>
          <w:lang w:val="en"/>
        </w:rPr>
        <w:t xml:space="preserve">(6) </w:t>
      </w:r>
      <w:r w:rsidRPr="001072A3">
        <w:rPr>
          <w:rStyle w:val="highwire-cite-metadata-pages"/>
          <w:rFonts w:cs="Arial"/>
          <w:sz w:val="20"/>
          <w:szCs w:val="20"/>
          <w:lang w:val="en"/>
        </w:rPr>
        <w:t xml:space="preserve">449-453; </w:t>
      </w:r>
      <w:r w:rsidRPr="001072A3">
        <w:rPr>
          <w:rStyle w:val="label1"/>
          <w:rFonts w:cs="Arial"/>
          <w:sz w:val="20"/>
          <w:szCs w:val="20"/>
          <w:lang w:val="en"/>
        </w:rPr>
        <w:t>DOI:</w:t>
      </w:r>
      <w:r w:rsidRPr="001072A3">
        <w:rPr>
          <w:rStyle w:val="highwire-cite-metadata-doi"/>
          <w:rFonts w:cs="Arial"/>
          <w:sz w:val="20"/>
          <w:szCs w:val="20"/>
          <w:lang w:val="en"/>
        </w:rPr>
        <w:t xml:space="preserve"> 10.1192/bjp.bp.116.191080</w:t>
      </w:r>
    </w:p>
  </w:footnote>
  <w:footnote w:id="33">
    <w:p w:rsidR="005275A7" w:rsidRPr="001072A3" w:rsidRDefault="005275A7" w:rsidP="005275A7">
      <w:pPr>
        <w:pStyle w:val="FootnoteText"/>
        <w:rPr>
          <w:rFonts w:cs="Arial"/>
          <w:color w:val="1F497D"/>
        </w:rPr>
      </w:pPr>
      <w:r>
        <w:rPr>
          <w:rStyle w:val="FootnoteReference"/>
        </w:rPr>
        <w:footnoteRef/>
      </w:r>
      <w:r>
        <w:t xml:space="preserve"> </w:t>
      </w:r>
      <w:r>
        <w:rPr>
          <w:rFonts w:cs="Arial"/>
          <w:color w:val="1F497D"/>
        </w:rPr>
        <w:t>Flynn, E. (2016),</w:t>
      </w:r>
      <w:r>
        <w:rPr>
          <w:rFonts w:cs="Arial"/>
          <w:i/>
          <w:iCs/>
          <w:color w:val="1F497D"/>
        </w:rPr>
        <w:t xml:space="preserve"> Disability, Deprivation of Liberty and Human Rights Norms: Reconciling European and International Approaches, </w:t>
      </w:r>
      <w:r>
        <w:rPr>
          <w:rFonts w:cs="Arial"/>
          <w:color w:val="1F497D"/>
        </w:rPr>
        <w:t>International Journal of Mental Health and Capacity Law</w:t>
      </w:r>
    </w:p>
  </w:footnote>
  <w:footnote w:id="34">
    <w:p w:rsidR="002B66B6" w:rsidRDefault="002B66B6">
      <w:pPr>
        <w:pStyle w:val="FootnoteText"/>
      </w:pPr>
      <w:r>
        <w:rPr>
          <w:rStyle w:val="FootnoteReference"/>
        </w:rPr>
        <w:footnoteRef/>
      </w:r>
      <w:r>
        <w:t xml:space="preserve"> Unpublished Law Society submission to the Mental Health Act Review (Jan 18) P.3</w:t>
      </w:r>
    </w:p>
  </w:footnote>
  <w:footnote w:id="35">
    <w:p w:rsidR="00331D98" w:rsidRDefault="00331D98">
      <w:pPr>
        <w:pStyle w:val="FootnoteText"/>
      </w:pPr>
      <w:r>
        <w:rPr>
          <w:rStyle w:val="FootnoteReference"/>
        </w:rPr>
        <w:footnoteRef/>
      </w:r>
      <w:r>
        <w:t xml:space="preserve"> </w:t>
      </w:r>
      <w:r w:rsidR="00BA4E83">
        <w:t xml:space="preserve">Available </w:t>
      </w:r>
      <w:hyperlink r:id="rId25" w:history="1">
        <w:r w:rsidR="00BA4E83" w:rsidRPr="00BA4E83">
          <w:rPr>
            <w:rStyle w:val="Hyperlink"/>
          </w:rPr>
          <w:t>here</w:t>
        </w:r>
      </w:hyperlink>
      <w:r w:rsidR="00BA4E83">
        <w:t xml:space="preserve">. </w:t>
      </w:r>
    </w:p>
  </w:footnote>
  <w:footnote w:id="36">
    <w:p w:rsidR="004A726D" w:rsidRDefault="004A726D" w:rsidP="004A726D">
      <w:pPr>
        <w:pStyle w:val="FootnoteText"/>
      </w:pPr>
      <w:r>
        <w:rPr>
          <w:rStyle w:val="FootnoteReference"/>
        </w:rPr>
        <w:footnoteRef/>
      </w:r>
      <w:r>
        <w:t xml:space="preserve"> UKIM (2017), ‘Disability rights in the UK: Updated submission to the UN Committee on the Rights of Persons with Disabilities in advance of the public examination of the UK’s implementation of </w:t>
      </w:r>
      <w:r w:rsidR="00BA4E83">
        <w:t xml:space="preserve">the UN CRPD’, p 84. Available </w:t>
      </w:r>
      <w:hyperlink r:id="rId26" w:history="1">
        <w:r w:rsidR="00BA4E83" w:rsidRPr="00BA4E83">
          <w:rPr>
            <w:rStyle w:val="Hyperlink"/>
          </w:rPr>
          <w:t>here</w:t>
        </w:r>
      </w:hyperlink>
      <w:r w:rsidR="00BA4E83">
        <w:t>.</w:t>
      </w:r>
    </w:p>
  </w:footnote>
  <w:footnote w:id="37">
    <w:p w:rsidR="004A726D" w:rsidRDefault="004A726D" w:rsidP="004A726D">
      <w:pPr>
        <w:pStyle w:val="FootnoteText"/>
      </w:pPr>
      <w:r>
        <w:rPr>
          <w:rStyle w:val="FootnoteReference"/>
        </w:rPr>
        <w:footnoteRef/>
      </w:r>
      <w:r>
        <w:t xml:space="preserve"> Ibid, page 33.</w:t>
      </w:r>
    </w:p>
  </w:footnote>
  <w:footnote w:id="38">
    <w:p w:rsidR="004A726D" w:rsidRDefault="004A726D" w:rsidP="004A726D">
      <w:pPr>
        <w:pStyle w:val="FootnoteText"/>
      </w:pPr>
      <w:r>
        <w:rPr>
          <w:rStyle w:val="FootnoteReference"/>
        </w:rPr>
        <w:footnoteRef/>
      </w:r>
      <w:r>
        <w:t xml:space="preserve"> </w:t>
      </w:r>
      <w:r>
        <w:rPr>
          <w:rStyle w:val="FootnoteReference"/>
        </w:rPr>
        <w:footnoteRef/>
      </w:r>
      <w:r>
        <w:t>CPRD (2017), ‘Concluding Observations on the initial report of the United Kingdom of Great Britain and Northern Ireland’, para 30. Available</w:t>
      </w:r>
      <w:r w:rsidR="00BA4E83">
        <w:t xml:space="preserve"> </w:t>
      </w:r>
      <w:hyperlink r:id="rId27" w:history="1">
        <w:r w:rsidR="00BA4E83" w:rsidRPr="00BA4E83">
          <w:rPr>
            <w:rStyle w:val="Hyperlink"/>
          </w:rPr>
          <w:t>here.</w:t>
        </w:r>
      </w:hyperlink>
      <w:r w:rsidR="00BA4E83">
        <w:t xml:space="preserve"> </w:t>
      </w:r>
    </w:p>
  </w:footnote>
  <w:footnote w:id="39">
    <w:p w:rsidR="004A726D" w:rsidRDefault="004A726D" w:rsidP="004A726D">
      <w:pPr>
        <w:pStyle w:val="FootnoteText"/>
      </w:pPr>
      <w:r>
        <w:rPr>
          <w:rStyle w:val="FootnoteReference"/>
        </w:rPr>
        <w:footnoteRef/>
      </w:r>
      <w:r>
        <w:t>Ibid. Para 31.</w:t>
      </w:r>
    </w:p>
  </w:footnote>
  <w:footnote w:id="40">
    <w:p w:rsidR="00331D98" w:rsidRDefault="00331D98">
      <w:pPr>
        <w:pStyle w:val="FootnoteText"/>
      </w:pPr>
      <w:r>
        <w:rPr>
          <w:rStyle w:val="FootnoteReference"/>
        </w:rPr>
        <w:footnoteRef/>
      </w:r>
      <w:r>
        <w:t xml:space="preserve"> For example, Killeen, J. 2016, Supported decision-making: Learning from Australia</w:t>
      </w:r>
    </w:p>
  </w:footnote>
  <w:footnote w:id="41">
    <w:p w:rsidR="00331D98" w:rsidRDefault="00331D98">
      <w:pPr>
        <w:pStyle w:val="FootnoteText"/>
      </w:pPr>
      <w:r>
        <w:rPr>
          <w:rStyle w:val="FootnoteReference"/>
        </w:rPr>
        <w:footnoteRef/>
      </w:r>
      <w:r>
        <w:t xml:space="preserve"> </w:t>
      </w:r>
      <w:r w:rsidR="00BA4E83">
        <w:t xml:space="preserve">Report available </w:t>
      </w:r>
      <w:hyperlink r:id="rId28" w:history="1">
        <w:r w:rsidR="00BA4E83" w:rsidRPr="00BA4E83">
          <w:rPr>
            <w:rStyle w:val="Hyperlink"/>
          </w:rPr>
          <w:t>here</w:t>
        </w:r>
      </w:hyperlink>
      <w:r w:rsidR="00BA4E83">
        <w:t>.</w:t>
      </w:r>
    </w:p>
  </w:footnote>
  <w:footnote w:id="42">
    <w:p w:rsidR="00AA71A8" w:rsidRDefault="00AA71A8">
      <w:pPr>
        <w:pStyle w:val="FootnoteText"/>
      </w:pPr>
      <w:r>
        <w:rPr>
          <w:rStyle w:val="FootnoteReference"/>
        </w:rPr>
        <w:footnoteRef/>
      </w:r>
      <w:r>
        <w:t xml:space="preserve"> </w:t>
      </w:r>
      <w:r w:rsidRPr="00AA71A8">
        <w:rPr>
          <w:sz w:val="28"/>
          <w:szCs w:val="24"/>
        </w:rPr>
        <w:t xml:space="preserve"> </w:t>
      </w:r>
      <w:r w:rsidRPr="00AA71A8">
        <w:t xml:space="preserve">Care Quality Commission (2016), Monitoring the Mental Health Act in 2015/16’ </w:t>
      </w:r>
      <w:r w:rsidR="00BA4E83">
        <w:t xml:space="preserve">Available </w:t>
      </w:r>
      <w:hyperlink r:id="rId29" w:history="1">
        <w:r w:rsidR="00BA4E83" w:rsidRPr="00BA4E83">
          <w:rPr>
            <w:rStyle w:val="Hyperlink"/>
          </w:rPr>
          <w:t>here</w:t>
        </w:r>
      </w:hyperlink>
      <w:r w:rsidR="00BA4E83">
        <w:t xml:space="preserve">. </w:t>
      </w:r>
    </w:p>
  </w:footnote>
  <w:footnote w:id="43">
    <w:p w:rsidR="00933FF6" w:rsidRDefault="00933FF6">
      <w:pPr>
        <w:pStyle w:val="FootnoteText"/>
      </w:pPr>
      <w:r>
        <w:rPr>
          <w:rStyle w:val="FootnoteReference"/>
        </w:rPr>
        <w:footnoteRef/>
      </w:r>
      <w:r>
        <w:t xml:space="preserve"> CQC (2017), Review of children and young people’s mental health services: Phase one report. Available </w:t>
      </w:r>
      <w:hyperlink r:id="rId30" w:history="1">
        <w:r w:rsidRPr="00BA4E83">
          <w:rPr>
            <w:rStyle w:val="Hyperlink"/>
          </w:rPr>
          <w:t>here:</w:t>
        </w:r>
      </w:hyperlink>
    </w:p>
  </w:footnote>
  <w:footnote w:id="44">
    <w:p w:rsidR="00331D98" w:rsidRDefault="00331D98">
      <w:pPr>
        <w:pStyle w:val="FootnoteText"/>
      </w:pPr>
      <w:r>
        <w:rPr>
          <w:rStyle w:val="FootnoteReference"/>
        </w:rPr>
        <w:footnoteRef/>
      </w:r>
      <w:r>
        <w:t xml:space="preserve"> </w:t>
      </w:r>
      <w:r w:rsidR="00BA4E83">
        <w:t xml:space="preserve">Report available </w:t>
      </w:r>
      <w:hyperlink r:id="rId31" w:history="1">
        <w:r w:rsidR="00BA4E83" w:rsidRPr="00BA4E83">
          <w:rPr>
            <w:rStyle w:val="Hyperlink"/>
          </w:rPr>
          <w:t>here</w:t>
        </w:r>
      </w:hyperlink>
      <w:r w:rsidR="00BA4E83">
        <w:t xml:space="preserve">. </w:t>
      </w:r>
    </w:p>
  </w:footnote>
  <w:footnote w:id="45">
    <w:p w:rsidR="00331D98" w:rsidRDefault="00331D98">
      <w:pPr>
        <w:pStyle w:val="FootnoteText"/>
      </w:pPr>
      <w:r>
        <w:rPr>
          <w:rStyle w:val="FootnoteReference"/>
        </w:rPr>
        <w:footnoteRef/>
      </w:r>
      <w:r>
        <w:t xml:space="preserve"> Ibid.</w:t>
      </w:r>
    </w:p>
  </w:footnote>
  <w:footnote w:id="46">
    <w:p w:rsidR="006576A1" w:rsidRDefault="006576A1">
      <w:pPr>
        <w:pStyle w:val="FootnoteText"/>
      </w:pPr>
      <w:r>
        <w:rPr>
          <w:rStyle w:val="FootnoteReference"/>
        </w:rPr>
        <w:footnoteRef/>
      </w:r>
      <w:r w:rsidR="00935878">
        <w:t xml:space="preserve"> Care Quality Commission (2016),</w:t>
      </w:r>
      <w:r w:rsidR="00935878" w:rsidRPr="006219DB">
        <w:t>Monitoring the Mental Health Act in 2015/16’. A</w:t>
      </w:r>
      <w:r w:rsidR="00BA4E83">
        <w:t xml:space="preserve">vailable </w:t>
      </w:r>
      <w:hyperlink r:id="rId32" w:history="1">
        <w:r w:rsidR="00BA4E83" w:rsidRPr="00BA4E83">
          <w:rPr>
            <w:rStyle w:val="Hyperlink"/>
          </w:rPr>
          <w:t>here</w:t>
        </w:r>
      </w:hyperlink>
      <w:r w:rsidR="00BA4E83">
        <w:t xml:space="preserve">. </w:t>
      </w:r>
    </w:p>
  </w:footnote>
  <w:footnote w:id="47">
    <w:p w:rsidR="00331D98" w:rsidRDefault="00331D98">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D98" w:rsidRDefault="00331D98">
    <w:pPr>
      <w:pStyle w:val="Header"/>
    </w:pPr>
    <w:r>
      <w:rPr>
        <w:noProof/>
        <w:lang w:eastAsia="en-GB"/>
      </w:rPr>
      <w:drawing>
        <wp:inline distT="0" distB="0" distL="0" distR="0" wp14:anchorId="3DE7DE30" wp14:editId="0343A3F1">
          <wp:extent cx="1803636" cy="446400"/>
          <wp:effectExtent l="0" t="0" r="6350" b="0"/>
          <wp:docPr id="2" name="Picture 2" title="Equality and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RC Logo.png"/>
                  <pic:cNvPicPr/>
                </pic:nvPicPr>
                <pic:blipFill>
                  <a:blip r:embed="rId1">
                    <a:extLst>
                      <a:ext uri="{28A0092B-C50C-407E-A947-70E740481C1C}">
                        <a14:useLocalDpi xmlns:a14="http://schemas.microsoft.com/office/drawing/2010/main" val="0"/>
                      </a:ext>
                    </a:extLst>
                  </a:blip>
                  <a:stretch>
                    <a:fillRect/>
                  </a:stretch>
                </pic:blipFill>
                <pic:spPr>
                  <a:xfrm>
                    <a:off x="0" y="0"/>
                    <a:ext cx="1803636" cy="446400"/>
                  </a:xfrm>
                  <a:prstGeom prst="rect">
                    <a:avLst/>
                  </a:prstGeom>
                </pic:spPr>
              </pic:pic>
            </a:graphicData>
          </a:graphic>
        </wp:inline>
      </w:drawing>
    </w:r>
  </w:p>
  <w:p w:rsidR="00070202" w:rsidRDefault="00070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0ECD"/>
    <w:multiLevelType w:val="hybridMultilevel"/>
    <w:tmpl w:val="0F2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B4631"/>
    <w:multiLevelType w:val="hybridMultilevel"/>
    <w:tmpl w:val="13A6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944C5"/>
    <w:multiLevelType w:val="hybridMultilevel"/>
    <w:tmpl w:val="E0AC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E1366"/>
    <w:multiLevelType w:val="multilevel"/>
    <w:tmpl w:val="C44C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26DB8"/>
    <w:multiLevelType w:val="hybridMultilevel"/>
    <w:tmpl w:val="2C7A8C38"/>
    <w:lvl w:ilvl="0" w:tplc="6546C272">
      <w:start w:val="1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53557"/>
    <w:multiLevelType w:val="hybridMultilevel"/>
    <w:tmpl w:val="0F2EBE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B70AB0"/>
    <w:multiLevelType w:val="hybridMultilevel"/>
    <w:tmpl w:val="55E4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068DA"/>
    <w:multiLevelType w:val="hybridMultilevel"/>
    <w:tmpl w:val="6B24A534"/>
    <w:lvl w:ilvl="0" w:tplc="47EEFECE">
      <w:start w:val="1"/>
      <w:numFmt w:val="bullet"/>
      <w:pStyle w:val="Bulletsbase"/>
      <w:lvlText w:val=""/>
      <w:lvlJc w:val="left"/>
      <w:pPr>
        <w:ind w:left="2760" w:hanging="360"/>
      </w:pPr>
      <w:rPr>
        <w:rFonts w:ascii="Symbol" w:hAnsi="Symbol" w:hint="default"/>
        <w:b w:val="0"/>
        <w:i w:val="0"/>
        <w:caps w:val="0"/>
        <w:strike w:val="0"/>
        <w:dstrike w:val="0"/>
        <w:vanish w:val="0"/>
        <w:color w:val="000000"/>
        <w:sz w:val="22"/>
        <w:vertAlign w:val="baseline"/>
      </w:rPr>
    </w:lvl>
    <w:lvl w:ilvl="1" w:tplc="08090003">
      <w:start w:val="1"/>
      <w:numFmt w:val="bullet"/>
      <w:lvlText w:val="o"/>
      <w:lvlJc w:val="left"/>
      <w:pPr>
        <w:ind w:left="3480" w:hanging="360"/>
      </w:pPr>
      <w:rPr>
        <w:rFonts w:ascii="Courier New" w:hAnsi="Courier New" w:cs="Courier New" w:hint="default"/>
      </w:rPr>
    </w:lvl>
    <w:lvl w:ilvl="2" w:tplc="08090005">
      <w:start w:val="1"/>
      <w:numFmt w:val="bullet"/>
      <w:lvlText w:val=""/>
      <w:lvlJc w:val="left"/>
      <w:pPr>
        <w:ind w:left="4200" w:hanging="360"/>
      </w:pPr>
      <w:rPr>
        <w:rFonts w:ascii="Wingdings" w:hAnsi="Wingdings" w:hint="default"/>
      </w:rPr>
    </w:lvl>
    <w:lvl w:ilvl="3" w:tplc="08090001">
      <w:start w:val="1"/>
      <w:numFmt w:val="bullet"/>
      <w:lvlText w:val=""/>
      <w:lvlJc w:val="left"/>
      <w:pPr>
        <w:ind w:left="4920" w:hanging="360"/>
      </w:pPr>
      <w:rPr>
        <w:rFonts w:ascii="Symbol" w:hAnsi="Symbol" w:hint="default"/>
      </w:rPr>
    </w:lvl>
    <w:lvl w:ilvl="4" w:tplc="08090003">
      <w:start w:val="1"/>
      <w:numFmt w:val="bullet"/>
      <w:lvlText w:val="o"/>
      <w:lvlJc w:val="left"/>
      <w:pPr>
        <w:ind w:left="5640" w:hanging="360"/>
      </w:pPr>
      <w:rPr>
        <w:rFonts w:ascii="Courier New" w:hAnsi="Courier New" w:cs="Courier New" w:hint="default"/>
      </w:rPr>
    </w:lvl>
    <w:lvl w:ilvl="5" w:tplc="08090005">
      <w:start w:val="1"/>
      <w:numFmt w:val="bullet"/>
      <w:lvlText w:val=""/>
      <w:lvlJc w:val="left"/>
      <w:pPr>
        <w:ind w:left="6360" w:hanging="360"/>
      </w:pPr>
      <w:rPr>
        <w:rFonts w:ascii="Wingdings" w:hAnsi="Wingdings" w:hint="default"/>
      </w:rPr>
    </w:lvl>
    <w:lvl w:ilvl="6" w:tplc="08090001">
      <w:start w:val="1"/>
      <w:numFmt w:val="bullet"/>
      <w:lvlText w:val=""/>
      <w:lvlJc w:val="left"/>
      <w:pPr>
        <w:ind w:left="7080" w:hanging="360"/>
      </w:pPr>
      <w:rPr>
        <w:rFonts w:ascii="Symbol" w:hAnsi="Symbol" w:hint="default"/>
      </w:rPr>
    </w:lvl>
    <w:lvl w:ilvl="7" w:tplc="08090003">
      <w:start w:val="1"/>
      <w:numFmt w:val="bullet"/>
      <w:lvlText w:val="o"/>
      <w:lvlJc w:val="left"/>
      <w:pPr>
        <w:ind w:left="7800" w:hanging="360"/>
      </w:pPr>
      <w:rPr>
        <w:rFonts w:ascii="Courier New" w:hAnsi="Courier New" w:cs="Courier New" w:hint="default"/>
      </w:rPr>
    </w:lvl>
    <w:lvl w:ilvl="8" w:tplc="08090005">
      <w:start w:val="1"/>
      <w:numFmt w:val="bullet"/>
      <w:lvlText w:val=""/>
      <w:lvlJc w:val="left"/>
      <w:pPr>
        <w:ind w:left="8520" w:hanging="360"/>
      </w:pPr>
      <w:rPr>
        <w:rFonts w:ascii="Wingdings" w:hAnsi="Wingdings" w:hint="default"/>
      </w:rPr>
    </w:lvl>
  </w:abstractNum>
  <w:abstractNum w:abstractNumId="8" w15:restartNumberingAfterBreak="0">
    <w:nsid w:val="1BB475E6"/>
    <w:multiLevelType w:val="multilevel"/>
    <w:tmpl w:val="8C08B960"/>
    <w:lvl w:ilvl="0">
      <w:start w:val="11"/>
      <w:numFmt w:val="decimal"/>
      <w:lvlText w:val="%1"/>
      <w:lvlJc w:val="left"/>
      <w:pPr>
        <w:ind w:left="570" w:hanging="57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1DA74B79"/>
    <w:multiLevelType w:val="hybridMultilevel"/>
    <w:tmpl w:val="302E9C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200774CE"/>
    <w:multiLevelType w:val="hybridMultilevel"/>
    <w:tmpl w:val="C9CA02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4883C08"/>
    <w:multiLevelType w:val="hybridMultilevel"/>
    <w:tmpl w:val="6B82C0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BE114A"/>
    <w:multiLevelType w:val="hybridMultilevel"/>
    <w:tmpl w:val="5CE417D6"/>
    <w:lvl w:ilvl="0" w:tplc="0004E602">
      <w:start w:val="1"/>
      <w:numFmt w:val="decimal"/>
      <w:lvlText w:val="%1."/>
      <w:lvlJc w:val="left"/>
      <w:pPr>
        <w:ind w:left="360" w:hanging="360"/>
      </w:pPr>
      <w:rPr>
        <w:color w:val="auto"/>
      </w:rPr>
    </w:lvl>
    <w:lvl w:ilvl="1" w:tplc="08090001">
      <w:start w:val="1"/>
      <w:numFmt w:val="bullet"/>
      <w:lvlText w:val=""/>
      <w:lvlJc w:val="left"/>
      <w:pPr>
        <w:ind w:left="873" w:hanging="360"/>
      </w:pPr>
      <w:rPr>
        <w:rFonts w:ascii="Symbol" w:hAnsi="Symbol" w:hint="default"/>
      </w:rPr>
    </w:lvl>
    <w:lvl w:ilvl="2" w:tplc="08090001">
      <w:start w:val="1"/>
      <w:numFmt w:val="bullet"/>
      <w:lvlText w:val=""/>
      <w:lvlJc w:val="left"/>
      <w:pPr>
        <w:ind w:left="1593" w:hanging="180"/>
      </w:pPr>
      <w:rPr>
        <w:rFonts w:ascii="Symbol" w:hAnsi="Symbol" w:hint="default"/>
      </w:r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3" w15:restartNumberingAfterBreak="0">
    <w:nsid w:val="2FAC07FE"/>
    <w:multiLevelType w:val="multilevel"/>
    <w:tmpl w:val="9174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5E0243"/>
    <w:multiLevelType w:val="multilevel"/>
    <w:tmpl w:val="C9B0ED7A"/>
    <w:lvl w:ilvl="0">
      <w:start w:val="11"/>
      <w:numFmt w:val="decimal"/>
      <w:lvlText w:val="%1"/>
      <w:lvlJc w:val="left"/>
      <w:pPr>
        <w:ind w:left="570" w:hanging="57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3B920F6E"/>
    <w:multiLevelType w:val="multilevel"/>
    <w:tmpl w:val="5ED0CA7A"/>
    <w:lvl w:ilvl="0">
      <w:start w:val="9"/>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3E5A49AA"/>
    <w:multiLevelType w:val="hybridMultilevel"/>
    <w:tmpl w:val="986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710923"/>
    <w:multiLevelType w:val="multilevel"/>
    <w:tmpl w:val="5C442582"/>
    <w:lvl w:ilvl="0">
      <w:start w:val="11"/>
      <w:numFmt w:val="decimal"/>
      <w:lvlText w:val="%1"/>
      <w:lvlJc w:val="left"/>
      <w:pPr>
        <w:ind w:left="570" w:hanging="57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409C66CF"/>
    <w:multiLevelType w:val="hybridMultilevel"/>
    <w:tmpl w:val="FF8E83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5F2293"/>
    <w:multiLevelType w:val="multilevel"/>
    <w:tmpl w:val="D5BE7F8C"/>
    <w:lvl w:ilvl="0">
      <w:start w:val="1"/>
      <w:numFmt w:val="decimal"/>
      <w:lvlText w:val="%1."/>
      <w:lvlJc w:val="left"/>
      <w:pPr>
        <w:tabs>
          <w:tab w:val="num" w:pos="1148"/>
        </w:tabs>
        <w:ind w:left="1148" w:hanging="864"/>
      </w:pPr>
      <w:rPr>
        <w:rFonts w:cs="Times New Roman"/>
        <w:b w:val="0"/>
        <w:i w:val="0"/>
        <w:strike w:val="0"/>
        <w:dstrike w:val="0"/>
        <w:u w:val="none"/>
        <w:effect w:val="none"/>
      </w:rPr>
    </w:lvl>
    <w:lvl w:ilvl="1">
      <w:start w:val="1"/>
      <w:numFmt w:val="decimal"/>
      <w:lvlText w:val="%1.%2."/>
      <w:lvlJc w:val="left"/>
      <w:pPr>
        <w:tabs>
          <w:tab w:val="num" w:pos="1728"/>
        </w:tabs>
        <w:ind w:left="1728" w:hanging="864"/>
      </w:pPr>
      <w:rPr>
        <w:rFonts w:cs="Times New Roman"/>
        <w:strike w:val="0"/>
        <w:dstrike w:val="0"/>
        <w:u w:val="none"/>
        <w:effect w:val="none"/>
      </w:rPr>
    </w:lvl>
    <w:lvl w:ilvl="2">
      <w:start w:val="1"/>
      <w:numFmt w:val="decimal"/>
      <w:lvlText w:val="%1.%2.%3."/>
      <w:lvlJc w:val="left"/>
      <w:pPr>
        <w:tabs>
          <w:tab w:val="num" w:pos="2592"/>
        </w:tabs>
        <w:ind w:left="2592" w:hanging="864"/>
      </w:pPr>
      <w:rPr>
        <w:rFonts w:cs="Times New Roman"/>
        <w:strike w:val="0"/>
        <w:dstrike w:val="0"/>
        <w:u w:val="none"/>
        <w:effect w:val="none"/>
      </w:rPr>
    </w:lvl>
    <w:lvl w:ilvl="3">
      <w:start w:val="1"/>
      <w:numFmt w:val="decimal"/>
      <w:lvlText w:val="%1.%2.%3.%4."/>
      <w:lvlJc w:val="left"/>
      <w:pPr>
        <w:tabs>
          <w:tab w:val="num" w:pos="3456"/>
        </w:tabs>
        <w:ind w:left="3456" w:hanging="864"/>
      </w:pPr>
      <w:rPr>
        <w:rFonts w:cs="Times New Roman"/>
        <w:strike w:val="0"/>
        <w:dstrike w:val="0"/>
        <w:u w:val="none"/>
        <w:effect w:val="none"/>
      </w:rPr>
    </w:lvl>
    <w:lvl w:ilvl="4">
      <w:start w:val="1"/>
      <w:numFmt w:val="lowerRoman"/>
      <w:lvlText w:val="(%5)."/>
      <w:lvlJc w:val="left"/>
      <w:pPr>
        <w:tabs>
          <w:tab w:val="num" w:pos="4320"/>
        </w:tabs>
        <w:ind w:left="4320" w:hanging="864"/>
      </w:pPr>
      <w:rPr>
        <w:rFonts w:cs="Times New Roman"/>
        <w:strike w:val="0"/>
        <w:dstrike w:val="0"/>
        <w:u w:val="none"/>
        <w:effect w:val="none"/>
      </w:rPr>
    </w:lvl>
    <w:lvl w:ilvl="5">
      <w:start w:val="1"/>
      <w:numFmt w:val="lowerRoman"/>
      <w:lvlText w:val="(%5.%6)."/>
      <w:lvlJc w:val="left"/>
      <w:pPr>
        <w:tabs>
          <w:tab w:val="num" w:pos="5184"/>
        </w:tabs>
        <w:ind w:left="5184" w:hanging="864"/>
      </w:pPr>
      <w:rPr>
        <w:rFonts w:cs="Times New Roman"/>
        <w:strike w:val="0"/>
        <w:dstrike w:val="0"/>
        <w:u w:val="none"/>
        <w:effect w:val="none"/>
      </w:rPr>
    </w:lvl>
    <w:lvl w:ilvl="6">
      <w:start w:val="1"/>
      <w:numFmt w:val="lowerRoman"/>
      <w:lvlText w:val="(%5.%6.%7)."/>
      <w:lvlJc w:val="left"/>
      <w:pPr>
        <w:tabs>
          <w:tab w:val="num" w:pos="6048"/>
        </w:tabs>
        <w:ind w:left="6048" w:hanging="864"/>
      </w:pPr>
      <w:rPr>
        <w:rFonts w:cs="Times New Roman"/>
        <w:strike w:val="0"/>
        <w:dstrike w:val="0"/>
        <w:u w:val="none"/>
        <w:effect w:val="none"/>
      </w:rPr>
    </w:lvl>
    <w:lvl w:ilvl="7">
      <w:start w:val="1"/>
      <w:numFmt w:val="lowerRoman"/>
      <w:lvlText w:val="(%5.%6.%7.%8)."/>
      <w:lvlJc w:val="left"/>
      <w:pPr>
        <w:tabs>
          <w:tab w:val="num" w:pos="6912"/>
        </w:tabs>
        <w:ind w:left="6912" w:hanging="864"/>
      </w:pPr>
      <w:rPr>
        <w:rFonts w:cs="Times New Roman"/>
        <w:strike w:val="0"/>
        <w:dstrike w:val="0"/>
        <w:u w:val="none"/>
        <w:effect w:val="none"/>
      </w:rPr>
    </w:lvl>
    <w:lvl w:ilvl="8">
      <w:start w:val="1"/>
      <w:numFmt w:val="lowerRoman"/>
      <w:lvlText w:val="(%5.%6.%7.%8.%9)."/>
      <w:lvlJc w:val="left"/>
      <w:pPr>
        <w:tabs>
          <w:tab w:val="num" w:pos="7776"/>
        </w:tabs>
        <w:ind w:left="7776" w:hanging="864"/>
      </w:pPr>
      <w:rPr>
        <w:rFonts w:cs="Times New Roman"/>
        <w:strike w:val="0"/>
        <w:dstrike w:val="0"/>
        <w:u w:val="none"/>
        <w:effect w:val="none"/>
      </w:rPr>
    </w:lvl>
  </w:abstractNum>
  <w:abstractNum w:abstractNumId="20" w15:restartNumberingAfterBreak="0">
    <w:nsid w:val="44DE42F6"/>
    <w:multiLevelType w:val="hybridMultilevel"/>
    <w:tmpl w:val="0EB20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293F82"/>
    <w:multiLevelType w:val="hybridMultilevel"/>
    <w:tmpl w:val="3D74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2B7A2B"/>
    <w:multiLevelType w:val="hybridMultilevel"/>
    <w:tmpl w:val="6CBE3ADA"/>
    <w:lvl w:ilvl="0" w:tplc="1DFA446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52048E"/>
    <w:multiLevelType w:val="hybridMultilevel"/>
    <w:tmpl w:val="70665D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8A40B8"/>
    <w:multiLevelType w:val="multilevel"/>
    <w:tmpl w:val="229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4A05A7"/>
    <w:multiLevelType w:val="hybridMultilevel"/>
    <w:tmpl w:val="F430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1844B8"/>
    <w:multiLevelType w:val="hybridMultilevel"/>
    <w:tmpl w:val="5890FB74"/>
    <w:lvl w:ilvl="0" w:tplc="B37E755A">
      <w:start w:val="3"/>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ED911F7"/>
    <w:multiLevelType w:val="hybridMultilevel"/>
    <w:tmpl w:val="51F8F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653B8D"/>
    <w:multiLevelType w:val="multilevel"/>
    <w:tmpl w:val="A03A53D4"/>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ED07FB"/>
    <w:multiLevelType w:val="multilevel"/>
    <w:tmpl w:val="297289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40634E9"/>
    <w:multiLevelType w:val="hybridMultilevel"/>
    <w:tmpl w:val="59AE0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2764C7"/>
    <w:multiLevelType w:val="hybridMultilevel"/>
    <w:tmpl w:val="EC7250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577E571C"/>
    <w:multiLevelType w:val="hybridMultilevel"/>
    <w:tmpl w:val="209A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6218EA"/>
    <w:multiLevelType w:val="hybridMultilevel"/>
    <w:tmpl w:val="728613CE"/>
    <w:lvl w:ilvl="0" w:tplc="DF8803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BDA03A6"/>
    <w:multiLevelType w:val="hybridMultilevel"/>
    <w:tmpl w:val="6D249C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5C626B27"/>
    <w:multiLevelType w:val="hybridMultilevel"/>
    <w:tmpl w:val="107E38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77371F1"/>
    <w:multiLevelType w:val="hybridMultilevel"/>
    <w:tmpl w:val="A8F4311C"/>
    <w:lvl w:ilvl="0" w:tplc="128AA410">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A86C37"/>
    <w:multiLevelType w:val="hybridMultilevel"/>
    <w:tmpl w:val="C138FB62"/>
    <w:lvl w:ilvl="0" w:tplc="55364CF4">
      <w:start w:val="1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90233E9"/>
    <w:multiLevelType w:val="hybridMultilevel"/>
    <w:tmpl w:val="F488B916"/>
    <w:lvl w:ilvl="0" w:tplc="DA883364">
      <w:start w:val="12"/>
      <w:numFmt w:val="decimal"/>
      <w:suff w:val="space"/>
      <w:lvlText w:val="%1."/>
      <w:lvlJc w:val="left"/>
      <w:pPr>
        <w:ind w:left="0" w:firstLine="0"/>
      </w:pPr>
      <w:rPr>
        <w:rFonts w:ascii="Arial" w:hAnsi="Arial" w:cs="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B933F4"/>
    <w:multiLevelType w:val="hybridMultilevel"/>
    <w:tmpl w:val="9404D7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0" w15:restartNumberingAfterBreak="0">
    <w:nsid w:val="6CA00DFF"/>
    <w:multiLevelType w:val="hybridMultilevel"/>
    <w:tmpl w:val="5A04E0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D83A39"/>
    <w:multiLevelType w:val="multilevel"/>
    <w:tmpl w:val="E312AB58"/>
    <w:lvl w:ilvl="0">
      <w:start w:val="1"/>
      <w:numFmt w:val="decimal"/>
      <w:lvlText w:val="%1."/>
      <w:lvlJc w:val="left"/>
      <w:pPr>
        <w:ind w:left="357" w:hanging="357"/>
      </w:pPr>
      <w:rPr>
        <w:rFonts w:hint="default"/>
      </w:rPr>
    </w:lvl>
    <w:lvl w:ilvl="1">
      <w:start w:val="1"/>
      <w:numFmt w:val="decimal"/>
      <w:suff w:val="space"/>
      <w:lvlText w:val="%1.%2."/>
      <w:lvlJc w:val="left"/>
      <w:pPr>
        <w:ind w:left="357" w:hanging="357"/>
      </w:pPr>
      <w:rPr>
        <w:rFonts w:ascii="Arial" w:hAnsi="Arial" w:hint="default"/>
        <w:b/>
        <w:sz w:val="32"/>
        <w:szCs w:val="32"/>
      </w:rPr>
    </w:lvl>
    <w:lvl w:ilvl="2">
      <w:start w:val="1"/>
      <w:numFmt w:val="decimal"/>
      <w:pStyle w:val="Style2"/>
      <w:suff w:val="space"/>
      <w:lvlText w:val="%1.%3."/>
      <w:lvlJc w:val="left"/>
      <w:pPr>
        <w:ind w:left="2768" w:hanging="357"/>
      </w:pPr>
      <w:rPr>
        <w:rFonts w:ascii="Arial" w:hAnsi="Arial" w:cs="Arial" w:hint="default"/>
        <w:sz w:val="32"/>
        <w:szCs w:val="32"/>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2" w15:restartNumberingAfterBreak="0">
    <w:nsid w:val="74B91F40"/>
    <w:multiLevelType w:val="hybridMultilevel"/>
    <w:tmpl w:val="9144427A"/>
    <w:lvl w:ilvl="0" w:tplc="BC7ED4EA">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5F34E7"/>
    <w:multiLevelType w:val="hybridMultilevel"/>
    <w:tmpl w:val="DFD0DA2A"/>
    <w:lvl w:ilvl="0" w:tplc="0809000F">
      <w:start w:val="1"/>
      <w:numFmt w:val="decimal"/>
      <w:lvlText w:val="%1."/>
      <w:lvlJc w:val="left"/>
      <w:pPr>
        <w:ind w:left="360" w:hanging="360"/>
      </w:pPr>
      <w:rPr>
        <w:color w:val="auto"/>
      </w:rPr>
    </w:lvl>
    <w:lvl w:ilvl="1" w:tplc="08090001">
      <w:start w:val="1"/>
      <w:numFmt w:val="bullet"/>
      <w:lvlText w:val=""/>
      <w:lvlJc w:val="left"/>
      <w:pPr>
        <w:ind w:left="873" w:hanging="360"/>
      </w:pPr>
      <w:rPr>
        <w:rFonts w:ascii="Symbol" w:hAnsi="Symbol" w:hint="default"/>
      </w:rPr>
    </w:lvl>
    <w:lvl w:ilvl="2" w:tplc="08090001">
      <w:start w:val="1"/>
      <w:numFmt w:val="bullet"/>
      <w:lvlText w:val=""/>
      <w:lvlJc w:val="left"/>
      <w:pPr>
        <w:ind w:left="1593" w:hanging="180"/>
      </w:pPr>
      <w:rPr>
        <w:rFonts w:ascii="Symbol" w:hAnsi="Symbol" w:hint="default"/>
      </w:r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43"/>
  </w:num>
  <w:num w:numId="2">
    <w:abstractNumId w:val="37"/>
  </w:num>
  <w:num w:numId="3">
    <w:abstractNumId w:val="2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3"/>
  </w:num>
  <w:num w:numId="9">
    <w:abstractNumId w:val="40"/>
  </w:num>
  <w:num w:numId="10">
    <w:abstractNumId w:val="42"/>
  </w:num>
  <w:num w:numId="11">
    <w:abstractNumId w:val="33"/>
  </w:num>
  <w:num w:numId="12">
    <w:abstractNumId w:val="12"/>
  </w:num>
  <w:num w:numId="13">
    <w:abstractNumId w:val="11"/>
  </w:num>
  <w:num w:numId="14">
    <w:abstractNumId w:val="3"/>
  </w:num>
  <w:num w:numId="15">
    <w:abstractNumId w:val="21"/>
  </w:num>
  <w:num w:numId="16">
    <w:abstractNumId w:val="35"/>
  </w:num>
  <w:num w:numId="17">
    <w:abstractNumId w:val="1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39"/>
  </w:num>
  <w:num w:numId="22">
    <w:abstractNumId w:val="31"/>
  </w:num>
  <w:num w:numId="23">
    <w:abstractNumId w:val="9"/>
  </w:num>
  <w:num w:numId="24">
    <w:abstractNumId w:val="30"/>
  </w:num>
  <w:num w:numId="25">
    <w:abstractNumId w:val="17"/>
  </w:num>
  <w:num w:numId="26">
    <w:abstractNumId w:val="14"/>
  </w:num>
  <w:num w:numId="27">
    <w:abstractNumId w:val="8"/>
  </w:num>
  <w:num w:numId="28">
    <w:abstractNumId w:val="36"/>
  </w:num>
  <w:num w:numId="29">
    <w:abstractNumId w:val="7"/>
  </w:num>
  <w:num w:numId="30">
    <w:abstractNumId w:val="38"/>
  </w:num>
  <w:num w:numId="31">
    <w:abstractNumId w:val="28"/>
  </w:num>
  <w:num w:numId="32">
    <w:abstractNumId w:val="32"/>
  </w:num>
  <w:num w:numId="33">
    <w:abstractNumId w:val="41"/>
  </w:num>
  <w:num w:numId="34">
    <w:abstractNumId w:val="27"/>
  </w:num>
  <w:num w:numId="35">
    <w:abstractNumId w:val="18"/>
  </w:num>
  <w:num w:numId="36">
    <w:abstractNumId w:val="4"/>
  </w:num>
  <w:num w:numId="37">
    <w:abstractNumId w:val="25"/>
  </w:num>
  <w:num w:numId="38">
    <w:abstractNumId w:val="26"/>
  </w:num>
  <w:num w:numId="39">
    <w:abstractNumId w:val="6"/>
  </w:num>
  <w:num w:numId="40">
    <w:abstractNumId w:val="22"/>
  </w:num>
  <w:num w:numId="41">
    <w:abstractNumId w:val="23"/>
  </w:num>
  <w:num w:numId="42">
    <w:abstractNumId w:val="1"/>
  </w:num>
  <w:num w:numId="43">
    <w:abstractNumId w:val="2"/>
  </w:num>
  <w:num w:numId="44">
    <w:abstractNumId w:val="5"/>
  </w:num>
  <w:num w:numId="45">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60"/>
    <w:rsid w:val="00000A9E"/>
    <w:rsid w:val="0000179A"/>
    <w:rsid w:val="00003AB2"/>
    <w:rsid w:val="00004E4D"/>
    <w:rsid w:val="00005461"/>
    <w:rsid w:val="00005A37"/>
    <w:rsid w:val="00006226"/>
    <w:rsid w:val="00006979"/>
    <w:rsid w:val="00007C97"/>
    <w:rsid w:val="000104F7"/>
    <w:rsid w:val="00012788"/>
    <w:rsid w:val="000138B3"/>
    <w:rsid w:val="00013BFC"/>
    <w:rsid w:val="00014DEC"/>
    <w:rsid w:val="000161EF"/>
    <w:rsid w:val="000167BE"/>
    <w:rsid w:val="000169BD"/>
    <w:rsid w:val="00017633"/>
    <w:rsid w:val="00021A63"/>
    <w:rsid w:val="000260B6"/>
    <w:rsid w:val="0003034D"/>
    <w:rsid w:val="000305BB"/>
    <w:rsid w:val="000336F0"/>
    <w:rsid w:val="00034BD9"/>
    <w:rsid w:val="000368A2"/>
    <w:rsid w:val="000374E6"/>
    <w:rsid w:val="00040564"/>
    <w:rsid w:val="00040FF9"/>
    <w:rsid w:val="000419E6"/>
    <w:rsid w:val="00043FD0"/>
    <w:rsid w:val="00044026"/>
    <w:rsid w:val="000444C8"/>
    <w:rsid w:val="000446D8"/>
    <w:rsid w:val="00044818"/>
    <w:rsid w:val="00044B5C"/>
    <w:rsid w:val="000452A3"/>
    <w:rsid w:val="0004724F"/>
    <w:rsid w:val="00050C1A"/>
    <w:rsid w:val="000510D5"/>
    <w:rsid w:val="00053825"/>
    <w:rsid w:val="00055E15"/>
    <w:rsid w:val="00056250"/>
    <w:rsid w:val="000578FB"/>
    <w:rsid w:val="000639E4"/>
    <w:rsid w:val="00065DDF"/>
    <w:rsid w:val="0006641F"/>
    <w:rsid w:val="00067AA3"/>
    <w:rsid w:val="00070202"/>
    <w:rsid w:val="000734B8"/>
    <w:rsid w:val="00073576"/>
    <w:rsid w:val="0007371C"/>
    <w:rsid w:val="0007529F"/>
    <w:rsid w:val="0008012F"/>
    <w:rsid w:val="000802CA"/>
    <w:rsid w:val="00080EDE"/>
    <w:rsid w:val="000810EE"/>
    <w:rsid w:val="0008560F"/>
    <w:rsid w:val="00086616"/>
    <w:rsid w:val="0008768C"/>
    <w:rsid w:val="000877B7"/>
    <w:rsid w:val="000948C3"/>
    <w:rsid w:val="000961E3"/>
    <w:rsid w:val="000A2920"/>
    <w:rsid w:val="000A70D0"/>
    <w:rsid w:val="000B32DE"/>
    <w:rsid w:val="000B4858"/>
    <w:rsid w:val="000B6860"/>
    <w:rsid w:val="000B6F9C"/>
    <w:rsid w:val="000C0F39"/>
    <w:rsid w:val="000C2753"/>
    <w:rsid w:val="000C2AE7"/>
    <w:rsid w:val="000C3224"/>
    <w:rsid w:val="000C32FC"/>
    <w:rsid w:val="000C4A43"/>
    <w:rsid w:val="000C55D1"/>
    <w:rsid w:val="000D0499"/>
    <w:rsid w:val="000D1594"/>
    <w:rsid w:val="000D317D"/>
    <w:rsid w:val="000D6CEC"/>
    <w:rsid w:val="000E1DE8"/>
    <w:rsid w:val="000F12D1"/>
    <w:rsid w:val="000F1E7D"/>
    <w:rsid w:val="000F2DBB"/>
    <w:rsid w:val="000F37FA"/>
    <w:rsid w:val="000F581F"/>
    <w:rsid w:val="000F76A7"/>
    <w:rsid w:val="00101E80"/>
    <w:rsid w:val="00105003"/>
    <w:rsid w:val="00106CF9"/>
    <w:rsid w:val="00107240"/>
    <w:rsid w:val="001072A3"/>
    <w:rsid w:val="00116DFF"/>
    <w:rsid w:val="00117DBA"/>
    <w:rsid w:val="001235B2"/>
    <w:rsid w:val="00127AEE"/>
    <w:rsid w:val="00130C52"/>
    <w:rsid w:val="001347F5"/>
    <w:rsid w:val="00140E55"/>
    <w:rsid w:val="00143F80"/>
    <w:rsid w:val="00151D55"/>
    <w:rsid w:val="00152CA7"/>
    <w:rsid w:val="001530D7"/>
    <w:rsid w:val="001531C2"/>
    <w:rsid w:val="00154711"/>
    <w:rsid w:val="001549AB"/>
    <w:rsid w:val="00154A9C"/>
    <w:rsid w:val="00154CBA"/>
    <w:rsid w:val="001569A4"/>
    <w:rsid w:val="001648A9"/>
    <w:rsid w:val="00165E67"/>
    <w:rsid w:val="00165E80"/>
    <w:rsid w:val="0016632C"/>
    <w:rsid w:val="001678F5"/>
    <w:rsid w:val="00167C0B"/>
    <w:rsid w:val="00170308"/>
    <w:rsid w:val="001712AF"/>
    <w:rsid w:val="001712E1"/>
    <w:rsid w:val="0017372D"/>
    <w:rsid w:val="00174421"/>
    <w:rsid w:val="001766F2"/>
    <w:rsid w:val="00176F38"/>
    <w:rsid w:val="00177695"/>
    <w:rsid w:val="00177835"/>
    <w:rsid w:val="00181937"/>
    <w:rsid w:val="00181A2D"/>
    <w:rsid w:val="00183FA6"/>
    <w:rsid w:val="00183FA9"/>
    <w:rsid w:val="00184A2C"/>
    <w:rsid w:val="00185EAD"/>
    <w:rsid w:val="00186CA8"/>
    <w:rsid w:val="001917B1"/>
    <w:rsid w:val="00191BD4"/>
    <w:rsid w:val="001920DB"/>
    <w:rsid w:val="00192B56"/>
    <w:rsid w:val="00192C33"/>
    <w:rsid w:val="00194CF9"/>
    <w:rsid w:val="00196036"/>
    <w:rsid w:val="00196FAE"/>
    <w:rsid w:val="001A0514"/>
    <w:rsid w:val="001A0786"/>
    <w:rsid w:val="001A224B"/>
    <w:rsid w:val="001A472B"/>
    <w:rsid w:val="001A568C"/>
    <w:rsid w:val="001A760D"/>
    <w:rsid w:val="001B120A"/>
    <w:rsid w:val="001B12C2"/>
    <w:rsid w:val="001B2E90"/>
    <w:rsid w:val="001B50C6"/>
    <w:rsid w:val="001B79A4"/>
    <w:rsid w:val="001C15A8"/>
    <w:rsid w:val="001C4B80"/>
    <w:rsid w:val="001C546B"/>
    <w:rsid w:val="001C55CD"/>
    <w:rsid w:val="001C70EE"/>
    <w:rsid w:val="001C7F7C"/>
    <w:rsid w:val="001D2E23"/>
    <w:rsid w:val="001D37D2"/>
    <w:rsid w:val="001E13A1"/>
    <w:rsid w:val="001E1418"/>
    <w:rsid w:val="001E17C7"/>
    <w:rsid w:val="001E5175"/>
    <w:rsid w:val="001E5FD6"/>
    <w:rsid w:val="001E6B83"/>
    <w:rsid w:val="001E6CB0"/>
    <w:rsid w:val="001F2F3D"/>
    <w:rsid w:val="001F476A"/>
    <w:rsid w:val="001F4FDF"/>
    <w:rsid w:val="001F760B"/>
    <w:rsid w:val="002027E2"/>
    <w:rsid w:val="002047C5"/>
    <w:rsid w:val="00204830"/>
    <w:rsid w:val="0020714B"/>
    <w:rsid w:val="00207705"/>
    <w:rsid w:val="00207E6F"/>
    <w:rsid w:val="002102A3"/>
    <w:rsid w:val="00212AD1"/>
    <w:rsid w:val="00212B41"/>
    <w:rsid w:val="00213FF2"/>
    <w:rsid w:val="0021665F"/>
    <w:rsid w:val="00216CB7"/>
    <w:rsid w:val="002177DA"/>
    <w:rsid w:val="00221E76"/>
    <w:rsid w:val="002234FB"/>
    <w:rsid w:val="0022547F"/>
    <w:rsid w:val="00232409"/>
    <w:rsid w:val="00234805"/>
    <w:rsid w:val="00237A71"/>
    <w:rsid w:val="002430AF"/>
    <w:rsid w:val="00247154"/>
    <w:rsid w:val="0025024A"/>
    <w:rsid w:val="002502C8"/>
    <w:rsid w:val="00251603"/>
    <w:rsid w:val="0025197E"/>
    <w:rsid w:val="00252354"/>
    <w:rsid w:val="002544A3"/>
    <w:rsid w:val="00254CB2"/>
    <w:rsid w:val="0025516F"/>
    <w:rsid w:val="0025759A"/>
    <w:rsid w:val="00257EA6"/>
    <w:rsid w:val="0026139F"/>
    <w:rsid w:val="0026247D"/>
    <w:rsid w:val="002630FB"/>
    <w:rsid w:val="00263655"/>
    <w:rsid w:val="002662AD"/>
    <w:rsid w:val="00267C73"/>
    <w:rsid w:val="0027070A"/>
    <w:rsid w:val="0027229C"/>
    <w:rsid w:val="00272FCF"/>
    <w:rsid w:val="00273D94"/>
    <w:rsid w:val="002741C6"/>
    <w:rsid w:val="00274BA8"/>
    <w:rsid w:val="00274F0C"/>
    <w:rsid w:val="002753C8"/>
    <w:rsid w:val="002769CE"/>
    <w:rsid w:val="00276F80"/>
    <w:rsid w:val="00277283"/>
    <w:rsid w:val="00280910"/>
    <w:rsid w:val="00281D69"/>
    <w:rsid w:val="00286F36"/>
    <w:rsid w:val="00291D64"/>
    <w:rsid w:val="00293AE2"/>
    <w:rsid w:val="0029434D"/>
    <w:rsid w:val="002946D3"/>
    <w:rsid w:val="002951F3"/>
    <w:rsid w:val="002956E7"/>
    <w:rsid w:val="002A3305"/>
    <w:rsid w:val="002A7C46"/>
    <w:rsid w:val="002B0042"/>
    <w:rsid w:val="002B115E"/>
    <w:rsid w:val="002B160C"/>
    <w:rsid w:val="002B6616"/>
    <w:rsid w:val="002B66B6"/>
    <w:rsid w:val="002C135C"/>
    <w:rsid w:val="002C4F4E"/>
    <w:rsid w:val="002C7B82"/>
    <w:rsid w:val="002D2FC7"/>
    <w:rsid w:val="002D4BD7"/>
    <w:rsid w:val="002D527F"/>
    <w:rsid w:val="002D5B16"/>
    <w:rsid w:val="002D5CBE"/>
    <w:rsid w:val="002D7529"/>
    <w:rsid w:val="002D7819"/>
    <w:rsid w:val="002E1FAC"/>
    <w:rsid w:val="002E207B"/>
    <w:rsid w:val="002E2F5C"/>
    <w:rsid w:val="002E4F33"/>
    <w:rsid w:val="002E678F"/>
    <w:rsid w:val="002E7807"/>
    <w:rsid w:val="002F0853"/>
    <w:rsid w:val="002F3634"/>
    <w:rsid w:val="002F4684"/>
    <w:rsid w:val="002F6987"/>
    <w:rsid w:val="002F7502"/>
    <w:rsid w:val="002F78BA"/>
    <w:rsid w:val="002F7CE1"/>
    <w:rsid w:val="0030166E"/>
    <w:rsid w:val="003027CD"/>
    <w:rsid w:val="00303B9A"/>
    <w:rsid w:val="00304D94"/>
    <w:rsid w:val="0030520C"/>
    <w:rsid w:val="003076C2"/>
    <w:rsid w:val="00307826"/>
    <w:rsid w:val="00307827"/>
    <w:rsid w:val="00311B9E"/>
    <w:rsid w:val="00311FB7"/>
    <w:rsid w:val="003141E7"/>
    <w:rsid w:val="00315980"/>
    <w:rsid w:val="00315A6B"/>
    <w:rsid w:val="0031673E"/>
    <w:rsid w:val="00316A25"/>
    <w:rsid w:val="00316A69"/>
    <w:rsid w:val="00321305"/>
    <w:rsid w:val="00321681"/>
    <w:rsid w:val="00321DE8"/>
    <w:rsid w:val="003273EC"/>
    <w:rsid w:val="003278E7"/>
    <w:rsid w:val="003301AC"/>
    <w:rsid w:val="00331435"/>
    <w:rsid w:val="00331D98"/>
    <w:rsid w:val="003321BB"/>
    <w:rsid w:val="00333469"/>
    <w:rsid w:val="003334BE"/>
    <w:rsid w:val="00334161"/>
    <w:rsid w:val="003403E0"/>
    <w:rsid w:val="003405DF"/>
    <w:rsid w:val="0034120E"/>
    <w:rsid w:val="00341F26"/>
    <w:rsid w:val="00342878"/>
    <w:rsid w:val="00342BCB"/>
    <w:rsid w:val="00345153"/>
    <w:rsid w:val="00346E68"/>
    <w:rsid w:val="00347827"/>
    <w:rsid w:val="00347E3F"/>
    <w:rsid w:val="0035036C"/>
    <w:rsid w:val="00350A95"/>
    <w:rsid w:val="00352B47"/>
    <w:rsid w:val="00353504"/>
    <w:rsid w:val="00353BFB"/>
    <w:rsid w:val="00354087"/>
    <w:rsid w:val="003569CA"/>
    <w:rsid w:val="00356A18"/>
    <w:rsid w:val="00356AEA"/>
    <w:rsid w:val="00363C67"/>
    <w:rsid w:val="003667AB"/>
    <w:rsid w:val="003717AD"/>
    <w:rsid w:val="00372022"/>
    <w:rsid w:val="003756C3"/>
    <w:rsid w:val="00381856"/>
    <w:rsid w:val="00381A3F"/>
    <w:rsid w:val="00384383"/>
    <w:rsid w:val="00385132"/>
    <w:rsid w:val="00386C7C"/>
    <w:rsid w:val="00396611"/>
    <w:rsid w:val="00396BC8"/>
    <w:rsid w:val="003A020F"/>
    <w:rsid w:val="003A5128"/>
    <w:rsid w:val="003A52E1"/>
    <w:rsid w:val="003A5AE8"/>
    <w:rsid w:val="003A5BC5"/>
    <w:rsid w:val="003A703C"/>
    <w:rsid w:val="003B0B72"/>
    <w:rsid w:val="003B1941"/>
    <w:rsid w:val="003B1986"/>
    <w:rsid w:val="003B21B8"/>
    <w:rsid w:val="003B2306"/>
    <w:rsid w:val="003B269A"/>
    <w:rsid w:val="003B28CE"/>
    <w:rsid w:val="003B49EE"/>
    <w:rsid w:val="003C0B04"/>
    <w:rsid w:val="003C32D5"/>
    <w:rsid w:val="003C4A30"/>
    <w:rsid w:val="003C4EED"/>
    <w:rsid w:val="003C5B9B"/>
    <w:rsid w:val="003C71DE"/>
    <w:rsid w:val="003C784B"/>
    <w:rsid w:val="003D538A"/>
    <w:rsid w:val="003D5CCA"/>
    <w:rsid w:val="003D5DD2"/>
    <w:rsid w:val="003D6926"/>
    <w:rsid w:val="003E03DE"/>
    <w:rsid w:val="003E0446"/>
    <w:rsid w:val="003E0CEF"/>
    <w:rsid w:val="003E2B8A"/>
    <w:rsid w:val="003E3DF7"/>
    <w:rsid w:val="003E4232"/>
    <w:rsid w:val="003E5733"/>
    <w:rsid w:val="003E57B1"/>
    <w:rsid w:val="003E5B44"/>
    <w:rsid w:val="003E6D0C"/>
    <w:rsid w:val="003F371F"/>
    <w:rsid w:val="003F3D18"/>
    <w:rsid w:val="003F62DE"/>
    <w:rsid w:val="004003B7"/>
    <w:rsid w:val="0040060C"/>
    <w:rsid w:val="004018C5"/>
    <w:rsid w:val="00401AE2"/>
    <w:rsid w:val="00407CCB"/>
    <w:rsid w:val="004122B5"/>
    <w:rsid w:val="0041381B"/>
    <w:rsid w:val="00417650"/>
    <w:rsid w:val="00417B43"/>
    <w:rsid w:val="004223E8"/>
    <w:rsid w:val="00427C76"/>
    <w:rsid w:val="00432E6B"/>
    <w:rsid w:val="00432FB7"/>
    <w:rsid w:val="004376F2"/>
    <w:rsid w:val="0044162F"/>
    <w:rsid w:val="00443D55"/>
    <w:rsid w:val="004447CA"/>
    <w:rsid w:val="00445122"/>
    <w:rsid w:val="00445C65"/>
    <w:rsid w:val="00450F4F"/>
    <w:rsid w:val="004548C5"/>
    <w:rsid w:val="00457082"/>
    <w:rsid w:val="004613E7"/>
    <w:rsid w:val="004635E4"/>
    <w:rsid w:val="00463D66"/>
    <w:rsid w:val="00464346"/>
    <w:rsid w:val="0046467C"/>
    <w:rsid w:val="004652E8"/>
    <w:rsid w:val="0046654F"/>
    <w:rsid w:val="00467EB2"/>
    <w:rsid w:val="004724A0"/>
    <w:rsid w:val="004756EC"/>
    <w:rsid w:val="00476957"/>
    <w:rsid w:val="00476B03"/>
    <w:rsid w:val="0048120C"/>
    <w:rsid w:val="0048243E"/>
    <w:rsid w:val="004828B7"/>
    <w:rsid w:val="004839C8"/>
    <w:rsid w:val="00484E8B"/>
    <w:rsid w:val="004850ED"/>
    <w:rsid w:val="00485556"/>
    <w:rsid w:val="00493159"/>
    <w:rsid w:val="00494AC1"/>
    <w:rsid w:val="00494B57"/>
    <w:rsid w:val="00497AC7"/>
    <w:rsid w:val="004A012A"/>
    <w:rsid w:val="004A27FF"/>
    <w:rsid w:val="004A2CB3"/>
    <w:rsid w:val="004A3BE3"/>
    <w:rsid w:val="004A3CF1"/>
    <w:rsid w:val="004A56D6"/>
    <w:rsid w:val="004A6EA4"/>
    <w:rsid w:val="004A726D"/>
    <w:rsid w:val="004A7CFE"/>
    <w:rsid w:val="004B0528"/>
    <w:rsid w:val="004B1A8D"/>
    <w:rsid w:val="004B1AD3"/>
    <w:rsid w:val="004B2CB6"/>
    <w:rsid w:val="004B411A"/>
    <w:rsid w:val="004B50FA"/>
    <w:rsid w:val="004B6EB3"/>
    <w:rsid w:val="004B706C"/>
    <w:rsid w:val="004B779B"/>
    <w:rsid w:val="004B7F59"/>
    <w:rsid w:val="004C2B8B"/>
    <w:rsid w:val="004C32EA"/>
    <w:rsid w:val="004C4C70"/>
    <w:rsid w:val="004C74B5"/>
    <w:rsid w:val="004D114C"/>
    <w:rsid w:val="004D2C50"/>
    <w:rsid w:val="004D3BA0"/>
    <w:rsid w:val="004D4F6B"/>
    <w:rsid w:val="004D51EA"/>
    <w:rsid w:val="004D6B04"/>
    <w:rsid w:val="004E001F"/>
    <w:rsid w:val="004E47A3"/>
    <w:rsid w:val="004E709F"/>
    <w:rsid w:val="004E7CF1"/>
    <w:rsid w:val="004F0F0D"/>
    <w:rsid w:val="004F1291"/>
    <w:rsid w:val="004F22A2"/>
    <w:rsid w:val="004F2725"/>
    <w:rsid w:val="004F2BFC"/>
    <w:rsid w:val="004F327C"/>
    <w:rsid w:val="004F3874"/>
    <w:rsid w:val="004F3C0C"/>
    <w:rsid w:val="004F5114"/>
    <w:rsid w:val="005006F7"/>
    <w:rsid w:val="00500E29"/>
    <w:rsid w:val="00501BF0"/>
    <w:rsid w:val="00501D09"/>
    <w:rsid w:val="00502E0D"/>
    <w:rsid w:val="0050311F"/>
    <w:rsid w:val="005064A0"/>
    <w:rsid w:val="0050693D"/>
    <w:rsid w:val="005073EA"/>
    <w:rsid w:val="00511FC9"/>
    <w:rsid w:val="005141FD"/>
    <w:rsid w:val="00514FE4"/>
    <w:rsid w:val="00517249"/>
    <w:rsid w:val="00517F68"/>
    <w:rsid w:val="00524879"/>
    <w:rsid w:val="00524C26"/>
    <w:rsid w:val="00525E31"/>
    <w:rsid w:val="005275A7"/>
    <w:rsid w:val="00542497"/>
    <w:rsid w:val="00542D22"/>
    <w:rsid w:val="00543CE1"/>
    <w:rsid w:val="00545130"/>
    <w:rsid w:val="005505A0"/>
    <w:rsid w:val="00553A2C"/>
    <w:rsid w:val="00561E29"/>
    <w:rsid w:val="005626C4"/>
    <w:rsid w:val="00564390"/>
    <w:rsid w:val="00564C89"/>
    <w:rsid w:val="00567661"/>
    <w:rsid w:val="0057098C"/>
    <w:rsid w:val="00570EE8"/>
    <w:rsid w:val="00571D6A"/>
    <w:rsid w:val="00572C1A"/>
    <w:rsid w:val="00575E93"/>
    <w:rsid w:val="005765FA"/>
    <w:rsid w:val="0058112C"/>
    <w:rsid w:val="005825E5"/>
    <w:rsid w:val="00582BAD"/>
    <w:rsid w:val="005833E7"/>
    <w:rsid w:val="00586348"/>
    <w:rsid w:val="00586532"/>
    <w:rsid w:val="00587044"/>
    <w:rsid w:val="005874CB"/>
    <w:rsid w:val="00590DB4"/>
    <w:rsid w:val="00594D8F"/>
    <w:rsid w:val="00597526"/>
    <w:rsid w:val="00597666"/>
    <w:rsid w:val="00597E6C"/>
    <w:rsid w:val="005A16AD"/>
    <w:rsid w:val="005A627F"/>
    <w:rsid w:val="005B0283"/>
    <w:rsid w:val="005B0F38"/>
    <w:rsid w:val="005B3380"/>
    <w:rsid w:val="005B379C"/>
    <w:rsid w:val="005B3E97"/>
    <w:rsid w:val="005B670E"/>
    <w:rsid w:val="005B7D75"/>
    <w:rsid w:val="005C36E4"/>
    <w:rsid w:val="005C6703"/>
    <w:rsid w:val="005C7A6A"/>
    <w:rsid w:val="005C7DC7"/>
    <w:rsid w:val="005D4DFD"/>
    <w:rsid w:val="005D638D"/>
    <w:rsid w:val="005D6C98"/>
    <w:rsid w:val="005D7812"/>
    <w:rsid w:val="005E0194"/>
    <w:rsid w:val="005E18F9"/>
    <w:rsid w:val="005E4114"/>
    <w:rsid w:val="005E5099"/>
    <w:rsid w:val="005E584E"/>
    <w:rsid w:val="005F01EE"/>
    <w:rsid w:val="005F1A7D"/>
    <w:rsid w:val="005F1BE1"/>
    <w:rsid w:val="005F212A"/>
    <w:rsid w:val="005F3855"/>
    <w:rsid w:val="005F6E13"/>
    <w:rsid w:val="005F7762"/>
    <w:rsid w:val="005F79F0"/>
    <w:rsid w:val="00600766"/>
    <w:rsid w:val="00602A40"/>
    <w:rsid w:val="00604183"/>
    <w:rsid w:val="006055D1"/>
    <w:rsid w:val="00607466"/>
    <w:rsid w:val="00611798"/>
    <w:rsid w:val="006137E5"/>
    <w:rsid w:val="006146FC"/>
    <w:rsid w:val="006169EB"/>
    <w:rsid w:val="00624443"/>
    <w:rsid w:val="006247BE"/>
    <w:rsid w:val="00625CBE"/>
    <w:rsid w:val="00625F76"/>
    <w:rsid w:val="00627307"/>
    <w:rsid w:val="00627A82"/>
    <w:rsid w:val="00627F58"/>
    <w:rsid w:val="00630494"/>
    <w:rsid w:val="00631EF4"/>
    <w:rsid w:val="00634EE7"/>
    <w:rsid w:val="00637064"/>
    <w:rsid w:val="006371DD"/>
    <w:rsid w:val="00640A4B"/>
    <w:rsid w:val="006412C0"/>
    <w:rsid w:val="00646951"/>
    <w:rsid w:val="006471A9"/>
    <w:rsid w:val="00647BDD"/>
    <w:rsid w:val="0065194B"/>
    <w:rsid w:val="006525FD"/>
    <w:rsid w:val="00653524"/>
    <w:rsid w:val="006570B7"/>
    <w:rsid w:val="0065765D"/>
    <w:rsid w:val="006576A1"/>
    <w:rsid w:val="0066068C"/>
    <w:rsid w:val="006644F3"/>
    <w:rsid w:val="00666AFF"/>
    <w:rsid w:val="00667049"/>
    <w:rsid w:val="006704A8"/>
    <w:rsid w:val="00670A6F"/>
    <w:rsid w:val="00670D3D"/>
    <w:rsid w:val="00672F7D"/>
    <w:rsid w:val="006738BE"/>
    <w:rsid w:val="00673C1A"/>
    <w:rsid w:val="00674585"/>
    <w:rsid w:val="006766AE"/>
    <w:rsid w:val="006775B1"/>
    <w:rsid w:val="006778DD"/>
    <w:rsid w:val="00681A8B"/>
    <w:rsid w:val="00683CBD"/>
    <w:rsid w:val="00685596"/>
    <w:rsid w:val="00686100"/>
    <w:rsid w:val="00691940"/>
    <w:rsid w:val="00691C0B"/>
    <w:rsid w:val="006920D9"/>
    <w:rsid w:val="006920FA"/>
    <w:rsid w:val="00695059"/>
    <w:rsid w:val="0069627A"/>
    <w:rsid w:val="006A0A76"/>
    <w:rsid w:val="006A1F60"/>
    <w:rsid w:val="006A6553"/>
    <w:rsid w:val="006A6D2E"/>
    <w:rsid w:val="006B0182"/>
    <w:rsid w:val="006B1535"/>
    <w:rsid w:val="006B1D7E"/>
    <w:rsid w:val="006B1DEE"/>
    <w:rsid w:val="006B3438"/>
    <w:rsid w:val="006B3B76"/>
    <w:rsid w:val="006B3EE2"/>
    <w:rsid w:val="006B61D8"/>
    <w:rsid w:val="006C00F6"/>
    <w:rsid w:val="006C3DC3"/>
    <w:rsid w:val="006C6B03"/>
    <w:rsid w:val="006C75E0"/>
    <w:rsid w:val="006D0582"/>
    <w:rsid w:val="006D4C62"/>
    <w:rsid w:val="006D53D8"/>
    <w:rsid w:val="006D5D2E"/>
    <w:rsid w:val="006E0738"/>
    <w:rsid w:val="006E102D"/>
    <w:rsid w:val="006E271F"/>
    <w:rsid w:val="006E33F1"/>
    <w:rsid w:val="006E3E3A"/>
    <w:rsid w:val="006E756A"/>
    <w:rsid w:val="006F2529"/>
    <w:rsid w:val="006F3EC2"/>
    <w:rsid w:val="006F4101"/>
    <w:rsid w:val="006F43CC"/>
    <w:rsid w:val="006F65C8"/>
    <w:rsid w:val="00705FCC"/>
    <w:rsid w:val="007112E5"/>
    <w:rsid w:val="007116A8"/>
    <w:rsid w:val="007139E9"/>
    <w:rsid w:val="0071570A"/>
    <w:rsid w:val="007170B9"/>
    <w:rsid w:val="007174FE"/>
    <w:rsid w:val="00721367"/>
    <w:rsid w:val="007213B8"/>
    <w:rsid w:val="00721DAA"/>
    <w:rsid w:val="0072272B"/>
    <w:rsid w:val="007259FC"/>
    <w:rsid w:val="00725F46"/>
    <w:rsid w:val="00731799"/>
    <w:rsid w:val="007318C1"/>
    <w:rsid w:val="00732DA0"/>
    <w:rsid w:val="007343E5"/>
    <w:rsid w:val="007358D2"/>
    <w:rsid w:val="0073740F"/>
    <w:rsid w:val="00742200"/>
    <w:rsid w:val="007423E3"/>
    <w:rsid w:val="00742576"/>
    <w:rsid w:val="0074375A"/>
    <w:rsid w:val="0074431F"/>
    <w:rsid w:val="00751954"/>
    <w:rsid w:val="00756DE7"/>
    <w:rsid w:val="007606FE"/>
    <w:rsid w:val="00760AA7"/>
    <w:rsid w:val="00761B5F"/>
    <w:rsid w:val="007647FA"/>
    <w:rsid w:val="00765E81"/>
    <w:rsid w:val="00766781"/>
    <w:rsid w:val="00767EC7"/>
    <w:rsid w:val="00771885"/>
    <w:rsid w:val="00773378"/>
    <w:rsid w:val="007741B5"/>
    <w:rsid w:val="007812F0"/>
    <w:rsid w:val="00783574"/>
    <w:rsid w:val="00785876"/>
    <w:rsid w:val="007865DF"/>
    <w:rsid w:val="0078794A"/>
    <w:rsid w:val="007965FC"/>
    <w:rsid w:val="007A2080"/>
    <w:rsid w:val="007A599E"/>
    <w:rsid w:val="007A6C6E"/>
    <w:rsid w:val="007B0C0B"/>
    <w:rsid w:val="007B141A"/>
    <w:rsid w:val="007B199F"/>
    <w:rsid w:val="007B4B87"/>
    <w:rsid w:val="007B56E2"/>
    <w:rsid w:val="007C1B29"/>
    <w:rsid w:val="007C5797"/>
    <w:rsid w:val="007C668D"/>
    <w:rsid w:val="007C69F4"/>
    <w:rsid w:val="007D08EE"/>
    <w:rsid w:val="007D1EE0"/>
    <w:rsid w:val="007D2760"/>
    <w:rsid w:val="007D2B70"/>
    <w:rsid w:val="007D2C5B"/>
    <w:rsid w:val="007D3259"/>
    <w:rsid w:val="007D3D12"/>
    <w:rsid w:val="007D5157"/>
    <w:rsid w:val="007D58D6"/>
    <w:rsid w:val="007D70ED"/>
    <w:rsid w:val="007E0EF1"/>
    <w:rsid w:val="007E1AF8"/>
    <w:rsid w:val="007F48A9"/>
    <w:rsid w:val="00802148"/>
    <w:rsid w:val="008023B0"/>
    <w:rsid w:val="00804CA6"/>
    <w:rsid w:val="00810CDF"/>
    <w:rsid w:val="00811DF6"/>
    <w:rsid w:val="008122F0"/>
    <w:rsid w:val="0081405F"/>
    <w:rsid w:val="00814C7E"/>
    <w:rsid w:val="00815F31"/>
    <w:rsid w:val="00820BCC"/>
    <w:rsid w:val="0082596A"/>
    <w:rsid w:val="0082646E"/>
    <w:rsid w:val="008320B2"/>
    <w:rsid w:val="00832836"/>
    <w:rsid w:val="00834578"/>
    <w:rsid w:val="0083542B"/>
    <w:rsid w:val="008363C9"/>
    <w:rsid w:val="00836EBF"/>
    <w:rsid w:val="00841BE5"/>
    <w:rsid w:val="0084507C"/>
    <w:rsid w:val="008450E0"/>
    <w:rsid w:val="00846D7A"/>
    <w:rsid w:val="00847270"/>
    <w:rsid w:val="00850D8C"/>
    <w:rsid w:val="00854479"/>
    <w:rsid w:val="00855F84"/>
    <w:rsid w:val="008563F0"/>
    <w:rsid w:val="0086200E"/>
    <w:rsid w:val="00864917"/>
    <w:rsid w:val="00864970"/>
    <w:rsid w:val="00864D3F"/>
    <w:rsid w:val="00864D91"/>
    <w:rsid w:val="00870844"/>
    <w:rsid w:val="008723EE"/>
    <w:rsid w:val="0087487E"/>
    <w:rsid w:val="0087492C"/>
    <w:rsid w:val="00876024"/>
    <w:rsid w:val="0088187A"/>
    <w:rsid w:val="0088321C"/>
    <w:rsid w:val="008931F0"/>
    <w:rsid w:val="00893817"/>
    <w:rsid w:val="008941DD"/>
    <w:rsid w:val="008967AB"/>
    <w:rsid w:val="0089681D"/>
    <w:rsid w:val="008A407C"/>
    <w:rsid w:val="008A753D"/>
    <w:rsid w:val="008A783E"/>
    <w:rsid w:val="008B1075"/>
    <w:rsid w:val="008B252E"/>
    <w:rsid w:val="008B388D"/>
    <w:rsid w:val="008C3009"/>
    <w:rsid w:val="008D35A1"/>
    <w:rsid w:val="008D3B6D"/>
    <w:rsid w:val="008E07AB"/>
    <w:rsid w:val="008E1D20"/>
    <w:rsid w:val="008E3D1E"/>
    <w:rsid w:val="008E4DB9"/>
    <w:rsid w:val="008E7647"/>
    <w:rsid w:val="008F1362"/>
    <w:rsid w:val="008F2DD0"/>
    <w:rsid w:val="008F40D9"/>
    <w:rsid w:val="008F69CA"/>
    <w:rsid w:val="008F6ABE"/>
    <w:rsid w:val="008F79B6"/>
    <w:rsid w:val="009018CF"/>
    <w:rsid w:val="00901F01"/>
    <w:rsid w:val="00906820"/>
    <w:rsid w:val="0091101C"/>
    <w:rsid w:val="00914150"/>
    <w:rsid w:val="00914ECB"/>
    <w:rsid w:val="0091521A"/>
    <w:rsid w:val="00916BF8"/>
    <w:rsid w:val="00917EF4"/>
    <w:rsid w:val="00920370"/>
    <w:rsid w:val="00920C3C"/>
    <w:rsid w:val="00922CD3"/>
    <w:rsid w:val="00923787"/>
    <w:rsid w:val="00923D3C"/>
    <w:rsid w:val="00925ABA"/>
    <w:rsid w:val="00925E4C"/>
    <w:rsid w:val="00925E84"/>
    <w:rsid w:val="00925EFE"/>
    <w:rsid w:val="00926149"/>
    <w:rsid w:val="00926BC6"/>
    <w:rsid w:val="00931FD3"/>
    <w:rsid w:val="009326D9"/>
    <w:rsid w:val="009329BB"/>
    <w:rsid w:val="00933FF6"/>
    <w:rsid w:val="0093409E"/>
    <w:rsid w:val="00935878"/>
    <w:rsid w:val="00935ABD"/>
    <w:rsid w:val="00942DC0"/>
    <w:rsid w:val="00943E29"/>
    <w:rsid w:val="009505ED"/>
    <w:rsid w:val="00952389"/>
    <w:rsid w:val="009542BD"/>
    <w:rsid w:val="00957DDD"/>
    <w:rsid w:val="0096120F"/>
    <w:rsid w:val="00963673"/>
    <w:rsid w:val="00964152"/>
    <w:rsid w:val="00966CBE"/>
    <w:rsid w:val="00966CEF"/>
    <w:rsid w:val="00970180"/>
    <w:rsid w:val="00973E34"/>
    <w:rsid w:val="00976A94"/>
    <w:rsid w:val="00977A14"/>
    <w:rsid w:val="009817C7"/>
    <w:rsid w:val="009817D2"/>
    <w:rsid w:val="00991570"/>
    <w:rsid w:val="009952BE"/>
    <w:rsid w:val="00995E3A"/>
    <w:rsid w:val="00997492"/>
    <w:rsid w:val="00997C2C"/>
    <w:rsid w:val="009A41BA"/>
    <w:rsid w:val="009A7455"/>
    <w:rsid w:val="009A74FD"/>
    <w:rsid w:val="009A7ADB"/>
    <w:rsid w:val="009B02DB"/>
    <w:rsid w:val="009B03F7"/>
    <w:rsid w:val="009B3F81"/>
    <w:rsid w:val="009C202B"/>
    <w:rsid w:val="009C26E6"/>
    <w:rsid w:val="009C2B5D"/>
    <w:rsid w:val="009C30D3"/>
    <w:rsid w:val="009C3104"/>
    <w:rsid w:val="009C492D"/>
    <w:rsid w:val="009C4ED8"/>
    <w:rsid w:val="009C5C48"/>
    <w:rsid w:val="009C5CC2"/>
    <w:rsid w:val="009C7B08"/>
    <w:rsid w:val="009D1C9D"/>
    <w:rsid w:val="009D3AC5"/>
    <w:rsid w:val="009D4B48"/>
    <w:rsid w:val="009D5134"/>
    <w:rsid w:val="009D5E5E"/>
    <w:rsid w:val="009D6089"/>
    <w:rsid w:val="009D635B"/>
    <w:rsid w:val="009D6A1A"/>
    <w:rsid w:val="009D7B85"/>
    <w:rsid w:val="009D7C9D"/>
    <w:rsid w:val="009E2224"/>
    <w:rsid w:val="009E2459"/>
    <w:rsid w:val="009E56A0"/>
    <w:rsid w:val="009F0B09"/>
    <w:rsid w:val="009F519A"/>
    <w:rsid w:val="009F7F2E"/>
    <w:rsid w:val="00A02C61"/>
    <w:rsid w:val="00A05F49"/>
    <w:rsid w:val="00A060B3"/>
    <w:rsid w:val="00A0626A"/>
    <w:rsid w:val="00A14055"/>
    <w:rsid w:val="00A15A78"/>
    <w:rsid w:val="00A20EF1"/>
    <w:rsid w:val="00A227EE"/>
    <w:rsid w:val="00A24933"/>
    <w:rsid w:val="00A253BC"/>
    <w:rsid w:val="00A2628C"/>
    <w:rsid w:val="00A2630E"/>
    <w:rsid w:val="00A26FA1"/>
    <w:rsid w:val="00A33C6E"/>
    <w:rsid w:val="00A33E69"/>
    <w:rsid w:val="00A362FA"/>
    <w:rsid w:val="00A372E6"/>
    <w:rsid w:val="00A37D8F"/>
    <w:rsid w:val="00A41F82"/>
    <w:rsid w:val="00A421BB"/>
    <w:rsid w:val="00A42781"/>
    <w:rsid w:val="00A46924"/>
    <w:rsid w:val="00A5359E"/>
    <w:rsid w:val="00A542D6"/>
    <w:rsid w:val="00A5567B"/>
    <w:rsid w:val="00A5702C"/>
    <w:rsid w:val="00A57B67"/>
    <w:rsid w:val="00A63140"/>
    <w:rsid w:val="00A67B66"/>
    <w:rsid w:val="00A7172D"/>
    <w:rsid w:val="00A72344"/>
    <w:rsid w:val="00A73B51"/>
    <w:rsid w:val="00A740FC"/>
    <w:rsid w:val="00A74697"/>
    <w:rsid w:val="00A74B3D"/>
    <w:rsid w:val="00A76C45"/>
    <w:rsid w:val="00A777CC"/>
    <w:rsid w:val="00A80495"/>
    <w:rsid w:val="00A81E1A"/>
    <w:rsid w:val="00A8368A"/>
    <w:rsid w:val="00A84A7F"/>
    <w:rsid w:val="00A862D9"/>
    <w:rsid w:val="00A86BD3"/>
    <w:rsid w:val="00A90622"/>
    <w:rsid w:val="00A92396"/>
    <w:rsid w:val="00A94399"/>
    <w:rsid w:val="00A94CE7"/>
    <w:rsid w:val="00A95CE9"/>
    <w:rsid w:val="00A97BC1"/>
    <w:rsid w:val="00A97E18"/>
    <w:rsid w:val="00AA210D"/>
    <w:rsid w:val="00AA2F5F"/>
    <w:rsid w:val="00AA5C75"/>
    <w:rsid w:val="00AA663B"/>
    <w:rsid w:val="00AA71A8"/>
    <w:rsid w:val="00AB1CD2"/>
    <w:rsid w:val="00AB25D8"/>
    <w:rsid w:val="00AB5406"/>
    <w:rsid w:val="00AB7F96"/>
    <w:rsid w:val="00AC1A93"/>
    <w:rsid w:val="00AC33DA"/>
    <w:rsid w:val="00AC365A"/>
    <w:rsid w:val="00AC4479"/>
    <w:rsid w:val="00AC4EC9"/>
    <w:rsid w:val="00AC5FCE"/>
    <w:rsid w:val="00AD0828"/>
    <w:rsid w:val="00AD088F"/>
    <w:rsid w:val="00AD1C52"/>
    <w:rsid w:val="00AD23EA"/>
    <w:rsid w:val="00AD2577"/>
    <w:rsid w:val="00AE0132"/>
    <w:rsid w:val="00AE0280"/>
    <w:rsid w:val="00AE2A84"/>
    <w:rsid w:val="00AE3D08"/>
    <w:rsid w:val="00AE722E"/>
    <w:rsid w:val="00AF083B"/>
    <w:rsid w:val="00AF2F44"/>
    <w:rsid w:val="00AF4893"/>
    <w:rsid w:val="00AF7F92"/>
    <w:rsid w:val="00B006C9"/>
    <w:rsid w:val="00B00C9A"/>
    <w:rsid w:val="00B037C7"/>
    <w:rsid w:val="00B052F9"/>
    <w:rsid w:val="00B064C2"/>
    <w:rsid w:val="00B103F8"/>
    <w:rsid w:val="00B10B4E"/>
    <w:rsid w:val="00B1166D"/>
    <w:rsid w:val="00B1176E"/>
    <w:rsid w:val="00B1179C"/>
    <w:rsid w:val="00B13076"/>
    <w:rsid w:val="00B13422"/>
    <w:rsid w:val="00B14AF5"/>
    <w:rsid w:val="00B15B39"/>
    <w:rsid w:val="00B16E6D"/>
    <w:rsid w:val="00B3065D"/>
    <w:rsid w:val="00B31C2A"/>
    <w:rsid w:val="00B34D64"/>
    <w:rsid w:val="00B36ADE"/>
    <w:rsid w:val="00B3774C"/>
    <w:rsid w:val="00B37892"/>
    <w:rsid w:val="00B410A3"/>
    <w:rsid w:val="00B43283"/>
    <w:rsid w:val="00B5346C"/>
    <w:rsid w:val="00B54258"/>
    <w:rsid w:val="00B5450A"/>
    <w:rsid w:val="00B54CFC"/>
    <w:rsid w:val="00B54DFC"/>
    <w:rsid w:val="00B54E0E"/>
    <w:rsid w:val="00B553A4"/>
    <w:rsid w:val="00B5609A"/>
    <w:rsid w:val="00B56B8A"/>
    <w:rsid w:val="00B577F9"/>
    <w:rsid w:val="00B57B13"/>
    <w:rsid w:val="00B57DEA"/>
    <w:rsid w:val="00B57FC5"/>
    <w:rsid w:val="00B618A1"/>
    <w:rsid w:val="00B61C89"/>
    <w:rsid w:val="00B627BC"/>
    <w:rsid w:val="00B63CDD"/>
    <w:rsid w:val="00B663CB"/>
    <w:rsid w:val="00B67584"/>
    <w:rsid w:val="00B67628"/>
    <w:rsid w:val="00B708B9"/>
    <w:rsid w:val="00B717F9"/>
    <w:rsid w:val="00B72016"/>
    <w:rsid w:val="00B72385"/>
    <w:rsid w:val="00B72E75"/>
    <w:rsid w:val="00B7345F"/>
    <w:rsid w:val="00B7596F"/>
    <w:rsid w:val="00B7606D"/>
    <w:rsid w:val="00B8615A"/>
    <w:rsid w:val="00B91433"/>
    <w:rsid w:val="00B921C4"/>
    <w:rsid w:val="00B93BCC"/>
    <w:rsid w:val="00B94456"/>
    <w:rsid w:val="00B96F15"/>
    <w:rsid w:val="00BA066D"/>
    <w:rsid w:val="00BA19E7"/>
    <w:rsid w:val="00BA4E83"/>
    <w:rsid w:val="00BA53E8"/>
    <w:rsid w:val="00BA784F"/>
    <w:rsid w:val="00BA7F88"/>
    <w:rsid w:val="00BB1DAE"/>
    <w:rsid w:val="00BB268D"/>
    <w:rsid w:val="00BB3ADA"/>
    <w:rsid w:val="00BB5BF5"/>
    <w:rsid w:val="00BB5D1A"/>
    <w:rsid w:val="00BC278C"/>
    <w:rsid w:val="00BC368D"/>
    <w:rsid w:val="00BC5592"/>
    <w:rsid w:val="00BC6525"/>
    <w:rsid w:val="00BC6E24"/>
    <w:rsid w:val="00BC7B66"/>
    <w:rsid w:val="00BD0564"/>
    <w:rsid w:val="00BD2178"/>
    <w:rsid w:val="00BD2736"/>
    <w:rsid w:val="00BD3AAC"/>
    <w:rsid w:val="00BD4EA7"/>
    <w:rsid w:val="00BD5C27"/>
    <w:rsid w:val="00BE1634"/>
    <w:rsid w:val="00BE1650"/>
    <w:rsid w:val="00BE209D"/>
    <w:rsid w:val="00BE4C1E"/>
    <w:rsid w:val="00BF0286"/>
    <w:rsid w:val="00BF12F3"/>
    <w:rsid w:val="00BF1A09"/>
    <w:rsid w:val="00BF33C8"/>
    <w:rsid w:val="00BF5F31"/>
    <w:rsid w:val="00BF6E4E"/>
    <w:rsid w:val="00C00820"/>
    <w:rsid w:val="00C010F8"/>
    <w:rsid w:val="00C03FCB"/>
    <w:rsid w:val="00C042C9"/>
    <w:rsid w:val="00C06371"/>
    <w:rsid w:val="00C06C01"/>
    <w:rsid w:val="00C078EC"/>
    <w:rsid w:val="00C10686"/>
    <w:rsid w:val="00C12CB4"/>
    <w:rsid w:val="00C13368"/>
    <w:rsid w:val="00C1481F"/>
    <w:rsid w:val="00C15324"/>
    <w:rsid w:val="00C15387"/>
    <w:rsid w:val="00C15AAD"/>
    <w:rsid w:val="00C1649D"/>
    <w:rsid w:val="00C16575"/>
    <w:rsid w:val="00C17CE4"/>
    <w:rsid w:val="00C17E23"/>
    <w:rsid w:val="00C20DA4"/>
    <w:rsid w:val="00C21E1C"/>
    <w:rsid w:val="00C2239A"/>
    <w:rsid w:val="00C3138C"/>
    <w:rsid w:val="00C360A6"/>
    <w:rsid w:val="00C36C99"/>
    <w:rsid w:val="00C36F7F"/>
    <w:rsid w:val="00C371B2"/>
    <w:rsid w:val="00C37696"/>
    <w:rsid w:val="00C37F8A"/>
    <w:rsid w:val="00C40C3F"/>
    <w:rsid w:val="00C40FFB"/>
    <w:rsid w:val="00C41167"/>
    <w:rsid w:val="00C424AA"/>
    <w:rsid w:val="00C453C0"/>
    <w:rsid w:val="00C45673"/>
    <w:rsid w:val="00C46CED"/>
    <w:rsid w:val="00C47326"/>
    <w:rsid w:val="00C475FC"/>
    <w:rsid w:val="00C517DF"/>
    <w:rsid w:val="00C53EA1"/>
    <w:rsid w:val="00C56ACA"/>
    <w:rsid w:val="00C578C7"/>
    <w:rsid w:val="00C60EC2"/>
    <w:rsid w:val="00C71BC5"/>
    <w:rsid w:val="00C735EB"/>
    <w:rsid w:val="00C73727"/>
    <w:rsid w:val="00C74426"/>
    <w:rsid w:val="00C752E4"/>
    <w:rsid w:val="00C767D5"/>
    <w:rsid w:val="00C81A68"/>
    <w:rsid w:val="00C822C2"/>
    <w:rsid w:val="00C83B02"/>
    <w:rsid w:val="00C8423C"/>
    <w:rsid w:val="00C87196"/>
    <w:rsid w:val="00C929F8"/>
    <w:rsid w:val="00C92DD5"/>
    <w:rsid w:val="00CA099F"/>
    <w:rsid w:val="00CA3AFA"/>
    <w:rsid w:val="00CB196D"/>
    <w:rsid w:val="00CB5680"/>
    <w:rsid w:val="00CB6219"/>
    <w:rsid w:val="00CB6790"/>
    <w:rsid w:val="00CB7316"/>
    <w:rsid w:val="00CB770F"/>
    <w:rsid w:val="00CB79F2"/>
    <w:rsid w:val="00CC1555"/>
    <w:rsid w:val="00CC16BD"/>
    <w:rsid w:val="00CC317A"/>
    <w:rsid w:val="00CC5DCA"/>
    <w:rsid w:val="00CD14BD"/>
    <w:rsid w:val="00CD3280"/>
    <w:rsid w:val="00CD3F48"/>
    <w:rsid w:val="00CD518A"/>
    <w:rsid w:val="00CE024D"/>
    <w:rsid w:val="00CE03AA"/>
    <w:rsid w:val="00CE1440"/>
    <w:rsid w:val="00CE2619"/>
    <w:rsid w:val="00CE3D5F"/>
    <w:rsid w:val="00CF1C4E"/>
    <w:rsid w:val="00CF246D"/>
    <w:rsid w:val="00CF2B09"/>
    <w:rsid w:val="00CF327C"/>
    <w:rsid w:val="00CF3AC2"/>
    <w:rsid w:val="00CF3EC7"/>
    <w:rsid w:val="00CF44BB"/>
    <w:rsid w:val="00CF45EA"/>
    <w:rsid w:val="00CF4A8F"/>
    <w:rsid w:val="00CF53C8"/>
    <w:rsid w:val="00CF53FC"/>
    <w:rsid w:val="00CF71E4"/>
    <w:rsid w:val="00D01CF9"/>
    <w:rsid w:val="00D02C9D"/>
    <w:rsid w:val="00D032D8"/>
    <w:rsid w:val="00D034DB"/>
    <w:rsid w:val="00D03B98"/>
    <w:rsid w:val="00D128B7"/>
    <w:rsid w:val="00D128CC"/>
    <w:rsid w:val="00D12C74"/>
    <w:rsid w:val="00D134C6"/>
    <w:rsid w:val="00D15D88"/>
    <w:rsid w:val="00D24027"/>
    <w:rsid w:val="00D24592"/>
    <w:rsid w:val="00D36617"/>
    <w:rsid w:val="00D36B11"/>
    <w:rsid w:val="00D45D90"/>
    <w:rsid w:val="00D462C5"/>
    <w:rsid w:val="00D47170"/>
    <w:rsid w:val="00D5072E"/>
    <w:rsid w:val="00D52225"/>
    <w:rsid w:val="00D528C6"/>
    <w:rsid w:val="00D54A41"/>
    <w:rsid w:val="00D5539B"/>
    <w:rsid w:val="00D574D7"/>
    <w:rsid w:val="00D578DC"/>
    <w:rsid w:val="00D57BA0"/>
    <w:rsid w:val="00D600A1"/>
    <w:rsid w:val="00D60487"/>
    <w:rsid w:val="00D60A3F"/>
    <w:rsid w:val="00D61375"/>
    <w:rsid w:val="00D626E6"/>
    <w:rsid w:val="00D63C1B"/>
    <w:rsid w:val="00D64ADB"/>
    <w:rsid w:val="00D65AB0"/>
    <w:rsid w:val="00D66151"/>
    <w:rsid w:val="00D70EB3"/>
    <w:rsid w:val="00D7315B"/>
    <w:rsid w:val="00D767B3"/>
    <w:rsid w:val="00D76B62"/>
    <w:rsid w:val="00D8102C"/>
    <w:rsid w:val="00D82808"/>
    <w:rsid w:val="00D84432"/>
    <w:rsid w:val="00D854F5"/>
    <w:rsid w:val="00D90B68"/>
    <w:rsid w:val="00D95DEB"/>
    <w:rsid w:val="00DA3EFF"/>
    <w:rsid w:val="00DA4195"/>
    <w:rsid w:val="00DA5647"/>
    <w:rsid w:val="00DA7B66"/>
    <w:rsid w:val="00DA7CEB"/>
    <w:rsid w:val="00DB4172"/>
    <w:rsid w:val="00DB49E9"/>
    <w:rsid w:val="00DC3BEF"/>
    <w:rsid w:val="00DC5E63"/>
    <w:rsid w:val="00DD25AF"/>
    <w:rsid w:val="00DD3704"/>
    <w:rsid w:val="00DD3A3C"/>
    <w:rsid w:val="00DE05A5"/>
    <w:rsid w:val="00DE0F94"/>
    <w:rsid w:val="00DE5BF3"/>
    <w:rsid w:val="00DE5ED7"/>
    <w:rsid w:val="00DE6ECE"/>
    <w:rsid w:val="00DE7C94"/>
    <w:rsid w:val="00DF110A"/>
    <w:rsid w:val="00DF30A1"/>
    <w:rsid w:val="00DF36A9"/>
    <w:rsid w:val="00DF3A56"/>
    <w:rsid w:val="00DF403F"/>
    <w:rsid w:val="00DF6BBE"/>
    <w:rsid w:val="00E01A08"/>
    <w:rsid w:val="00E11E58"/>
    <w:rsid w:val="00E14092"/>
    <w:rsid w:val="00E140F8"/>
    <w:rsid w:val="00E14410"/>
    <w:rsid w:val="00E14BEF"/>
    <w:rsid w:val="00E15ED6"/>
    <w:rsid w:val="00E16DEB"/>
    <w:rsid w:val="00E21547"/>
    <w:rsid w:val="00E30FD5"/>
    <w:rsid w:val="00E31A5C"/>
    <w:rsid w:val="00E3267F"/>
    <w:rsid w:val="00E3362C"/>
    <w:rsid w:val="00E40227"/>
    <w:rsid w:val="00E4040A"/>
    <w:rsid w:val="00E41858"/>
    <w:rsid w:val="00E422DC"/>
    <w:rsid w:val="00E4289D"/>
    <w:rsid w:val="00E43765"/>
    <w:rsid w:val="00E45C71"/>
    <w:rsid w:val="00E50B8D"/>
    <w:rsid w:val="00E51D7A"/>
    <w:rsid w:val="00E54BEE"/>
    <w:rsid w:val="00E56B07"/>
    <w:rsid w:val="00E6056A"/>
    <w:rsid w:val="00E62A55"/>
    <w:rsid w:val="00E63095"/>
    <w:rsid w:val="00E64EF1"/>
    <w:rsid w:val="00E655CC"/>
    <w:rsid w:val="00E66C5F"/>
    <w:rsid w:val="00E670F7"/>
    <w:rsid w:val="00E67451"/>
    <w:rsid w:val="00E70A76"/>
    <w:rsid w:val="00E70D97"/>
    <w:rsid w:val="00E71C7C"/>
    <w:rsid w:val="00E723A9"/>
    <w:rsid w:val="00E752B2"/>
    <w:rsid w:val="00E76A4B"/>
    <w:rsid w:val="00E802A8"/>
    <w:rsid w:val="00E80302"/>
    <w:rsid w:val="00E80331"/>
    <w:rsid w:val="00E81203"/>
    <w:rsid w:val="00E8317F"/>
    <w:rsid w:val="00E8461E"/>
    <w:rsid w:val="00E864EB"/>
    <w:rsid w:val="00E90FAC"/>
    <w:rsid w:val="00E91C48"/>
    <w:rsid w:val="00E951DC"/>
    <w:rsid w:val="00EA46B8"/>
    <w:rsid w:val="00EA4DFC"/>
    <w:rsid w:val="00EA76AA"/>
    <w:rsid w:val="00EB27C4"/>
    <w:rsid w:val="00EB2B08"/>
    <w:rsid w:val="00EB5D04"/>
    <w:rsid w:val="00EB6141"/>
    <w:rsid w:val="00EB6A67"/>
    <w:rsid w:val="00EB7CA9"/>
    <w:rsid w:val="00EC0387"/>
    <w:rsid w:val="00EC0BA2"/>
    <w:rsid w:val="00EC2264"/>
    <w:rsid w:val="00EC235A"/>
    <w:rsid w:val="00EC278C"/>
    <w:rsid w:val="00EC67F0"/>
    <w:rsid w:val="00EC6B85"/>
    <w:rsid w:val="00EC72CD"/>
    <w:rsid w:val="00ED2776"/>
    <w:rsid w:val="00ED2B3F"/>
    <w:rsid w:val="00ED2C51"/>
    <w:rsid w:val="00ED56F8"/>
    <w:rsid w:val="00ED628C"/>
    <w:rsid w:val="00ED7415"/>
    <w:rsid w:val="00EE1F6E"/>
    <w:rsid w:val="00EF3F6C"/>
    <w:rsid w:val="00EF6C66"/>
    <w:rsid w:val="00EF6D4B"/>
    <w:rsid w:val="00EF7473"/>
    <w:rsid w:val="00F01326"/>
    <w:rsid w:val="00F04366"/>
    <w:rsid w:val="00F04E52"/>
    <w:rsid w:val="00F0501F"/>
    <w:rsid w:val="00F051D9"/>
    <w:rsid w:val="00F06638"/>
    <w:rsid w:val="00F075C4"/>
    <w:rsid w:val="00F07CB1"/>
    <w:rsid w:val="00F14324"/>
    <w:rsid w:val="00F14DFD"/>
    <w:rsid w:val="00F1724D"/>
    <w:rsid w:val="00F176F0"/>
    <w:rsid w:val="00F2024A"/>
    <w:rsid w:val="00F203D9"/>
    <w:rsid w:val="00F21E27"/>
    <w:rsid w:val="00F25B97"/>
    <w:rsid w:val="00F25E77"/>
    <w:rsid w:val="00F26ED0"/>
    <w:rsid w:val="00F27DA9"/>
    <w:rsid w:val="00F27EB0"/>
    <w:rsid w:val="00F3081F"/>
    <w:rsid w:val="00F3235F"/>
    <w:rsid w:val="00F3349E"/>
    <w:rsid w:val="00F33CC8"/>
    <w:rsid w:val="00F349AE"/>
    <w:rsid w:val="00F41A57"/>
    <w:rsid w:val="00F447FC"/>
    <w:rsid w:val="00F5498E"/>
    <w:rsid w:val="00F56E41"/>
    <w:rsid w:val="00F6013C"/>
    <w:rsid w:val="00F60519"/>
    <w:rsid w:val="00F60BC3"/>
    <w:rsid w:val="00F64091"/>
    <w:rsid w:val="00F64CB0"/>
    <w:rsid w:val="00F66FBC"/>
    <w:rsid w:val="00F6737B"/>
    <w:rsid w:val="00F70C3B"/>
    <w:rsid w:val="00F74361"/>
    <w:rsid w:val="00F82411"/>
    <w:rsid w:val="00F82D65"/>
    <w:rsid w:val="00F82E92"/>
    <w:rsid w:val="00F84329"/>
    <w:rsid w:val="00F8561A"/>
    <w:rsid w:val="00F874A3"/>
    <w:rsid w:val="00F915E7"/>
    <w:rsid w:val="00F91FDC"/>
    <w:rsid w:val="00F934B0"/>
    <w:rsid w:val="00F946ED"/>
    <w:rsid w:val="00FA0625"/>
    <w:rsid w:val="00FA1B80"/>
    <w:rsid w:val="00FA2740"/>
    <w:rsid w:val="00FA2BF8"/>
    <w:rsid w:val="00FA2D4A"/>
    <w:rsid w:val="00FA3F4A"/>
    <w:rsid w:val="00FA4968"/>
    <w:rsid w:val="00FB1784"/>
    <w:rsid w:val="00FB2386"/>
    <w:rsid w:val="00FB245A"/>
    <w:rsid w:val="00FB3C49"/>
    <w:rsid w:val="00FB4026"/>
    <w:rsid w:val="00FB44C4"/>
    <w:rsid w:val="00FB4947"/>
    <w:rsid w:val="00FB4F95"/>
    <w:rsid w:val="00FB6198"/>
    <w:rsid w:val="00FC0671"/>
    <w:rsid w:val="00FC382C"/>
    <w:rsid w:val="00FC4A78"/>
    <w:rsid w:val="00FC533B"/>
    <w:rsid w:val="00FC6FEA"/>
    <w:rsid w:val="00FD01FB"/>
    <w:rsid w:val="00FD0B14"/>
    <w:rsid w:val="00FD23BF"/>
    <w:rsid w:val="00FD638A"/>
    <w:rsid w:val="00FD6AFC"/>
    <w:rsid w:val="00FE064C"/>
    <w:rsid w:val="00FE3C15"/>
    <w:rsid w:val="00FF1FB8"/>
    <w:rsid w:val="00FF21F6"/>
    <w:rsid w:val="00FF5344"/>
    <w:rsid w:val="00FF6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3519F"/>
  <w15:docId w15:val="{37B39B1A-87A7-4D5C-BADB-B4A87FA9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20E"/>
    <w:rPr>
      <w:rFonts w:ascii="Arial" w:hAnsi="Arial"/>
      <w:sz w:val="28"/>
      <w:szCs w:val="24"/>
    </w:rPr>
  </w:style>
  <w:style w:type="paragraph" w:styleId="Heading1">
    <w:name w:val="heading 1"/>
    <w:basedOn w:val="Normal"/>
    <w:next w:val="Normal"/>
    <w:link w:val="Heading1Char"/>
    <w:uiPriority w:val="9"/>
    <w:qFormat/>
    <w:rsid w:val="0034120E"/>
    <w:pPr>
      <w:keepNext/>
      <w:keepLines/>
      <w:spacing w:before="480" w:after="120"/>
      <w:outlineLvl w:val="0"/>
    </w:pPr>
    <w:rPr>
      <w:rFonts w:eastAsia="Times New Roman"/>
      <w:b/>
      <w:bCs/>
      <w:sz w:val="40"/>
      <w:szCs w:val="28"/>
    </w:rPr>
  </w:style>
  <w:style w:type="paragraph" w:styleId="Heading2">
    <w:name w:val="heading 2"/>
    <w:basedOn w:val="Normal"/>
    <w:next w:val="Normal"/>
    <w:link w:val="Heading2Char"/>
    <w:uiPriority w:val="9"/>
    <w:unhideWhenUsed/>
    <w:qFormat/>
    <w:rsid w:val="0034120E"/>
    <w:pPr>
      <w:keepNext/>
      <w:keepLines/>
      <w:spacing w:before="200" w:after="120"/>
      <w:outlineLvl w:val="1"/>
    </w:pPr>
    <w:rPr>
      <w:rFonts w:eastAsia="Times New Roman"/>
      <w:b/>
      <w:bCs/>
      <w:sz w:val="36"/>
      <w:szCs w:val="26"/>
    </w:rPr>
  </w:style>
  <w:style w:type="paragraph" w:styleId="Heading3">
    <w:name w:val="heading 3"/>
    <w:basedOn w:val="Normal"/>
    <w:next w:val="Normal"/>
    <w:link w:val="Heading3Char"/>
    <w:uiPriority w:val="9"/>
    <w:semiHidden/>
    <w:unhideWhenUsed/>
    <w:rsid w:val="00D36B11"/>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D36B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rPr>
  </w:style>
  <w:style w:type="character" w:customStyle="1" w:styleId="Heading1Char">
    <w:name w:val="Heading 1 Char"/>
    <w:basedOn w:val="DefaultParagraphFont"/>
    <w:link w:val="Heading1"/>
    <w:uiPriority w:val="9"/>
    <w:rsid w:val="0034120E"/>
    <w:rPr>
      <w:rFonts w:ascii="Arial" w:eastAsia="Times New Roman" w:hAnsi="Arial"/>
      <w:b/>
      <w:bCs/>
      <w:sz w:val="40"/>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34120E"/>
    <w:rPr>
      <w:rFonts w:ascii="Arial" w:eastAsia="Times New Roman" w:hAnsi="Arial"/>
      <w:b/>
      <w:bCs/>
      <w:sz w:val="36"/>
      <w:szCs w:val="26"/>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691940"/>
    <w:pPr>
      <w:ind w:left="720"/>
      <w:contextualSpacing/>
    </w:pPr>
  </w:style>
  <w:style w:type="character" w:styleId="Hyperlink">
    <w:name w:val="Hyperlink"/>
    <w:basedOn w:val="DefaultParagraphFont"/>
    <w:uiPriority w:val="99"/>
    <w:unhideWhenUsed/>
    <w:rsid w:val="004724A0"/>
    <w:rPr>
      <w:color w:val="0000FF"/>
      <w:u w:val="single"/>
    </w:rPr>
  </w:style>
  <w:style w:type="paragraph" w:styleId="Header">
    <w:name w:val="header"/>
    <w:basedOn w:val="Normal"/>
    <w:link w:val="HeaderChar"/>
    <w:uiPriority w:val="99"/>
    <w:unhideWhenUsed/>
    <w:rsid w:val="00C12CB4"/>
    <w:pPr>
      <w:tabs>
        <w:tab w:val="center" w:pos="4513"/>
        <w:tab w:val="right" w:pos="9026"/>
      </w:tabs>
    </w:pPr>
  </w:style>
  <w:style w:type="character" w:customStyle="1" w:styleId="HeaderChar">
    <w:name w:val="Header Char"/>
    <w:basedOn w:val="DefaultParagraphFont"/>
    <w:link w:val="Header"/>
    <w:uiPriority w:val="99"/>
    <w:rsid w:val="00C12CB4"/>
    <w:rPr>
      <w:rFonts w:ascii="Times New Roman" w:hAnsi="Times New Roman"/>
      <w:sz w:val="24"/>
      <w:szCs w:val="24"/>
    </w:rPr>
  </w:style>
  <w:style w:type="paragraph" w:styleId="Footer">
    <w:name w:val="footer"/>
    <w:basedOn w:val="Normal"/>
    <w:link w:val="FooterChar"/>
    <w:uiPriority w:val="99"/>
    <w:unhideWhenUsed/>
    <w:rsid w:val="00C12CB4"/>
    <w:pPr>
      <w:tabs>
        <w:tab w:val="center" w:pos="4513"/>
        <w:tab w:val="right" w:pos="9026"/>
      </w:tabs>
    </w:pPr>
  </w:style>
  <w:style w:type="character" w:customStyle="1" w:styleId="FooterChar">
    <w:name w:val="Footer Char"/>
    <w:basedOn w:val="DefaultParagraphFont"/>
    <w:link w:val="Footer"/>
    <w:uiPriority w:val="99"/>
    <w:rsid w:val="00C12CB4"/>
    <w:rPr>
      <w:rFonts w:ascii="Times New Roman" w:hAnsi="Times New Roman"/>
      <w:sz w:val="24"/>
      <w:szCs w:val="24"/>
    </w:rPr>
  </w:style>
  <w:style w:type="table" w:styleId="TableGrid">
    <w:name w:val="Table Grid"/>
    <w:basedOn w:val="TableNormal"/>
    <w:uiPriority w:val="59"/>
    <w:rsid w:val="003412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7172D"/>
    <w:rPr>
      <w:rFonts w:ascii="Tahoma" w:hAnsi="Tahoma" w:cs="Tahoma"/>
      <w:sz w:val="16"/>
      <w:szCs w:val="16"/>
    </w:rPr>
  </w:style>
  <w:style w:type="character" w:customStyle="1" w:styleId="BalloonTextChar">
    <w:name w:val="Balloon Text Char"/>
    <w:basedOn w:val="DefaultParagraphFont"/>
    <w:link w:val="BalloonText"/>
    <w:uiPriority w:val="99"/>
    <w:semiHidden/>
    <w:rsid w:val="00A7172D"/>
    <w:rPr>
      <w:rFonts w:ascii="Tahoma" w:hAnsi="Tahoma" w:cs="Tahoma"/>
      <w:sz w:val="16"/>
      <w:szCs w:val="16"/>
    </w:rPr>
  </w:style>
  <w:style w:type="character" w:styleId="CommentReference">
    <w:name w:val="annotation reference"/>
    <w:basedOn w:val="DefaultParagraphFont"/>
    <w:uiPriority w:val="99"/>
    <w:semiHidden/>
    <w:unhideWhenUsed/>
    <w:rsid w:val="00B037C7"/>
    <w:rPr>
      <w:sz w:val="16"/>
      <w:szCs w:val="16"/>
    </w:rPr>
  </w:style>
  <w:style w:type="paragraph" w:styleId="CommentText">
    <w:name w:val="annotation text"/>
    <w:basedOn w:val="Normal"/>
    <w:link w:val="CommentTextChar"/>
    <w:uiPriority w:val="99"/>
    <w:unhideWhenUsed/>
    <w:rsid w:val="00B037C7"/>
    <w:rPr>
      <w:sz w:val="20"/>
      <w:szCs w:val="20"/>
    </w:rPr>
  </w:style>
  <w:style w:type="character" w:customStyle="1" w:styleId="CommentTextChar">
    <w:name w:val="Comment Text Char"/>
    <w:basedOn w:val="DefaultParagraphFont"/>
    <w:link w:val="CommentText"/>
    <w:uiPriority w:val="99"/>
    <w:rsid w:val="00B037C7"/>
    <w:rPr>
      <w:rFonts w:ascii="Arial" w:hAnsi="Arial"/>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basedOn w:val="DefaultParagraphFont"/>
    <w:link w:val="ListParagraph"/>
    <w:uiPriority w:val="34"/>
    <w:qFormat/>
    <w:rsid w:val="00B037C7"/>
    <w:rPr>
      <w:rFonts w:ascii="Arial" w:hAnsi="Arial"/>
      <w:sz w:val="28"/>
      <w:szCs w:val="24"/>
    </w:rPr>
  </w:style>
  <w:style w:type="paragraph" w:customStyle="1" w:styleId="Default">
    <w:name w:val="Default"/>
    <w:basedOn w:val="Normal"/>
    <w:rsid w:val="00B037C7"/>
    <w:pPr>
      <w:autoSpaceDE w:val="0"/>
      <w:autoSpaceDN w:val="0"/>
    </w:pPr>
    <w:rPr>
      <w:rFonts w:eastAsiaTheme="minorHAnsi" w:cs="Arial"/>
      <w:color w:val="000000"/>
      <w:sz w:val="24"/>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 Char,Char,fn"/>
    <w:basedOn w:val="Normal"/>
    <w:link w:val="FootnoteTextChar"/>
    <w:uiPriority w:val="99"/>
    <w:unhideWhenUsed/>
    <w:qFormat/>
    <w:rsid w:val="000104F7"/>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 Char Char,Char Char"/>
    <w:basedOn w:val="DefaultParagraphFont"/>
    <w:link w:val="FootnoteText"/>
    <w:uiPriority w:val="99"/>
    <w:rsid w:val="000104F7"/>
    <w:rPr>
      <w:rFonts w:ascii="Arial" w:hAnsi="Arial"/>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basedOn w:val="DefaultParagraphFont"/>
    <w:link w:val="4GCharCharChar"/>
    <w:uiPriority w:val="99"/>
    <w:unhideWhenUsed/>
    <w:qFormat/>
    <w:rsid w:val="000104F7"/>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104F7"/>
    <w:pPr>
      <w:spacing w:after="160" w:line="240" w:lineRule="exact"/>
      <w:jc w:val="both"/>
    </w:pPr>
    <w:rPr>
      <w:rFonts w:ascii="Calibri" w:hAnsi="Calibri"/>
      <w:sz w:val="20"/>
      <w:szCs w:val="20"/>
      <w:vertAlign w:val="superscript"/>
    </w:rPr>
  </w:style>
  <w:style w:type="character" w:styleId="FollowedHyperlink">
    <w:name w:val="FollowedHyperlink"/>
    <w:basedOn w:val="DefaultParagraphFont"/>
    <w:uiPriority w:val="99"/>
    <w:semiHidden/>
    <w:unhideWhenUsed/>
    <w:rsid w:val="000B6860"/>
    <w:rPr>
      <w:color w:val="800080" w:themeColor="followedHyperlink"/>
      <w:u w:val="single"/>
    </w:rPr>
  </w:style>
  <w:style w:type="paragraph" w:customStyle="1" w:styleId="paragraph">
    <w:name w:val="paragraph"/>
    <w:basedOn w:val="Normal"/>
    <w:rsid w:val="004A3CF1"/>
    <w:pPr>
      <w:spacing w:before="100" w:beforeAutospacing="1" w:after="100" w:afterAutospacing="1"/>
    </w:pPr>
    <w:rPr>
      <w:rFonts w:ascii="Times New Roman" w:eastAsia="Times New Roman" w:hAnsi="Times New Roman"/>
      <w:sz w:val="24"/>
    </w:rPr>
  </w:style>
  <w:style w:type="character" w:customStyle="1" w:styleId="normaltextrun">
    <w:name w:val="normaltextrun"/>
    <w:basedOn w:val="DefaultParagraphFont"/>
    <w:rsid w:val="004A3CF1"/>
  </w:style>
  <w:style w:type="character" w:customStyle="1" w:styleId="scx62787266">
    <w:name w:val="scx62787266"/>
    <w:basedOn w:val="DefaultParagraphFont"/>
    <w:rsid w:val="004A3CF1"/>
  </w:style>
  <w:style w:type="character" w:customStyle="1" w:styleId="eop">
    <w:name w:val="eop"/>
    <w:basedOn w:val="DefaultParagraphFont"/>
    <w:rsid w:val="004A3CF1"/>
  </w:style>
  <w:style w:type="character" w:customStyle="1" w:styleId="spellingerror">
    <w:name w:val="spellingerror"/>
    <w:basedOn w:val="DefaultParagraphFont"/>
    <w:rsid w:val="00DA5647"/>
  </w:style>
  <w:style w:type="character" w:customStyle="1" w:styleId="scx163287294">
    <w:name w:val="scx163287294"/>
    <w:basedOn w:val="DefaultParagraphFont"/>
    <w:rsid w:val="00DA5647"/>
  </w:style>
  <w:style w:type="paragraph" w:styleId="CommentSubject">
    <w:name w:val="annotation subject"/>
    <w:basedOn w:val="CommentText"/>
    <w:next w:val="CommentText"/>
    <w:link w:val="CommentSubjectChar"/>
    <w:uiPriority w:val="99"/>
    <w:semiHidden/>
    <w:unhideWhenUsed/>
    <w:rsid w:val="00DA5647"/>
    <w:rPr>
      <w:b/>
      <w:bCs/>
    </w:rPr>
  </w:style>
  <w:style w:type="character" w:customStyle="1" w:styleId="CommentSubjectChar">
    <w:name w:val="Comment Subject Char"/>
    <w:basedOn w:val="CommentTextChar"/>
    <w:link w:val="CommentSubject"/>
    <w:uiPriority w:val="99"/>
    <w:semiHidden/>
    <w:rsid w:val="00DA5647"/>
    <w:rPr>
      <w:rFonts w:ascii="Arial" w:hAnsi="Arial"/>
      <w:b/>
      <w:bCs/>
    </w:rPr>
  </w:style>
  <w:style w:type="paragraph" w:styleId="NormalWeb">
    <w:name w:val="Normal (Web)"/>
    <w:basedOn w:val="Normal"/>
    <w:uiPriority w:val="99"/>
    <w:unhideWhenUsed/>
    <w:rsid w:val="00FB2386"/>
    <w:pPr>
      <w:spacing w:before="100" w:beforeAutospacing="1" w:after="100" w:afterAutospacing="1"/>
    </w:pPr>
    <w:rPr>
      <w:rFonts w:ascii="Times New Roman" w:eastAsia="Times New Roman" w:hAnsi="Times New Roman"/>
      <w:sz w:val="24"/>
    </w:rPr>
  </w:style>
  <w:style w:type="character" w:customStyle="1" w:styleId="A12">
    <w:name w:val="A12"/>
    <w:uiPriority w:val="99"/>
    <w:rsid w:val="00C929F8"/>
    <w:rPr>
      <w:color w:val="000000"/>
      <w:sz w:val="11"/>
      <w:szCs w:val="11"/>
    </w:rPr>
  </w:style>
  <w:style w:type="paragraph" w:styleId="PlainText">
    <w:name w:val="Plain Text"/>
    <w:basedOn w:val="Normal"/>
    <w:link w:val="PlainTextChar"/>
    <w:uiPriority w:val="99"/>
    <w:semiHidden/>
    <w:unhideWhenUsed/>
    <w:rsid w:val="00E14092"/>
    <w:rPr>
      <w:rFonts w:eastAsiaTheme="minorHAnsi" w:cstheme="minorBidi"/>
    </w:rPr>
  </w:style>
  <w:style w:type="character" w:customStyle="1" w:styleId="PlainTextChar">
    <w:name w:val="Plain Text Char"/>
    <w:basedOn w:val="DefaultParagraphFont"/>
    <w:link w:val="PlainText"/>
    <w:uiPriority w:val="99"/>
    <w:semiHidden/>
    <w:rsid w:val="00E14092"/>
    <w:rPr>
      <w:rFonts w:ascii="Arial" w:eastAsiaTheme="minorHAnsi" w:hAnsi="Arial" w:cstheme="minorBidi"/>
      <w:sz w:val="28"/>
      <w:szCs w:val="24"/>
      <w:lang w:eastAsia="en-US"/>
    </w:rPr>
  </w:style>
  <w:style w:type="paragraph" w:styleId="EndnoteText">
    <w:name w:val="endnote text"/>
    <w:basedOn w:val="Normal"/>
    <w:link w:val="EndnoteTextChar"/>
    <w:uiPriority w:val="99"/>
    <w:unhideWhenUsed/>
    <w:rsid w:val="00AC33DA"/>
    <w:rPr>
      <w:sz w:val="20"/>
      <w:szCs w:val="20"/>
    </w:rPr>
  </w:style>
  <w:style w:type="character" w:customStyle="1" w:styleId="EndnoteTextChar">
    <w:name w:val="Endnote Text Char"/>
    <w:basedOn w:val="DefaultParagraphFont"/>
    <w:link w:val="EndnoteText"/>
    <w:uiPriority w:val="99"/>
    <w:rsid w:val="00AC33DA"/>
    <w:rPr>
      <w:rFonts w:ascii="Arial" w:hAnsi="Arial"/>
    </w:rPr>
  </w:style>
  <w:style w:type="character" w:styleId="EndnoteReference">
    <w:name w:val="endnote reference"/>
    <w:basedOn w:val="DefaultParagraphFont"/>
    <w:uiPriority w:val="99"/>
    <w:semiHidden/>
    <w:unhideWhenUsed/>
    <w:rsid w:val="00AC33DA"/>
    <w:rPr>
      <w:vertAlign w:val="superscript"/>
    </w:rPr>
  </w:style>
  <w:style w:type="paragraph" w:styleId="Revision">
    <w:name w:val="Revision"/>
    <w:hidden/>
    <w:uiPriority w:val="99"/>
    <w:semiHidden/>
    <w:rsid w:val="00017633"/>
    <w:rPr>
      <w:rFonts w:ascii="Arial" w:hAnsi="Arial"/>
      <w:sz w:val="28"/>
      <w:szCs w:val="24"/>
    </w:rPr>
  </w:style>
  <w:style w:type="character" w:customStyle="1" w:styleId="Heading3Char">
    <w:name w:val="Heading 3 Char"/>
    <w:basedOn w:val="DefaultParagraphFont"/>
    <w:link w:val="Heading3"/>
    <w:uiPriority w:val="9"/>
    <w:semiHidden/>
    <w:rsid w:val="00D36B1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36B11"/>
    <w:rPr>
      <w:rFonts w:asciiTheme="majorHAnsi" w:eastAsiaTheme="majorEastAsia" w:hAnsiTheme="majorHAnsi" w:cstheme="majorBidi"/>
      <w:i/>
      <w:iCs/>
      <w:color w:val="365F91" w:themeColor="accent1" w:themeShade="BF"/>
      <w:sz w:val="28"/>
      <w:szCs w:val="24"/>
    </w:rPr>
  </w:style>
  <w:style w:type="paragraph" w:customStyle="1" w:styleId="H23G">
    <w:name w:val="_ H_2/3_G"/>
    <w:basedOn w:val="Normal"/>
    <w:next w:val="Normal"/>
    <w:rsid w:val="00D36B11"/>
    <w:pPr>
      <w:keepNext/>
      <w:keepLines/>
      <w:tabs>
        <w:tab w:val="right" w:pos="851"/>
      </w:tabs>
      <w:suppressAutoHyphens/>
      <w:spacing w:before="240" w:after="120" w:line="240" w:lineRule="exact"/>
      <w:ind w:left="1134" w:right="1134" w:hanging="1134"/>
    </w:pPr>
    <w:rPr>
      <w:rFonts w:ascii="Times New Roman" w:eastAsia="SimSun" w:hAnsi="Times New Roman"/>
      <w:b/>
      <w:sz w:val="20"/>
      <w:szCs w:val="20"/>
      <w:lang w:eastAsia="zh-CN"/>
    </w:rPr>
  </w:style>
  <w:style w:type="paragraph" w:customStyle="1" w:styleId="SingleTxtG">
    <w:name w:val="_ Single Txt_G"/>
    <w:basedOn w:val="Normal"/>
    <w:link w:val="SingleTxtGChar"/>
    <w:qFormat/>
    <w:rsid w:val="00D36B11"/>
    <w:pPr>
      <w:suppressAutoHyphens/>
      <w:spacing w:after="120" w:line="240" w:lineRule="atLeast"/>
      <w:ind w:left="1134" w:right="1134"/>
      <w:jc w:val="both"/>
    </w:pPr>
    <w:rPr>
      <w:rFonts w:ascii="Times New Roman" w:eastAsia="SimSun" w:hAnsi="Times New Roman"/>
      <w:sz w:val="20"/>
      <w:szCs w:val="20"/>
      <w:lang w:eastAsia="zh-CN"/>
    </w:rPr>
  </w:style>
  <w:style w:type="character" w:customStyle="1" w:styleId="SingleTxtGChar">
    <w:name w:val="_ Single Txt_G Char"/>
    <w:basedOn w:val="DefaultParagraphFont"/>
    <w:link w:val="SingleTxtG"/>
    <w:rsid w:val="00D36B11"/>
    <w:rPr>
      <w:rFonts w:ascii="Times New Roman" w:eastAsia="SimSun" w:hAnsi="Times New Roman"/>
      <w:lang w:eastAsia="zh-CN"/>
    </w:rPr>
  </w:style>
  <w:style w:type="paragraph" w:customStyle="1" w:styleId="Parabeforeanother">
    <w:name w:val="&gt; Para before another"/>
    <w:basedOn w:val="Normal"/>
    <w:qFormat/>
    <w:rsid w:val="00D36B11"/>
    <w:pPr>
      <w:spacing w:after="160" w:line="312" w:lineRule="auto"/>
    </w:pPr>
    <w:rPr>
      <w:rFonts w:cs="Arial"/>
      <w:sz w:val="24"/>
    </w:rPr>
  </w:style>
  <w:style w:type="paragraph" w:customStyle="1" w:styleId="Title-subsections">
    <w:name w:val="&gt; Title - subsections"/>
    <w:basedOn w:val="Parabeforeanother"/>
    <w:qFormat/>
    <w:rsid w:val="00D36B11"/>
    <w:pPr>
      <w:spacing w:after="100"/>
    </w:pPr>
    <w:rPr>
      <w:b/>
    </w:rPr>
  </w:style>
  <w:style w:type="paragraph" w:customStyle="1" w:styleId="Bulletsbase">
    <w:name w:val="&gt; Bullets (base)"/>
    <w:basedOn w:val="Normal"/>
    <w:qFormat/>
    <w:rsid w:val="00D36B11"/>
    <w:pPr>
      <w:numPr>
        <w:numId w:val="29"/>
      </w:numPr>
      <w:spacing w:after="40" w:line="312" w:lineRule="auto"/>
    </w:pPr>
    <w:rPr>
      <w:rFonts w:cs="Arial"/>
      <w:color w:val="000000"/>
      <w:sz w:val="24"/>
    </w:rPr>
  </w:style>
  <w:style w:type="paragraph" w:customStyle="1" w:styleId="Subsection">
    <w:name w:val="Subsection"/>
    <w:basedOn w:val="Normal"/>
    <w:qFormat/>
    <w:rsid w:val="00D36B11"/>
    <w:pPr>
      <w:spacing w:after="420" w:line="312" w:lineRule="auto"/>
    </w:pPr>
    <w:rPr>
      <w:rFonts w:cs="Arial"/>
      <w:sz w:val="24"/>
    </w:rPr>
  </w:style>
  <w:style w:type="paragraph" w:customStyle="1" w:styleId="Parabeforenewsection">
    <w:name w:val="&gt; Para before new section"/>
    <w:basedOn w:val="Normal"/>
    <w:qFormat/>
    <w:rsid w:val="00D36B11"/>
    <w:pPr>
      <w:spacing w:after="680" w:line="312" w:lineRule="auto"/>
    </w:pPr>
    <w:rPr>
      <w:sz w:val="24"/>
    </w:rPr>
  </w:style>
  <w:style w:type="paragraph" w:customStyle="1" w:styleId="Paraflow">
    <w:name w:val="&gt; Para flow"/>
    <w:basedOn w:val="Normal"/>
    <w:qFormat/>
    <w:rsid w:val="00D36B11"/>
    <w:pPr>
      <w:spacing w:after="120" w:line="312" w:lineRule="auto"/>
    </w:pPr>
    <w:rPr>
      <w:rFonts w:cs="Arial"/>
      <w:sz w:val="24"/>
    </w:rPr>
  </w:style>
  <w:style w:type="paragraph" w:customStyle="1" w:styleId="Style2">
    <w:name w:val="Style2"/>
    <w:basedOn w:val="Heading3"/>
    <w:next w:val="Normal"/>
    <w:link w:val="Style2Char"/>
    <w:qFormat/>
    <w:rsid w:val="00D36B11"/>
    <w:pPr>
      <w:numPr>
        <w:ilvl w:val="2"/>
        <w:numId w:val="33"/>
      </w:numPr>
      <w:spacing w:after="160"/>
      <w:ind w:left="357"/>
    </w:pPr>
    <w:rPr>
      <w:rFonts w:ascii="Arial" w:eastAsia="MS Gothic" w:hAnsi="Arial" w:cs="Times New Roman"/>
      <w:b/>
      <w:color w:val="250858"/>
      <w:sz w:val="32"/>
      <w:szCs w:val="22"/>
    </w:rPr>
  </w:style>
  <w:style w:type="character" w:customStyle="1" w:styleId="Style2Char">
    <w:name w:val="Style2 Char"/>
    <w:link w:val="Style2"/>
    <w:rsid w:val="00D36B11"/>
    <w:rPr>
      <w:rFonts w:ascii="Arial" w:eastAsia="MS Gothic" w:hAnsi="Arial"/>
      <w:b/>
      <w:color w:val="250858"/>
      <w:sz w:val="32"/>
      <w:szCs w:val="22"/>
      <w:lang w:eastAsia="en-US"/>
    </w:rPr>
  </w:style>
  <w:style w:type="paragraph" w:customStyle="1" w:styleId="Style1">
    <w:name w:val="Style1"/>
    <w:basedOn w:val="FootnoteText"/>
    <w:link w:val="Style1Char"/>
    <w:qFormat/>
    <w:rsid w:val="00D36B11"/>
    <w:pPr>
      <w:spacing w:after="40"/>
    </w:pPr>
    <w:rPr>
      <w:rFonts w:eastAsia="Cambria" w:cs="Arial"/>
      <w:bCs/>
    </w:rPr>
  </w:style>
  <w:style w:type="character" w:customStyle="1" w:styleId="Style1Char">
    <w:name w:val="Style1 Char"/>
    <w:link w:val="Style1"/>
    <w:rsid w:val="00D36B11"/>
    <w:rPr>
      <w:rFonts w:ascii="Arial" w:eastAsia="Cambria" w:hAnsi="Arial" w:cs="Arial"/>
      <w:bCs/>
      <w:lang w:eastAsia="en-US"/>
    </w:rPr>
  </w:style>
  <w:style w:type="paragraph" w:customStyle="1" w:styleId="Quotation">
    <w:name w:val="Quotation"/>
    <w:basedOn w:val="Normal"/>
    <w:next w:val="Normal"/>
    <w:qFormat/>
    <w:rsid w:val="00D36B11"/>
    <w:pPr>
      <w:spacing w:after="160"/>
      <w:ind w:left="720" w:right="720"/>
    </w:pPr>
    <w:rPr>
      <w:rFonts w:eastAsia="Times New Roman"/>
      <w:bCs/>
      <w:szCs w:val="22"/>
      <w:lang w:bidi="en-US"/>
    </w:rPr>
  </w:style>
  <w:style w:type="character" w:styleId="Strong">
    <w:name w:val="Strong"/>
    <w:basedOn w:val="DefaultParagraphFont"/>
    <w:uiPriority w:val="22"/>
    <w:qFormat/>
    <w:rsid w:val="009C2B5D"/>
    <w:rPr>
      <w:b/>
      <w:bCs/>
    </w:rPr>
  </w:style>
  <w:style w:type="paragraph" w:customStyle="1" w:styleId="HChG">
    <w:name w:val="_ H _Ch_G"/>
    <w:basedOn w:val="Normal"/>
    <w:next w:val="Normal"/>
    <w:link w:val="HChGChar"/>
    <w:rsid w:val="00582BAD"/>
    <w:pPr>
      <w:keepNext/>
      <w:keepLines/>
      <w:tabs>
        <w:tab w:val="right" w:pos="851"/>
      </w:tabs>
      <w:suppressAutoHyphens/>
      <w:spacing w:before="360" w:after="240" w:line="300" w:lineRule="exact"/>
      <w:ind w:left="1134" w:right="1134" w:hanging="1134"/>
    </w:pPr>
    <w:rPr>
      <w:rFonts w:ascii="Times New Roman" w:eastAsia="Times New Roman" w:hAnsi="Times New Roman"/>
      <w:b/>
      <w:szCs w:val="20"/>
    </w:rPr>
  </w:style>
  <w:style w:type="character" w:customStyle="1" w:styleId="HChGChar">
    <w:name w:val="_ H _Ch_G Char"/>
    <w:link w:val="HChG"/>
    <w:rsid w:val="00582BAD"/>
    <w:rPr>
      <w:rFonts w:ascii="Times New Roman" w:eastAsia="Times New Roman" w:hAnsi="Times New Roman"/>
      <w:b/>
      <w:sz w:val="28"/>
      <w:lang w:eastAsia="en-US"/>
    </w:rPr>
  </w:style>
  <w:style w:type="character" w:customStyle="1" w:styleId="highwire-cite-metadata-journal">
    <w:name w:val="highwire-cite-metadata-journal"/>
    <w:basedOn w:val="DefaultParagraphFont"/>
    <w:rsid w:val="006B3EE2"/>
    <w:rPr>
      <w:bdr w:val="none" w:sz="0" w:space="0" w:color="auto" w:frame="1"/>
      <w:vertAlign w:val="baseline"/>
    </w:rPr>
  </w:style>
  <w:style w:type="character" w:customStyle="1" w:styleId="highwire-cite-metadata-date">
    <w:name w:val="highwire-cite-metadata-date"/>
    <w:basedOn w:val="DefaultParagraphFont"/>
    <w:rsid w:val="006B3EE2"/>
    <w:rPr>
      <w:bdr w:val="none" w:sz="0" w:space="0" w:color="auto" w:frame="1"/>
      <w:vertAlign w:val="baseline"/>
    </w:rPr>
  </w:style>
  <w:style w:type="character" w:customStyle="1" w:styleId="highwire-cite-metadata-volume">
    <w:name w:val="highwire-cite-metadata-volume"/>
    <w:basedOn w:val="DefaultParagraphFont"/>
    <w:rsid w:val="006B3EE2"/>
    <w:rPr>
      <w:bdr w:val="none" w:sz="0" w:space="0" w:color="auto" w:frame="1"/>
      <w:vertAlign w:val="baseline"/>
    </w:rPr>
  </w:style>
  <w:style w:type="character" w:customStyle="1" w:styleId="highwire-cite-metadata-issue">
    <w:name w:val="highwire-cite-metadata-issue"/>
    <w:basedOn w:val="DefaultParagraphFont"/>
    <w:rsid w:val="006B3EE2"/>
    <w:rPr>
      <w:bdr w:val="none" w:sz="0" w:space="0" w:color="auto" w:frame="1"/>
      <w:vertAlign w:val="baseline"/>
    </w:rPr>
  </w:style>
  <w:style w:type="character" w:customStyle="1" w:styleId="highwire-cite-metadata-pages">
    <w:name w:val="highwire-cite-metadata-pages"/>
    <w:basedOn w:val="DefaultParagraphFont"/>
    <w:rsid w:val="006B3EE2"/>
    <w:rPr>
      <w:bdr w:val="none" w:sz="0" w:space="0" w:color="auto" w:frame="1"/>
      <w:vertAlign w:val="baseline"/>
    </w:rPr>
  </w:style>
  <w:style w:type="character" w:customStyle="1" w:styleId="highwire-cite-metadata-doi">
    <w:name w:val="highwire-cite-metadata-doi"/>
    <w:basedOn w:val="DefaultParagraphFont"/>
    <w:rsid w:val="006B3EE2"/>
    <w:rPr>
      <w:bdr w:val="none" w:sz="0" w:space="0" w:color="auto" w:frame="1"/>
      <w:vertAlign w:val="baseline"/>
    </w:rPr>
  </w:style>
  <w:style w:type="character" w:customStyle="1" w:styleId="label1">
    <w:name w:val="label1"/>
    <w:basedOn w:val="DefaultParagraphFont"/>
    <w:rsid w:val="006B3EE2"/>
    <w:rPr>
      <w:b/>
      <w:bCs/>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6598">
      <w:bodyDiv w:val="1"/>
      <w:marLeft w:val="0"/>
      <w:marRight w:val="0"/>
      <w:marTop w:val="0"/>
      <w:marBottom w:val="0"/>
      <w:divBdr>
        <w:top w:val="none" w:sz="0" w:space="0" w:color="auto"/>
        <w:left w:val="none" w:sz="0" w:space="0" w:color="auto"/>
        <w:bottom w:val="none" w:sz="0" w:space="0" w:color="auto"/>
        <w:right w:val="none" w:sz="0" w:space="0" w:color="auto"/>
      </w:divBdr>
      <w:divsChild>
        <w:div w:id="918713689">
          <w:marLeft w:val="0"/>
          <w:marRight w:val="0"/>
          <w:marTop w:val="0"/>
          <w:marBottom w:val="0"/>
          <w:divBdr>
            <w:top w:val="none" w:sz="0" w:space="0" w:color="auto"/>
            <w:left w:val="none" w:sz="0" w:space="0" w:color="auto"/>
            <w:bottom w:val="none" w:sz="0" w:space="0" w:color="auto"/>
            <w:right w:val="none" w:sz="0" w:space="0" w:color="auto"/>
          </w:divBdr>
          <w:divsChild>
            <w:div w:id="1294216934">
              <w:marLeft w:val="0"/>
              <w:marRight w:val="0"/>
              <w:marTop w:val="0"/>
              <w:marBottom w:val="0"/>
              <w:divBdr>
                <w:top w:val="none" w:sz="0" w:space="0" w:color="auto"/>
                <w:left w:val="none" w:sz="0" w:space="0" w:color="auto"/>
                <w:bottom w:val="none" w:sz="0" w:space="0" w:color="auto"/>
                <w:right w:val="none" w:sz="0" w:space="0" w:color="auto"/>
              </w:divBdr>
              <w:divsChild>
                <w:div w:id="1445029667">
                  <w:marLeft w:val="0"/>
                  <w:marRight w:val="0"/>
                  <w:marTop w:val="0"/>
                  <w:marBottom w:val="0"/>
                  <w:divBdr>
                    <w:top w:val="none" w:sz="0" w:space="0" w:color="auto"/>
                    <w:left w:val="none" w:sz="0" w:space="0" w:color="auto"/>
                    <w:bottom w:val="none" w:sz="0" w:space="0" w:color="auto"/>
                    <w:right w:val="none" w:sz="0" w:space="0" w:color="auto"/>
                  </w:divBdr>
                  <w:divsChild>
                    <w:div w:id="1261572713">
                      <w:marLeft w:val="0"/>
                      <w:marRight w:val="0"/>
                      <w:marTop w:val="0"/>
                      <w:marBottom w:val="0"/>
                      <w:divBdr>
                        <w:top w:val="none" w:sz="0" w:space="0" w:color="auto"/>
                        <w:left w:val="none" w:sz="0" w:space="0" w:color="auto"/>
                        <w:bottom w:val="none" w:sz="0" w:space="0" w:color="auto"/>
                        <w:right w:val="none" w:sz="0" w:space="0" w:color="auto"/>
                      </w:divBdr>
                      <w:divsChild>
                        <w:div w:id="2073305272">
                          <w:marLeft w:val="0"/>
                          <w:marRight w:val="0"/>
                          <w:marTop w:val="0"/>
                          <w:marBottom w:val="0"/>
                          <w:divBdr>
                            <w:top w:val="none" w:sz="0" w:space="0" w:color="auto"/>
                            <w:left w:val="none" w:sz="0" w:space="0" w:color="auto"/>
                            <w:bottom w:val="none" w:sz="0" w:space="0" w:color="auto"/>
                            <w:right w:val="none" w:sz="0" w:space="0" w:color="auto"/>
                          </w:divBdr>
                          <w:divsChild>
                            <w:div w:id="21308589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39621">
      <w:bodyDiv w:val="1"/>
      <w:marLeft w:val="0"/>
      <w:marRight w:val="0"/>
      <w:marTop w:val="0"/>
      <w:marBottom w:val="0"/>
      <w:divBdr>
        <w:top w:val="none" w:sz="0" w:space="0" w:color="auto"/>
        <w:left w:val="none" w:sz="0" w:space="0" w:color="auto"/>
        <w:bottom w:val="none" w:sz="0" w:space="0" w:color="auto"/>
        <w:right w:val="none" w:sz="0" w:space="0" w:color="auto"/>
      </w:divBdr>
    </w:div>
    <w:div w:id="258611157">
      <w:bodyDiv w:val="1"/>
      <w:marLeft w:val="0"/>
      <w:marRight w:val="0"/>
      <w:marTop w:val="0"/>
      <w:marBottom w:val="0"/>
      <w:divBdr>
        <w:top w:val="none" w:sz="0" w:space="0" w:color="auto"/>
        <w:left w:val="none" w:sz="0" w:space="0" w:color="auto"/>
        <w:bottom w:val="none" w:sz="0" w:space="0" w:color="auto"/>
        <w:right w:val="none" w:sz="0" w:space="0" w:color="auto"/>
      </w:divBdr>
    </w:div>
    <w:div w:id="324630043">
      <w:bodyDiv w:val="1"/>
      <w:marLeft w:val="0"/>
      <w:marRight w:val="0"/>
      <w:marTop w:val="0"/>
      <w:marBottom w:val="0"/>
      <w:divBdr>
        <w:top w:val="none" w:sz="0" w:space="0" w:color="auto"/>
        <w:left w:val="none" w:sz="0" w:space="0" w:color="auto"/>
        <w:bottom w:val="none" w:sz="0" w:space="0" w:color="auto"/>
        <w:right w:val="none" w:sz="0" w:space="0" w:color="auto"/>
      </w:divBdr>
    </w:div>
    <w:div w:id="367997124">
      <w:bodyDiv w:val="1"/>
      <w:marLeft w:val="0"/>
      <w:marRight w:val="0"/>
      <w:marTop w:val="0"/>
      <w:marBottom w:val="0"/>
      <w:divBdr>
        <w:top w:val="none" w:sz="0" w:space="0" w:color="auto"/>
        <w:left w:val="none" w:sz="0" w:space="0" w:color="auto"/>
        <w:bottom w:val="none" w:sz="0" w:space="0" w:color="auto"/>
        <w:right w:val="none" w:sz="0" w:space="0" w:color="auto"/>
      </w:divBdr>
    </w:div>
    <w:div w:id="402070400">
      <w:bodyDiv w:val="1"/>
      <w:marLeft w:val="0"/>
      <w:marRight w:val="0"/>
      <w:marTop w:val="0"/>
      <w:marBottom w:val="0"/>
      <w:divBdr>
        <w:top w:val="none" w:sz="0" w:space="0" w:color="auto"/>
        <w:left w:val="none" w:sz="0" w:space="0" w:color="auto"/>
        <w:bottom w:val="none" w:sz="0" w:space="0" w:color="auto"/>
        <w:right w:val="none" w:sz="0" w:space="0" w:color="auto"/>
      </w:divBdr>
    </w:div>
    <w:div w:id="513344358">
      <w:bodyDiv w:val="1"/>
      <w:marLeft w:val="0"/>
      <w:marRight w:val="0"/>
      <w:marTop w:val="0"/>
      <w:marBottom w:val="0"/>
      <w:divBdr>
        <w:top w:val="none" w:sz="0" w:space="0" w:color="auto"/>
        <w:left w:val="none" w:sz="0" w:space="0" w:color="auto"/>
        <w:bottom w:val="none" w:sz="0" w:space="0" w:color="auto"/>
        <w:right w:val="none" w:sz="0" w:space="0" w:color="auto"/>
      </w:divBdr>
    </w:div>
    <w:div w:id="516769610">
      <w:bodyDiv w:val="1"/>
      <w:marLeft w:val="0"/>
      <w:marRight w:val="0"/>
      <w:marTop w:val="0"/>
      <w:marBottom w:val="0"/>
      <w:divBdr>
        <w:top w:val="none" w:sz="0" w:space="0" w:color="auto"/>
        <w:left w:val="none" w:sz="0" w:space="0" w:color="auto"/>
        <w:bottom w:val="none" w:sz="0" w:space="0" w:color="auto"/>
        <w:right w:val="none" w:sz="0" w:space="0" w:color="auto"/>
      </w:divBdr>
      <w:divsChild>
        <w:div w:id="666059751">
          <w:marLeft w:val="0"/>
          <w:marRight w:val="0"/>
          <w:marTop w:val="0"/>
          <w:marBottom w:val="0"/>
          <w:divBdr>
            <w:top w:val="none" w:sz="0" w:space="0" w:color="auto"/>
            <w:left w:val="none" w:sz="0" w:space="0" w:color="auto"/>
            <w:bottom w:val="none" w:sz="0" w:space="0" w:color="auto"/>
            <w:right w:val="none" w:sz="0" w:space="0" w:color="auto"/>
          </w:divBdr>
          <w:divsChild>
            <w:div w:id="66540045">
              <w:marLeft w:val="0"/>
              <w:marRight w:val="0"/>
              <w:marTop w:val="0"/>
              <w:marBottom w:val="0"/>
              <w:divBdr>
                <w:top w:val="none" w:sz="0" w:space="0" w:color="auto"/>
                <w:left w:val="none" w:sz="0" w:space="0" w:color="auto"/>
                <w:bottom w:val="none" w:sz="0" w:space="0" w:color="auto"/>
                <w:right w:val="none" w:sz="0" w:space="0" w:color="auto"/>
              </w:divBdr>
            </w:div>
            <w:div w:id="712190509">
              <w:marLeft w:val="0"/>
              <w:marRight w:val="0"/>
              <w:marTop w:val="0"/>
              <w:marBottom w:val="0"/>
              <w:divBdr>
                <w:top w:val="none" w:sz="0" w:space="0" w:color="auto"/>
                <w:left w:val="none" w:sz="0" w:space="0" w:color="auto"/>
                <w:bottom w:val="none" w:sz="0" w:space="0" w:color="auto"/>
                <w:right w:val="none" w:sz="0" w:space="0" w:color="auto"/>
              </w:divBdr>
            </w:div>
            <w:div w:id="18801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9843">
      <w:bodyDiv w:val="1"/>
      <w:marLeft w:val="0"/>
      <w:marRight w:val="0"/>
      <w:marTop w:val="0"/>
      <w:marBottom w:val="0"/>
      <w:divBdr>
        <w:top w:val="none" w:sz="0" w:space="0" w:color="auto"/>
        <w:left w:val="none" w:sz="0" w:space="0" w:color="auto"/>
        <w:bottom w:val="none" w:sz="0" w:space="0" w:color="auto"/>
        <w:right w:val="none" w:sz="0" w:space="0" w:color="auto"/>
      </w:divBdr>
    </w:div>
    <w:div w:id="642123922">
      <w:bodyDiv w:val="1"/>
      <w:marLeft w:val="0"/>
      <w:marRight w:val="0"/>
      <w:marTop w:val="0"/>
      <w:marBottom w:val="0"/>
      <w:divBdr>
        <w:top w:val="none" w:sz="0" w:space="0" w:color="auto"/>
        <w:left w:val="none" w:sz="0" w:space="0" w:color="auto"/>
        <w:bottom w:val="none" w:sz="0" w:space="0" w:color="auto"/>
        <w:right w:val="none" w:sz="0" w:space="0" w:color="auto"/>
      </w:divBdr>
    </w:div>
    <w:div w:id="823669366">
      <w:bodyDiv w:val="1"/>
      <w:marLeft w:val="0"/>
      <w:marRight w:val="0"/>
      <w:marTop w:val="0"/>
      <w:marBottom w:val="0"/>
      <w:divBdr>
        <w:top w:val="none" w:sz="0" w:space="0" w:color="auto"/>
        <w:left w:val="none" w:sz="0" w:space="0" w:color="auto"/>
        <w:bottom w:val="none" w:sz="0" w:space="0" w:color="auto"/>
        <w:right w:val="none" w:sz="0" w:space="0" w:color="auto"/>
      </w:divBdr>
    </w:div>
    <w:div w:id="881864649">
      <w:bodyDiv w:val="1"/>
      <w:marLeft w:val="0"/>
      <w:marRight w:val="0"/>
      <w:marTop w:val="0"/>
      <w:marBottom w:val="0"/>
      <w:divBdr>
        <w:top w:val="none" w:sz="0" w:space="0" w:color="auto"/>
        <w:left w:val="none" w:sz="0" w:space="0" w:color="auto"/>
        <w:bottom w:val="none" w:sz="0" w:space="0" w:color="auto"/>
        <w:right w:val="none" w:sz="0" w:space="0" w:color="auto"/>
      </w:divBdr>
    </w:div>
    <w:div w:id="888036992">
      <w:bodyDiv w:val="1"/>
      <w:marLeft w:val="0"/>
      <w:marRight w:val="0"/>
      <w:marTop w:val="0"/>
      <w:marBottom w:val="0"/>
      <w:divBdr>
        <w:top w:val="none" w:sz="0" w:space="0" w:color="auto"/>
        <w:left w:val="none" w:sz="0" w:space="0" w:color="auto"/>
        <w:bottom w:val="none" w:sz="0" w:space="0" w:color="auto"/>
        <w:right w:val="none" w:sz="0" w:space="0" w:color="auto"/>
      </w:divBdr>
    </w:div>
    <w:div w:id="958031724">
      <w:bodyDiv w:val="1"/>
      <w:marLeft w:val="0"/>
      <w:marRight w:val="0"/>
      <w:marTop w:val="0"/>
      <w:marBottom w:val="0"/>
      <w:divBdr>
        <w:top w:val="none" w:sz="0" w:space="0" w:color="auto"/>
        <w:left w:val="none" w:sz="0" w:space="0" w:color="auto"/>
        <w:bottom w:val="none" w:sz="0" w:space="0" w:color="auto"/>
        <w:right w:val="none" w:sz="0" w:space="0" w:color="auto"/>
      </w:divBdr>
      <w:divsChild>
        <w:div w:id="2045976336">
          <w:marLeft w:val="0"/>
          <w:marRight w:val="0"/>
          <w:marTop w:val="0"/>
          <w:marBottom w:val="0"/>
          <w:divBdr>
            <w:top w:val="none" w:sz="0" w:space="0" w:color="auto"/>
            <w:left w:val="none" w:sz="0" w:space="0" w:color="auto"/>
            <w:bottom w:val="none" w:sz="0" w:space="0" w:color="auto"/>
            <w:right w:val="none" w:sz="0" w:space="0" w:color="auto"/>
          </w:divBdr>
          <w:divsChild>
            <w:div w:id="178666998">
              <w:marLeft w:val="0"/>
              <w:marRight w:val="0"/>
              <w:marTop w:val="0"/>
              <w:marBottom w:val="0"/>
              <w:divBdr>
                <w:top w:val="none" w:sz="0" w:space="0" w:color="auto"/>
                <w:left w:val="none" w:sz="0" w:space="0" w:color="auto"/>
                <w:bottom w:val="none" w:sz="0" w:space="0" w:color="auto"/>
                <w:right w:val="none" w:sz="0" w:space="0" w:color="auto"/>
              </w:divBdr>
            </w:div>
            <w:div w:id="974221411">
              <w:marLeft w:val="0"/>
              <w:marRight w:val="0"/>
              <w:marTop w:val="0"/>
              <w:marBottom w:val="0"/>
              <w:divBdr>
                <w:top w:val="none" w:sz="0" w:space="0" w:color="auto"/>
                <w:left w:val="none" w:sz="0" w:space="0" w:color="auto"/>
                <w:bottom w:val="none" w:sz="0" w:space="0" w:color="auto"/>
                <w:right w:val="none" w:sz="0" w:space="0" w:color="auto"/>
              </w:divBdr>
            </w:div>
            <w:div w:id="20958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09571">
      <w:bodyDiv w:val="1"/>
      <w:marLeft w:val="0"/>
      <w:marRight w:val="0"/>
      <w:marTop w:val="0"/>
      <w:marBottom w:val="0"/>
      <w:divBdr>
        <w:top w:val="none" w:sz="0" w:space="0" w:color="auto"/>
        <w:left w:val="none" w:sz="0" w:space="0" w:color="auto"/>
        <w:bottom w:val="none" w:sz="0" w:space="0" w:color="auto"/>
        <w:right w:val="none" w:sz="0" w:space="0" w:color="auto"/>
      </w:divBdr>
    </w:div>
    <w:div w:id="1081869867">
      <w:bodyDiv w:val="1"/>
      <w:marLeft w:val="0"/>
      <w:marRight w:val="0"/>
      <w:marTop w:val="0"/>
      <w:marBottom w:val="0"/>
      <w:divBdr>
        <w:top w:val="none" w:sz="0" w:space="0" w:color="auto"/>
        <w:left w:val="none" w:sz="0" w:space="0" w:color="auto"/>
        <w:bottom w:val="none" w:sz="0" w:space="0" w:color="auto"/>
        <w:right w:val="none" w:sz="0" w:space="0" w:color="auto"/>
      </w:divBdr>
    </w:div>
    <w:div w:id="1095712689">
      <w:bodyDiv w:val="1"/>
      <w:marLeft w:val="0"/>
      <w:marRight w:val="0"/>
      <w:marTop w:val="0"/>
      <w:marBottom w:val="0"/>
      <w:divBdr>
        <w:top w:val="none" w:sz="0" w:space="0" w:color="auto"/>
        <w:left w:val="none" w:sz="0" w:space="0" w:color="auto"/>
        <w:bottom w:val="none" w:sz="0" w:space="0" w:color="auto"/>
        <w:right w:val="none" w:sz="0" w:space="0" w:color="auto"/>
      </w:divBdr>
    </w:div>
    <w:div w:id="1115637088">
      <w:bodyDiv w:val="1"/>
      <w:marLeft w:val="0"/>
      <w:marRight w:val="0"/>
      <w:marTop w:val="0"/>
      <w:marBottom w:val="0"/>
      <w:divBdr>
        <w:top w:val="none" w:sz="0" w:space="0" w:color="auto"/>
        <w:left w:val="none" w:sz="0" w:space="0" w:color="auto"/>
        <w:bottom w:val="none" w:sz="0" w:space="0" w:color="auto"/>
        <w:right w:val="none" w:sz="0" w:space="0" w:color="auto"/>
      </w:divBdr>
    </w:div>
    <w:div w:id="1126503808">
      <w:bodyDiv w:val="1"/>
      <w:marLeft w:val="0"/>
      <w:marRight w:val="0"/>
      <w:marTop w:val="0"/>
      <w:marBottom w:val="0"/>
      <w:divBdr>
        <w:top w:val="none" w:sz="0" w:space="0" w:color="auto"/>
        <w:left w:val="none" w:sz="0" w:space="0" w:color="auto"/>
        <w:bottom w:val="none" w:sz="0" w:space="0" w:color="auto"/>
        <w:right w:val="none" w:sz="0" w:space="0" w:color="auto"/>
      </w:divBdr>
    </w:div>
    <w:div w:id="1152065277">
      <w:bodyDiv w:val="1"/>
      <w:marLeft w:val="0"/>
      <w:marRight w:val="0"/>
      <w:marTop w:val="0"/>
      <w:marBottom w:val="0"/>
      <w:divBdr>
        <w:top w:val="none" w:sz="0" w:space="0" w:color="auto"/>
        <w:left w:val="none" w:sz="0" w:space="0" w:color="auto"/>
        <w:bottom w:val="none" w:sz="0" w:space="0" w:color="auto"/>
        <w:right w:val="none" w:sz="0" w:space="0" w:color="auto"/>
      </w:divBdr>
    </w:div>
    <w:div w:id="1152677099">
      <w:bodyDiv w:val="1"/>
      <w:marLeft w:val="0"/>
      <w:marRight w:val="0"/>
      <w:marTop w:val="0"/>
      <w:marBottom w:val="0"/>
      <w:divBdr>
        <w:top w:val="none" w:sz="0" w:space="0" w:color="auto"/>
        <w:left w:val="none" w:sz="0" w:space="0" w:color="auto"/>
        <w:bottom w:val="none" w:sz="0" w:space="0" w:color="auto"/>
        <w:right w:val="none" w:sz="0" w:space="0" w:color="auto"/>
      </w:divBdr>
    </w:div>
    <w:div w:id="1196430817">
      <w:bodyDiv w:val="1"/>
      <w:marLeft w:val="0"/>
      <w:marRight w:val="0"/>
      <w:marTop w:val="0"/>
      <w:marBottom w:val="0"/>
      <w:divBdr>
        <w:top w:val="none" w:sz="0" w:space="0" w:color="auto"/>
        <w:left w:val="none" w:sz="0" w:space="0" w:color="auto"/>
        <w:bottom w:val="none" w:sz="0" w:space="0" w:color="auto"/>
        <w:right w:val="none" w:sz="0" w:space="0" w:color="auto"/>
      </w:divBdr>
    </w:div>
    <w:div w:id="1207913899">
      <w:bodyDiv w:val="1"/>
      <w:marLeft w:val="0"/>
      <w:marRight w:val="0"/>
      <w:marTop w:val="0"/>
      <w:marBottom w:val="0"/>
      <w:divBdr>
        <w:top w:val="none" w:sz="0" w:space="0" w:color="auto"/>
        <w:left w:val="none" w:sz="0" w:space="0" w:color="auto"/>
        <w:bottom w:val="none" w:sz="0" w:space="0" w:color="auto"/>
        <w:right w:val="none" w:sz="0" w:space="0" w:color="auto"/>
      </w:divBdr>
    </w:div>
    <w:div w:id="1221788485">
      <w:bodyDiv w:val="1"/>
      <w:marLeft w:val="0"/>
      <w:marRight w:val="0"/>
      <w:marTop w:val="0"/>
      <w:marBottom w:val="0"/>
      <w:divBdr>
        <w:top w:val="none" w:sz="0" w:space="0" w:color="auto"/>
        <w:left w:val="none" w:sz="0" w:space="0" w:color="auto"/>
        <w:bottom w:val="none" w:sz="0" w:space="0" w:color="auto"/>
        <w:right w:val="none" w:sz="0" w:space="0" w:color="auto"/>
      </w:divBdr>
      <w:divsChild>
        <w:div w:id="1716585414">
          <w:marLeft w:val="0"/>
          <w:marRight w:val="0"/>
          <w:marTop w:val="0"/>
          <w:marBottom w:val="0"/>
          <w:divBdr>
            <w:top w:val="none" w:sz="0" w:space="0" w:color="auto"/>
            <w:left w:val="none" w:sz="0" w:space="0" w:color="auto"/>
            <w:bottom w:val="none" w:sz="0" w:space="0" w:color="auto"/>
            <w:right w:val="none" w:sz="0" w:space="0" w:color="auto"/>
          </w:divBdr>
          <w:divsChild>
            <w:div w:id="794368608">
              <w:marLeft w:val="-225"/>
              <w:marRight w:val="-225"/>
              <w:marTop w:val="0"/>
              <w:marBottom w:val="0"/>
              <w:divBdr>
                <w:top w:val="none" w:sz="0" w:space="0" w:color="auto"/>
                <w:left w:val="none" w:sz="0" w:space="0" w:color="auto"/>
                <w:bottom w:val="none" w:sz="0" w:space="0" w:color="auto"/>
                <w:right w:val="none" w:sz="0" w:space="0" w:color="auto"/>
              </w:divBdr>
              <w:divsChild>
                <w:div w:id="969899355">
                  <w:marLeft w:val="0"/>
                  <w:marRight w:val="0"/>
                  <w:marTop w:val="0"/>
                  <w:marBottom w:val="0"/>
                  <w:divBdr>
                    <w:top w:val="none" w:sz="0" w:space="0" w:color="auto"/>
                    <w:left w:val="none" w:sz="0" w:space="0" w:color="auto"/>
                    <w:bottom w:val="none" w:sz="0" w:space="0" w:color="auto"/>
                    <w:right w:val="none" w:sz="0" w:space="0" w:color="auto"/>
                  </w:divBdr>
                  <w:divsChild>
                    <w:div w:id="765736965">
                      <w:marLeft w:val="0"/>
                      <w:marRight w:val="0"/>
                      <w:marTop w:val="0"/>
                      <w:marBottom w:val="0"/>
                      <w:divBdr>
                        <w:top w:val="none" w:sz="0" w:space="0" w:color="auto"/>
                        <w:left w:val="none" w:sz="0" w:space="0" w:color="auto"/>
                        <w:bottom w:val="none" w:sz="0" w:space="0" w:color="auto"/>
                        <w:right w:val="none" w:sz="0" w:space="0" w:color="auto"/>
                      </w:divBdr>
                      <w:divsChild>
                        <w:div w:id="1715345881">
                          <w:marLeft w:val="0"/>
                          <w:marRight w:val="0"/>
                          <w:marTop w:val="0"/>
                          <w:marBottom w:val="0"/>
                          <w:divBdr>
                            <w:top w:val="none" w:sz="0" w:space="0" w:color="auto"/>
                            <w:left w:val="none" w:sz="0" w:space="0" w:color="auto"/>
                            <w:bottom w:val="none" w:sz="0" w:space="0" w:color="auto"/>
                            <w:right w:val="none" w:sz="0" w:space="0" w:color="auto"/>
                          </w:divBdr>
                          <w:divsChild>
                            <w:div w:id="1857427564">
                              <w:marLeft w:val="0"/>
                              <w:marRight w:val="0"/>
                              <w:marTop w:val="0"/>
                              <w:marBottom w:val="0"/>
                              <w:divBdr>
                                <w:top w:val="none" w:sz="0" w:space="0" w:color="auto"/>
                                <w:left w:val="none" w:sz="0" w:space="0" w:color="auto"/>
                                <w:bottom w:val="none" w:sz="0" w:space="0" w:color="auto"/>
                                <w:right w:val="none" w:sz="0" w:space="0" w:color="auto"/>
                              </w:divBdr>
                              <w:divsChild>
                                <w:div w:id="1468820137">
                                  <w:marLeft w:val="0"/>
                                  <w:marRight w:val="0"/>
                                  <w:marTop w:val="0"/>
                                  <w:marBottom w:val="0"/>
                                  <w:divBdr>
                                    <w:top w:val="none" w:sz="0" w:space="0" w:color="auto"/>
                                    <w:left w:val="none" w:sz="0" w:space="0" w:color="auto"/>
                                    <w:bottom w:val="none" w:sz="0" w:space="0" w:color="auto"/>
                                    <w:right w:val="none" w:sz="0" w:space="0" w:color="auto"/>
                                  </w:divBdr>
                                  <w:divsChild>
                                    <w:div w:id="1856460441">
                                      <w:marLeft w:val="0"/>
                                      <w:marRight w:val="0"/>
                                      <w:marTop w:val="0"/>
                                      <w:marBottom w:val="0"/>
                                      <w:divBdr>
                                        <w:top w:val="none" w:sz="0" w:space="0" w:color="auto"/>
                                        <w:left w:val="none" w:sz="0" w:space="0" w:color="auto"/>
                                        <w:bottom w:val="none" w:sz="0" w:space="0" w:color="auto"/>
                                        <w:right w:val="none" w:sz="0" w:space="0" w:color="auto"/>
                                      </w:divBdr>
                                      <w:divsChild>
                                        <w:div w:id="896865785">
                                          <w:marLeft w:val="0"/>
                                          <w:marRight w:val="0"/>
                                          <w:marTop w:val="0"/>
                                          <w:marBottom w:val="0"/>
                                          <w:divBdr>
                                            <w:top w:val="none" w:sz="0" w:space="0" w:color="auto"/>
                                            <w:left w:val="none" w:sz="0" w:space="0" w:color="auto"/>
                                            <w:bottom w:val="none" w:sz="0" w:space="0" w:color="auto"/>
                                            <w:right w:val="none" w:sz="0" w:space="0" w:color="auto"/>
                                          </w:divBdr>
                                          <w:divsChild>
                                            <w:div w:id="429277797">
                                              <w:marLeft w:val="0"/>
                                              <w:marRight w:val="0"/>
                                              <w:marTop w:val="0"/>
                                              <w:marBottom w:val="0"/>
                                              <w:divBdr>
                                                <w:top w:val="none" w:sz="0" w:space="0" w:color="auto"/>
                                                <w:left w:val="none" w:sz="0" w:space="0" w:color="auto"/>
                                                <w:bottom w:val="none" w:sz="0" w:space="0" w:color="auto"/>
                                                <w:right w:val="none" w:sz="0" w:space="0" w:color="auto"/>
                                              </w:divBdr>
                                              <w:divsChild>
                                                <w:div w:id="578635778">
                                                  <w:marLeft w:val="0"/>
                                                  <w:marRight w:val="0"/>
                                                  <w:marTop w:val="0"/>
                                                  <w:marBottom w:val="0"/>
                                                  <w:divBdr>
                                                    <w:top w:val="none" w:sz="0" w:space="0" w:color="auto"/>
                                                    <w:left w:val="none" w:sz="0" w:space="0" w:color="auto"/>
                                                    <w:bottom w:val="none" w:sz="0" w:space="0" w:color="auto"/>
                                                    <w:right w:val="none" w:sz="0" w:space="0" w:color="auto"/>
                                                  </w:divBdr>
                                                  <w:divsChild>
                                                    <w:div w:id="748961270">
                                                      <w:marLeft w:val="0"/>
                                                      <w:marRight w:val="0"/>
                                                      <w:marTop w:val="0"/>
                                                      <w:marBottom w:val="0"/>
                                                      <w:divBdr>
                                                        <w:top w:val="none" w:sz="0" w:space="0" w:color="auto"/>
                                                        <w:left w:val="none" w:sz="0" w:space="0" w:color="auto"/>
                                                        <w:bottom w:val="none" w:sz="0" w:space="0" w:color="auto"/>
                                                        <w:right w:val="none" w:sz="0" w:space="0" w:color="auto"/>
                                                      </w:divBdr>
                                                      <w:divsChild>
                                                        <w:div w:id="13043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743626">
      <w:bodyDiv w:val="1"/>
      <w:marLeft w:val="0"/>
      <w:marRight w:val="0"/>
      <w:marTop w:val="0"/>
      <w:marBottom w:val="0"/>
      <w:divBdr>
        <w:top w:val="none" w:sz="0" w:space="0" w:color="auto"/>
        <w:left w:val="none" w:sz="0" w:space="0" w:color="auto"/>
        <w:bottom w:val="none" w:sz="0" w:space="0" w:color="auto"/>
        <w:right w:val="none" w:sz="0" w:space="0" w:color="auto"/>
      </w:divBdr>
    </w:div>
    <w:div w:id="1367488739">
      <w:bodyDiv w:val="1"/>
      <w:marLeft w:val="0"/>
      <w:marRight w:val="0"/>
      <w:marTop w:val="0"/>
      <w:marBottom w:val="0"/>
      <w:divBdr>
        <w:top w:val="none" w:sz="0" w:space="0" w:color="auto"/>
        <w:left w:val="none" w:sz="0" w:space="0" w:color="auto"/>
        <w:bottom w:val="none" w:sz="0" w:space="0" w:color="auto"/>
        <w:right w:val="none" w:sz="0" w:space="0" w:color="auto"/>
      </w:divBdr>
    </w:div>
    <w:div w:id="1400859368">
      <w:bodyDiv w:val="1"/>
      <w:marLeft w:val="0"/>
      <w:marRight w:val="0"/>
      <w:marTop w:val="0"/>
      <w:marBottom w:val="0"/>
      <w:divBdr>
        <w:top w:val="none" w:sz="0" w:space="0" w:color="auto"/>
        <w:left w:val="none" w:sz="0" w:space="0" w:color="auto"/>
        <w:bottom w:val="none" w:sz="0" w:space="0" w:color="auto"/>
        <w:right w:val="none" w:sz="0" w:space="0" w:color="auto"/>
      </w:divBdr>
      <w:divsChild>
        <w:div w:id="1499732365">
          <w:marLeft w:val="0"/>
          <w:marRight w:val="0"/>
          <w:marTop w:val="0"/>
          <w:marBottom w:val="0"/>
          <w:divBdr>
            <w:top w:val="none" w:sz="0" w:space="0" w:color="auto"/>
            <w:left w:val="none" w:sz="0" w:space="0" w:color="auto"/>
            <w:bottom w:val="none" w:sz="0" w:space="0" w:color="auto"/>
            <w:right w:val="none" w:sz="0" w:space="0" w:color="auto"/>
          </w:divBdr>
          <w:divsChild>
            <w:div w:id="16784360">
              <w:marLeft w:val="0"/>
              <w:marRight w:val="0"/>
              <w:marTop w:val="0"/>
              <w:marBottom w:val="0"/>
              <w:divBdr>
                <w:top w:val="none" w:sz="0" w:space="0" w:color="auto"/>
                <w:left w:val="none" w:sz="0" w:space="0" w:color="auto"/>
                <w:bottom w:val="none" w:sz="0" w:space="0" w:color="auto"/>
                <w:right w:val="none" w:sz="0" w:space="0" w:color="auto"/>
              </w:divBdr>
            </w:div>
            <w:div w:id="258873264">
              <w:marLeft w:val="0"/>
              <w:marRight w:val="0"/>
              <w:marTop w:val="0"/>
              <w:marBottom w:val="0"/>
              <w:divBdr>
                <w:top w:val="none" w:sz="0" w:space="0" w:color="auto"/>
                <w:left w:val="none" w:sz="0" w:space="0" w:color="auto"/>
                <w:bottom w:val="none" w:sz="0" w:space="0" w:color="auto"/>
                <w:right w:val="none" w:sz="0" w:space="0" w:color="auto"/>
              </w:divBdr>
            </w:div>
            <w:div w:id="522667481">
              <w:marLeft w:val="0"/>
              <w:marRight w:val="0"/>
              <w:marTop w:val="0"/>
              <w:marBottom w:val="0"/>
              <w:divBdr>
                <w:top w:val="none" w:sz="0" w:space="0" w:color="auto"/>
                <w:left w:val="none" w:sz="0" w:space="0" w:color="auto"/>
                <w:bottom w:val="none" w:sz="0" w:space="0" w:color="auto"/>
                <w:right w:val="none" w:sz="0" w:space="0" w:color="auto"/>
              </w:divBdr>
            </w:div>
            <w:div w:id="868951454">
              <w:marLeft w:val="0"/>
              <w:marRight w:val="0"/>
              <w:marTop w:val="0"/>
              <w:marBottom w:val="0"/>
              <w:divBdr>
                <w:top w:val="none" w:sz="0" w:space="0" w:color="auto"/>
                <w:left w:val="none" w:sz="0" w:space="0" w:color="auto"/>
                <w:bottom w:val="none" w:sz="0" w:space="0" w:color="auto"/>
                <w:right w:val="none" w:sz="0" w:space="0" w:color="auto"/>
              </w:divBdr>
            </w:div>
            <w:div w:id="894773634">
              <w:marLeft w:val="0"/>
              <w:marRight w:val="0"/>
              <w:marTop w:val="0"/>
              <w:marBottom w:val="0"/>
              <w:divBdr>
                <w:top w:val="none" w:sz="0" w:space="0" w:color="auto"/>
                <w:left w:val="none" w:sz="0" w:space="0" w:color="auto"/>
                <w:bottom w:val="none" w:sz="0" w:space="0" w:color="auto"/>
                <w:right w:val="none" w:sz="0" w:space="0" w:color="auto"/>
              </w:divBdr>
            </w:div>
            <w:div w:id="1216507118">
              <w:marLeft w:val="0"/>
              <w:marRight w:val="0"/>
              <w:marTop w:val="0"/>
              <w:marBottom w:val="0"/>
              <w:divBdr>
                <w:top w:val="none" w:sz="0" w:space="0" w:color="auto"/>
                <w:left w:val="none" w:sz="0" w:space="0" w:color="auto"/>
                <w:bottom w:val="none" w:sz="0" w:space="0" w:color="auto"/>
                <w:right w:val="none" w:sz="0" w:space="0" w:color="auto"/>
              </w:divBdr>
            </w:div>
            <w:div w:id="1444157072">
              <w:marLeft w:val="0"/>
              <w:marRight w:val="0"/>
              <w:marTop w:val="0"/>
              <w:marBottom w:val="0"/>
              <w:divBdr>
                <w:top w:val="none" w:sz="0" w:space="0" w:color="auto"/>
                <w:left w:val="none" w:sz="0" w:space="0" w:color="auto"/>
                <w:bottom w:val="none" w:sz="0" w:space="0" w:color="auto"/>
                <w:right w:val="none" w:sz="0" w:space="0" w:color="auto"/>
              </w:divBdr>
            </w:div>
            <w:div w:id="16623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553">
      <w:bodyDiv w:val="1"/>
      <w:marLeft w:val="0"/>
      <w:marRight w:val="0"/>
      <w:marTop w:val="0"/>
      <w:marBottom w:val="0"/>
      <w:divBdr>
        <w:top w:val="none" w:sz="0" w:space="0" w:color="auto"/>
        <w:left w:val="none" w:sz="0" w:space="0" w:color="auto"/>
        <w:bottom w:val="none" w:sz="0" w:space="0" w:color="auto"/>
        <w:right w:val="none" w:sz="0" w:space="0" w:color="auto"/>
      </w:divBdr>
    </w:div>
    <w:div w:id="1499077013">
      <w:bodyDiv w:val="1"/>
      <w:marLeft w:val="0"/>
      <w:marRight w:val="0"/>
      <w:marTop w:val="0"/>
      <w:marBottom w:val="0"/>
      <w:divBdr>
        <w:top w:val="none" w:sz="0" w:space="0" w:color="auto"/>
        <w:left w:val="none" w:sz="0" w:space="0" w:color="auto"/>
        <w:bottom w:val="none" w:sz="0" w:space="0" w:color="auto"/>
        <w:right w:val="none" w:sz="0" w:space="0" w:color="auto"/>
      </w:divBdr>
    </w:div>
    <w:div w:id="1521821827">
      <w:bodyDiv w:val="1"/>
      <w:marLeft w:val="0"/>
      <w:marRight w:val="0"/>
      <w:marTop w:val="0"/>
      <w:marBottom w:val="0"/>
      <w:divBdr>
        <w:top w:val="none" w:sz="0" w:space="0" w:color="auto"/>
        <w:left w:val="none" w:sz="0" w:space="0" w:color="auto"/>
        <w:bottom w:val="none" w:sz="0" w:space="0" w:color="auto"/>
        <w:right w:val="none" w:sz="0" w:space="0" w:color="auto"/>
      </w:divBdr>
    </w:div>
    <w:div w:id="1611811540">
      <w:bodyDiv w:val="1"/>
      <w:marLeft w:val="0"/>
      <w:marRight w:val="0"/>
      <w:marTop w:val="0"/>
      <w:marBottom w:val="0"/>
      <w:divBdr>
        <w:top w:val="none" w:sz="0" w:space="0" w:color="auto"/>
        <w:left w:val="none" w:sz="0" w:space="0" w:color="auto"/>
        <w:bottom w:val="none" w:sz="0" w:space="0" w:color="auto"/>
        <w:right w:val="none" w:sz="0" w:space="0" w:color="auto"/>
      </w:divBdr>
    </w:div>
    <w:div w:id="1648045423">
      <w:bodyDiv w:val="1"/>
      <w:marLeft w:val="0"/>
      <w:marRight w:val="0"/>
      <w:marTop w:val="0"/>
      <w:marBottom w:val="0"/>
      <w:divBdr>
        <w:top w:val="none" w:sz="0" w:space="0" w:color="auto"/>
        <w:left w:val="none" w:sz="0" w:space="0" w:color="auto"/>
        <w:bottom w:val="none" w:sz="0" w:space="0" w:color="auto"/>
        <w:right w:val="none" w:sz="0" w:space="0" w:color="auto"/>
      </w:divBdr>
    </w:div>
    <w:div w:id="1684895551">
      <w:bodyDiv w:val="1"/>
      <w:marLeft w:val="0"/>
      <w:marRight w:val="0"/>
      <w:marTop w:val="0"/>
      <w:marBottom w:val="0"/>
      <w:divBdr>
        <w:top w:val="none" w:sz="0" w:space="0" w:color="auto"/>
        <w:left w:val="none" w:sz="0" w:space="0" w:color="auto"/>
        <w:bottom w:val="none" w:sz="0" w:space="0" w:color="auto"/>
        <w:right w:val="none" w:sz="0" w:space="0" w:color="auto"/>
      </w:divBdr>
    </w:div>
    <w:div w:id="1716612780">
      <w:bodyDiv w:val="1"/>
      <w:marLeft w:val="0"/>
      <w:marRight w:val="0"/>
      <w:marTop w:val="0"/>
      <w:marBottom w:val="0"/>
      <w:divBdr>
        <w:top w:val="none" w:sz="0" w:space="0" w:color="auto"/>
        <w:left w:val="none" w:sz="0" w:space="0" w:color="auto"/>
        <w:bottom w:val="none" w:sz="0" w:space="0" w:color="auto"/>
        <w:right w:val="none" w:sz="0" w:space="0" w:color="auto"/>
      </w:divBdr>
    </w:div>
    <w:div w:id="1752118833">
      <w:bodyDiv w:val="1"/>
      <w:marLeft w:val="0"/>
      <w:marRight w:val="0"/>
      <w:marTop w:val="0"/>
      <w:marBottom w:val="0"/>
      <w:divBdr>
        <w:top w:val="none" w:sz="0" w:space="0" w:color="auto"/>
        <w:left w:val="none" w:sz="0" w:space="0" w:color="auto"/>
        <w:bottom w:val="none" w:sz="0" w:space="0" w:color="auto"/>
        <w:right w:val="none" w:sz="0" w:space="0" w:color="auto"/>
      </w:divBdr>
      <w:divsChild>
        <w:div w:id="2014145296">
          <w:marLeft w:val="0"/>
          <w:marRight w:val="0"/>
          <w:marTop w:val="0"/>
          <w:marBottom w:val="0"/>
          <w:divBdr>
            <w:top w:val="none" w:sz="0" w:space="0" w:color="auto"/>
            <w:left w:val="none" w:sz="0" w:space="0" w:color="auto"/>
            <w:bottom w:val="none" w:sz="0" w:space="0" w:color="auto"/>
            <w:right w:val="none" w:sz="0" w:space="0" w:color="auto"/>
          </w:divBdr>
          <w:divsChild>
            <w:div w:id="1158880628">
              <w:marLeft w:val="0"/>
              <w:marRight w:val="0"/>
              <w:marTop w:val="0"/>
              <w:marBottom w:val="0"/>
              <w:divBdr>
                <w:top w:val="none" w:sz="0" w:space="0" w:color="auto"/>
                <w:left w:val="none" w:sz="0" w:space="0" w:color="auto"/>
                <w:bottom w:val="none" w:sz="0" w:space="0" w:color="auto"/>
                <w:right w:val="none" w:sz="0" w:space="0" w:color="auto"/>
              </w:divBdr>
              <w:divsChild>
                <w:div w:id="597520924">
                  <w:marLeft w:val="0"/>
                  <w:marRight w:val="0"/>
                  <w:marTop w:val="0"/>
                  <w:marBottom w:val="0"/>
                  <w:divBdr>
                    <w:top w:val="none" w:sz="0" w:space="0" w:color="auto"/>
                    <w:left w:val="none" w:sz="0" w:space="0" w:color="auto"/>
                    <w:bottom w:val="none" w:sz="0" w:space="0" w:color="auto"/>
                    <w:right w:val="none" w:sz="0" w:space="0" w:color="auto"/>
                  </w:divBdr>
                  <w:divsChild>
                    <w:div w:id="437141319">
                      <w:marLeft w:val="0"/>
                      <w:marRight w:val="0"/>
                      <w:marTop w:val="0"/>
                      <w:marBottom w:val="0"/>
                      <w:divBdr>
                        <w:top w:val="none" w:sz="0" w:space="0" w:color="auto"/>
                        <w:left w:val="none" w:sz="0" w:space="0" w:color="auto"/>
                        <w:bottom w:val="none" w:sz="0" w:space="0" w:color="auto"/>
                        <w:right w:val="none" w:sz="0" w:space="0" w:color="auto"/>
                      </w:divBdr>
                      <w:divsChild>
                        <w:div w:id="1966964484">
                          <w:marLeft w:val="0"/>
                          <w:marRight w:val="0"/>
                          <w:marTop w:val="0"/>
                          <w:marBottom w:val="0"/>
                          <w:divBdr>
                            <w:top w:val="none" w:sz="0" w:space="0" w:color="auto"/>
                            <w:left w:val="none" w:sz="0" w:space="0" w:color="auto"/>
                            <w:bottom w:val="none" w:sz="0" w:space="0" w:color="auto"/>
                            <w:right w:val="none" w:sz="0" w:space="0" w:color="auto"/>
                          </w:divBdr>
                          <w:divsChild>
                            <w:div w:id="7254491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0982">
      <w:bodyDiv w:val="1"/>
      <w:marLeft w:val="0"/>
      <w:marRight w:val="0"/>
      <w:marTop w:val="0"/>
      <w:marBottom w:val="0"/>
      <w:divBdr>
        <w:top w:val="none" w:sz="0" w:space="0" w:color="auto"/>
        <w:left w:val="none" w:sz="0" w:space="0" w:color="auto"/>
        <w:bottom w:val="none" w:sz="0" w:space="0" w:color="auto"/>
        <w:right w:val="none" w:sz="0" w:space="0" w:color="auto"/>
      </w:divBdr>
      <w:divsChild>
        <w:div w:id="1760708546">
          <w:marLeft w:val="0"/>
          <w:marRight w:val="0"/>
          <w:marTop w:val="0"/>
          <w:marBottom w:val="0"/>
          <w:divBdr>
            <w:top w:val="none" w:sz="0" w:space="0" w:color="auto"/>
            <w:left w:val="none" w:sz="0" w:space="0" w:color="auto"/>
            <w:bottom w:val="none" w:sz="0" w:space="0" w:color="auto"/>
            <w:right w:val="none" w:sz="0" w:space="0" w:color="auto"/>
          </w:divBdr>
          <w:divsChild>
            <w:div w:id="1569001746">
              <w:marLeft w:val="-225"/>
              <w:marRight w:val="-225"/>
              <w:marTop w:val="0"/>
              <w:marBottom w:val="0"/>
              <w:divBdr>
                <w:top w:val="none" w:sz="0" w:space="0" w:color="auto"/>
                <w:left w:val="none" w:sz="0" w:space="0" w:color="auto"/>
                <w:bottom w:val="none" w:sz="0" w:space="0" w:color="auto"/>
                <w:right w:val="none" w:sz="0" w:space="0" w:color="auto"/>
              </w:divBdr>
              <w:divsChild>
                <w:div w:id="1818300002">
                  <w:marLeft w:val="0"/>
                  <w:marRight w:val="0"/>
                  <w:marTop w:val="0"/>
                  <w:marBottom w:val="0"/>
                  <w:divBdr>
                    <w:top w:val="none" w:sz="0" w:space="0" w:color="auto"/>
                    <w:left w:val="none" w:sz="0" w:space="0" w:color="auto"/>
                    <w:bottom w:val="none" w:sz="0" w:space="0" w:color="auto"/>
                    <w:right w:val="none" w:sz="0" w:space="0" w:color="auto"/>
                  </w:divBdr>
                  <w:divsChild>
                    <w:div w:id="91441013">
                      <w:marLeft w:val="0"/>
                      <w:marRight w:val="0"/>
                      <w:marTop w:val="0"/>
                      <w:marBottom w:val="0"/>
                      <w:divBdr>
                        <w:top w:val="none" w:sz="0" w:space="0" w:color="auto"/>
                        <w:left w:val="none" w:sz="0" w:space="0" w:color="auto"/>
                        <w:bottom w:val="none" w:sz="0" w:space="0" w:color="auto"/>
                        <w:right w:val="none" w:sz="0" w:space="0" w:color="auto"/>
                      </w:divBdr>
                      <w:divsChild>
                        <w:div w:id="1552229225">
                          <w:marLeft w:val="0"/>
                          <w:marRight w:val="0"/>
                          <w:marTop w:val="0"/>
                          <w:marBottom w:val="0"/>
                          <w:divBdr>
                            <w:top w:val="none" w:sz="0" w:space="0" w:color="auto"/>
                            <w:left w:val="none" w:sz="0" w:space="0" w:color="auto"/>
                            <w:bottom w:val="none" w:sz="0" w:space="0" w:color="auto"/>
                            <w:right w:val="none" w:sz="0" w:space="0" w:color="auto"/>
                          </w:divBdr>
                          <w:divsChild>
                            <w:div w:id="463934261">
                              <w:marLeft w:val="0"/>
                              <w:marRight w:val="0"/>
                              <w:marTop w:val="0"/>
                              <w:marBottom w:val="0"/>
                              <w:divBdr>
                                <w:top w:val="none" w:sz="0" w:space="0" w:color="auto"/>
                                <w:left w:val="none" w:sz="0" w:space="0" w:color="auto"/>
                                <w:bottom w:val="none" w:sz="0" w:space="0" w:color="auto"/>
                                <w:right w:val="none" w:sz="0" w:space="0" w:color="auto"/>
                              </w:divBdr>
                              <w:divsChild>
                                <w:div w:id="881600475">
                                  <w:marLeft w:val="0"/>
                                  <w:marRight w:val="0"/>
                                  <w:marTop w:val="0"/>
                                  <w:marBottom w:val="0"/>
                                  <w:divBdr>
                                    <w:top w:val="none" w:sz="0" w:space="0" w:color="auto"/>
                                    <w:left w:val="none" w:sz="0" w:space="0" w:color="auto"/>
                                    <w:bottom w:val="none" w:sz="0" w:space="0" w:color="auto"/>
                                    <w:right w:val="none" w:sz="0" w:space="0" w:color="auto"/>
                                  </w:divBdr>
                                  <w:divsChild>
                                    <w:div w:id="2140950975">
                                      <w:marLeft w:val="0"/>
                                      <w:marRight w:val="0"/>
                                      <w:marTop w:val="0"/>
                                      <w:marBottom w:val="0"/>
                                      <w:divBdr>
                                        <w:top w:val="none" w:sz="0" w:space="0" w:color="auto"/>
                                        <w:left w:val="none" w:sz="0" w:space="0" w:color="auto"/>
                                        <w:bottom w:val="none" w:sz="0" w:space="0" w:color="auto"/>
                                        <w:right w:val="none" w:sz="0" w:space="0" w:color="auto"/>
                                      </w:divBdr>
                                      <w:divsChild>
                                        <w:div w:id="1965110285">
                                          <w:marLeft w:val="0"/>
                                          <w:marRight w:val="0"/>
                                          <w:marTop w:val="0"/>
                                          <w:marBottom w:val="0"/>
                                          <w:divBdr>
                                            <w:top w:val="none" w:sz="0" w:space="0" w:color="auto"/>
                                            <w:left w:val="none" w:sz="0" w:space="0" w:color="auto"/>
                                            <w:bottom w:val="none" w:sz="0" w:space="0" w:color="auto"/>
                                            <w:right w:val="none" w:sz="0" w:space="0" w:color="auto"/>
                                          </w:divBdr>
                                          <w:divsChild>
                                            <w:div w:id="987590340">
                                              <w:marLeft w:val="0"/>
                                              <w:marRight w:val="0"/>
                                              <w:marTop w:val="0"/>
                                              <w:marBottom w:val="0"/>
                                              <w:divBdr>
                                                <w:top w:val="none" w:sz="0" w:space="0" w:color="auto"/>
                                                <w:left w:val="none" w:sz="0" w:space="0" w:color="auto"/>
                                                <w:bottom w:val="none" w:sz="0" w:space="0" w:color="auto"/>
                                                <w:right w:val="none" w:sz="0" w:space="0" w:color="auto"/>
                                              </w:divBdr>
                                              <w:divsChild>
                                                <w:div w:id="80954364">
                                                  <w:marLeft w:val="0"/>
                                                  <w:marRight w:val="0"/>
                                                  <w:marTop w:val="0"/>
                                                  <w:marBottom w:val="0"/>
                                                  <w:divBdr>
                                                    <w:top w:val="none" w:sz="0" w:space="0" w:color="auto"/>
                                                    <w:left w:val="none" w:sz="0" w:space="0" w:color="auto"/>
                                                    <w:bottom w:val="none" w:sz="0" w:space="0" w:color="auto"/>
                                                    <w:right w:val="none" w:sz="0" w:space="0" w:color="auto"/>
                                                  </w:divBdr>
                                                  <w:divsChild>
                                                    <w:div w:id="456221139">
                                                      <w:marLeft w:val="0"/>
                                                      <w:marRight w:val="0"/>
                                                      <w:marTop w:val="0"/>
                                                      <w:marBottom w:val="0"/>
                                                      <w:divBdr>
                                                        <w:top w:val="none" w:sz="0" w:space="0" w:color="auto"/>
                                                        <w:left w:val="none" w:sz="0" w:space="0" w:color="auto"/>
                                                        <w:bottom w:val="none" w:sz="0" w:space="0" w:color="auto"/>
                                                        <w:right w:val="none" w:sz="0" w:space="0" w:color="auto"/>
                                                      </w:divBdr>
                                                      <w:divsChild>
                                                        <w:div w:id="9365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5670599">
      <w:bodyDiv w:val="1"/>
      <w:marLeft w:val="0"/>
      <w:marRight w:val="0"/>
      <w:marTop w:val="0"/>
      <w:marBottom w:val="0"/>
      <w:divBdr>
        <w:top w:val="none" w:sz="0" w:space="0" w:color="auto"/>
        <w:left w:val="none" w:sz="0" w:space="0" w:color="auto"/>
        <w:bottom w:val="none" w:sz="0" w:space="0" w:color="auto"/>
        <w:right w:val="none" w:sz="0" w:space="0" w:color="auto"/>
      </w:divBdr>
    </w:div>
    <w:div w:id="2041008135">
      <w:bodyDiv w:val="1"/>
      <w:marLeft w:val="0"/>
      <w:marRight w:val="0"/>
      <w:marTop w:val="0"/>
      <w:marBottom w:val="0"/>
      <w:divBdr>
        <w:top w:val="none" w:sz="0" w:space="0" w:color="auto"/>
        <w:left w:val="none" w:sz="0" w:space="0" w:color="auto"/>
        <w:bottom w:val="none" w:sz="0" w:space="0" w:color="auto"/>
        <w:right w:val="none" w:sz="0" w:space="0" w:color="auto"/>
      </w:divBdr>
    </w:div>
    <w:div w:id="2052882062">
      <w:bodyDiv w:val="1"/>
      <w:marLeft w:val="0"/>
      <w:marRight w:val="0"/>
      <w:marTop w:val="0"/>
      <w:marBottom w:val="0"/>
      <w:divBdr>
        <w:top w:val="none" w:sz="0" w:space="0" w:color="auto"/>
        <w:left w:val="none" w:sz="0" w:space="0" w:color="auto"/>
        <w:bottom w:val="none" w:sz="0" w:space="0" w:color="auto"/>
        <w:right w:val="none" w:sz="0" w:space="0" w:color="auto"/>
      </w:divBdr>
    </w:div>
    <w:div w:id="2076782234">
      <w:bodyDiv w:val="1"/>
      <w:marLeft w:val="0"/>
      <w:marRight w:val="0"/>
      <w:marTop w:val="0"/>
      <w:marBottom w:val="0"/>
      <w:divBdr>
        <w:top w:val="none" w:sz="0" w:space="0" w:color="auto"/>
        <w:left w:val="none" w:sz="0" w:space="0" w:color="auto"/>
        <w:bottom w:val="none" w:sz="0" w:space="0" w:color="auto"/>
        <w:right w:val="none" w:sz="0" w:space="0" w:color="auto"/>
      </w:divBdr>
      <w:divsChild>
        <w:div w:id="4408184">
          <w:marLeft w:val="0"/>
          <w:marRight w:val="0"/>
          <w:marTop w:val="0"/>
          <w:marBottom w:val="0"/>
          <w:divBdr>
            <w:top w:val="none" w:sz="0" w:space="0" w:color="auto"/>
            <w:left w:val="none" w:sz="0" w:space="0" w:color="auto"/>
            <w:bottom w:val="none" w:sz="0" w:space="0" w:color="auto"/>
            <w:right w:val="none" w:sz="0" w:space="0" w:color="auto"/>
          </w:divBdr>
          <w:divsChild>
            <w:div w:id="625890802">
              <w:marLeft w:val="0"/>
              <w:marRight w:val="0"/>
              <w:marTop w:val="0"/>
              <w:marBottom w:val="0"/>
              <w:divBdr>
                <w:top w:val="none" w:sz="0" w:space="0" w:color="auto"/>
                <w:left w:val="none" w:sz="0" w:space="0" w:color="auto"/>
                <w:bottom w:val="none" w:sz="0" w:space="0" w:color="auto"/>
                <w:right w:val="none" w:sz="0" w:space="0" w:color="auto"/>
              </w:divBdr>
            </w:div>
            <w:div w:id="811868539">
              <w:marLeft w:val="0"/>
              <w:marRight w:val="0"/>
              <w:marTop w:val="0"/>
              <w:marBottom w:val="0"/>
              <w:divBdr>
                <w:top w:val="none" w:sz="0" w:space="0" w:color="auto"/>
                <w:left w:val="none" w:sz="0" w:space="0" w:color="auto"/>
                <w:bottom w:val="none" w:sz="0" w:space="0" w:color="auto"/>
                <w:right w:val="none" w:sz="0" w:space="0" w:color="auto"/>
              </w:divBdr>
            </w:div>
            <w:div w:id="1131903809">
              <w:marLeft w:val="0"/>
              <w:marRight w:val="0"/>
              <w:marTop w:val="0"/>
              <w:marBottom w:val="0"/>
              <w:divBdr>
                <w:top w:val="none" w:sz="0" w:space="0" w:color="auto"/>
                <w:left w:val="none" w:sz="0" w:space="0" w:color="auto"/>
                <w:bottom w:val="none" w:sz="0" w:space="0" w:color="auto"/>
                <w:right w:val="none" w:sz="0" w:space="0" w:color="auto"/>
              </w:divBdr>
            </w:div>
            <w:div w:id="1164321740">
              <w:marLeft w:val="0"/>
              <w:marRight w:val="0"/>
              <w:marTop w:val="0"/>
              <w:marBottom w:val="0"/>
              <w:divBdr>
                <w:top w:val="none" w:sz="0" w:space="0" w:color="auto"/>
                <w:left w:val="none" w:sz="0" w:space="0" w:color="auto"/>
                <w:bottom w:val="none" w:sz="0" w:space="0" w:color="auto"/>
                <w:right w:val="none" w:sz="0" w:space="0" w:color="auto"/>
              </w:divBdr>
            </w:div>
            <w:div w:id="1170868351">
              <w:marLeft w:val="0"/>
              <w:marRight w:val="0"/>
              <w:marTop w:val="0"/>
              <w:marBottom w:val="0"/>
              <w:divBdr>
                <w:top w:val="none" w:sz="0" w:space="0" w:color="auto"/>
                <w:left w:val="none" w:sz="0" w:space="0" w:color="auto"/>
                <w:bottom w:val="none" w:sz="0" w:space="0" w:color="auto"/>
                <w:right w:val="none" w:sz="0" w:space="0" w:color="auto"/>
              </w:divBdr>
            </w:div>
            <w:div w:id="1249189778">
              <w:marLeft w:val="0"/>
              <w:marRight w:val="0"/>
              <w:marTop w:val="0"/>
              <w:marBottom w:val="0"/>
              <w:divBdr>
                <w:top w:val="none" w:sz="0" w:space="0" w:color="auto"/>
                <w:left w:val="none" w:sz="0" w:space="0" w:color="auto"/>
                <w:bottom w:val="none" w:sz="0" w:space="0" w:color="auto"/>
                <w:right w:val="none" w:sz="0" w:space="0" w:color="auto"/>
              </w:divBdr>
            </w:div>
            <w:div w:id="1344237481">
              <w:marLeft w:val="0"/>
              <w:marRight w:val="0"/>
              <w:marTop w:val="0"/>
              <w:marBottom w:val="0"/>
              <w:divBdr>
                <w:top w:val="none" w:sz="0" w:space="0" w:color="auto"/>
                <w:left w:val="none" w:sz="0" w:space="0" w:color="auto"/>
                <w:bottom w:val="none" w:sz="0" w:space="0" w:color="auto"/>
                <w:right w:val="none" w:sz="0" w:space="0" w:color="auto"/>
              </w:divBdr>
            </w:div>
            <w:div w:id="1350792639">
              <w:marLeft w:val="0"/>
              <w:marRight w:val="0"/>
              <w:marTop w:val="0"/>
              <w:marBottom w:val="0"/>
              <w:divBdr>
                <w:top w:val="none" w:sz="0" w:space="0" w:color="auto"/>
                <w:left w:val="none" w:sz="0" w:space="0" w:color="auto"/>
                <w:bottom w:val="none" w:sz="0" w:space="0" w:color="auto"/>
                <w:right w:val="none" w:sz="0" w:space="0" w:color="auto"/>
              </w:divBdr>
            </w:div>
            <w:div w:id="1859586510">
              <w:marLeft w:val="0"/>
              <w:marRight w:val="0"/>
              <w:marTop w:val="0"/>
              <w:marBottom w:val="0"/>
              <w:divBdr>
                <w:top w:val="none" w:sz="0" w:space="0" w:color="auto"/>
                <w:left w:val="none" w:sz="0" w:space="0" w:color="auto"/>
                <w:bottom w:val="none" w:sz="0" w:space="0" w:color="auto"/>
                <w:right w:val="none" w:sz="0" w:space="0" w:color="auto"/>
              </w:divBdr>
            </w:div>
          </w:divsChild>
        </w:div>
        <w:div w:id="961038635">
          <w:marLeft w:val="0"/>
          <w:marRight w:val="0"/>
          <w:marTop w:val="0"/>
          <w:marBottom w:val="0"/>
          <w:divBdr>
            <w:top w:val="none" w:sz="0" w:space="0" w:color="auto"/>
            <w:left w:val="none" w:sz="0" w:space="0" w:color="auto"/>
            <w:bottom w:val="none" w:sz="0" w:space="0" w:color="auto"/>
            <w:right w:val="none" w:sz="0" w:space="0" w:color="auto"/>
          </w:divBdr>
          <w:divsChild>
            <w:div w:id="6256169">
              <w:marLeft w:val="0"/>
              <w:marRight w:val="0"/>
              <w:marTop w:val="0"/>
              <w:marBottom w:val="0"/>
              <w:divBdr>
                <w:top w:val="none" w:sz="0" w:space="0" w:color="auto"/>
                <w:left w:val="none" w:sz="0" w:space="0" w:color="auto"/>
                <w:bottom w:val="none" w:sz="0" w:space="0" w:color="auto"/>
                <w:right w:val="none" w:sz="0" w:space="0" w:color="auto"/>
              </w:divBdr>
            </w:div>
            <w:div w:id="307974541">
              <w:marLeft w:val="0"/>
              <w:marRight w:val="0"/>
              <w:marTop w:val="0"/>
              <w:marBottom w:val="0"/>
              <w:divBdr>
                <w:top w:val="none" w:sz="0" w:space="0" w:color="auto"/>
                <w:left w:val="none" w:sz="0" w:space="0" w:color="auto"/>
                <w:bottom w:val="none" w:sz="0" w:space="0" w:color="auto"/>
                <w:right w:val="none" w:sz="0" w:space="0" w:color="auto"/>
              </w:divBdr>
            </w:div>
            <w:div w:id="353505396">
              <w:marLeft w:val="0"/>
              <w:marRight w:val="0"/>
              <w:marTop w:val="0"/>
              <w:marBottom w:val="0"/>
              <w:divBdr>
                <w:top w:val="none" w:sz="0" w:space="0" w:color="auto"/>
                <w:left w:val="none" w:sz="0" w:space="0" w:color="auto"/>
                <w:bottom w:val="none" w:sz="0" w:space="0" w:color="auto"/>
                <w:right w:val="none" w:sz="0" w:space="0" w:color="auto"/>
              </w:divBdr>
            </w:div>
            <w:div w:id="364869762">
              <w:marLeft w:val="0"/>
              <w:marRight w:val="0"/>
              <w:marTop w:val="0"/>
              <w:marBottom w:val="0"/>
              <w:divBdr>
                <w:top w:val="none" w:sz="0" w:space="0" w:color="auto"/>
                <w:left w:val="none" w:sz="0" w:space="0" w:color="auto"/>
                <w:bottom w:val="none" w:sz="0" w:space="0" w:color="auto"/>
                <w:right w:val="none" w:sz="0" w:space="0" w:color="auto"/>
              </w:divBdr>
            </w:div>
            <w:div w:id="463350753">
              <w:marLeft w:val="0"/>
              <w:marRight w:val="0"/>
              <w:marTop w:val="0"/>
              <w:marBottom w:val="0"/>
              <w:divBdr>
                <w:top w:val="none" w:sz="0" w:space="0" w:color="auto"/>
                <w:left w:val="none" w:sz="0" w:space="0" w:color="auto"/>
                <w:bottom w:val="none" w:sz="0" w:space="0" w:color="auto"/>
                <w:right w:val="none" w:sz="0" w:space="0" w:color="auto"/>
              </w:divBdr>
            </w:div>
            <w:div w:id="943072761">
              <w:marLeft w:val="0"/>
              <w:marRight w:val="0"/>
              <w:marTop w:val="0"/>
              <w:marBottom w:val="0"/>
              <w:divBdr>
                <w:top w:val="none" w:sz="0" w:space="0" w:color="auto"/>
                <w:left w:val="none" w:sz="0" w:space="0" w:color="auto"/>
                <w:bottom w:val="none" w:sz="0" w:space="0" w:color="auto"/>
                <w:right w:val="none" w:sz="0" w:space="0" w:color="auto"/>
              </w:divBdr>
            </w:div>
            <w:div w:id="1476414954">
              <w:marLeft w:val="0"/>
              <w:marRight w:val="0"/>
              <w:marTop w:val="0"/>
              <w:marBottom w:val="0"/>
              <w:divBdr>
                <w:top w:val="none" w:sz="0" w:space="0" w:color="auto"/>
                <w:left w:val="none" w:sz="0" w:space="0" w:color="auto"/>
                <w:bottom w:val="none" w:sz="0" w:space="0" w:color="auto"/>
                <w:right w:val="none" w:sz="0" w:space="0" w:color="auto"/>
              </w:divBdr>
            </w:div>
            <w:div w:id="1614091396">
              <w:marLeft w:val="0"/>
              <w:marRight w:val="0"/>
              <w:marTop w:val="0"/>
              <w:marBottom w:val="0"/>
              <w:divBdr>
                <w:top w:val="none" w:sz="0" w:space="0" w:color="auto"/>
                <w:left w:val="none" w:sz="0" w:space="0" w:color="auto"/>
                <w:bottom w:val="none" w:sz="0" w:space="0" w:color="auto"/>
                <w:right w:val="none" w:sz="0" w:space="0" w:color="auto"/>
              </w:divBdr>
            </w:div>
            <w:div w:id="1954902477">
              <w:marLeft w:val="0"/>
              <w:marRight w:val="0"/>
              <w:marTop w:val="0"/>
              <w:marBottom w:val="0"/>
              <w:divBdr>
                <w:top w:val="none" w:sz="0" w:space="0" w:color="auto"/>
                <w:left w:val="none" w:sz="0" w:space="0" w:color="auto"/>
                <w:bottom w:val="none" w:sz="0" w:space="0" w:color="auto"/>
                <w:right w:val="none" w:sz="0" w:space="0" w:color="auto"/>
              </w:divBdr>
            </w:div>
            <w:div w:id="2094206807">
              <w:marLeft w:val="0"/>
              <w:marRight w:val="0"/>
              <w:marTop w:val="0"/>
              <w:marBottom w:val="0"/>
              <w:divBdr>
                <w:top w:val="none" w:sz="0" w:space="0" w:color="auto"/>
                <w:left w:val="none" w:sz="0" w:space="0" w:color="auto"/>
                <w:bottom w:val="none" w:sz="0" w:space="0" w:color="auto"/>
                <w:right w:val="none" w:sz="0" w:space="0" w:color="auto"/>
              </w:divBdr>
            </w:div>
          </w:divsChild>
        </w:div>
        <w:div w:id="2056156666">
          <w:marLeft w:val="0"/>
          <w:marRight w:val="0"/>
          <w:marTop w:val="0"/>
          <w:marBottom w:val="0"/>
          <w:divBdr>
            <w:top w:val="none" w:sz="0" w:space="0" w:color="auto"/>
            <w:left w:val="none" w:sz="0" w:space="0" w:color="auto"/>
            <w:bottom w:val="none" w:sz="0" w:space="0" w:color="auto"/>
            <w:right w:val="none" w:sz="0" w:space="0" w:color="auto"/>
          </w:divBdr>
          <w:divsChild>
            <w:div w:id="28117712">
              <w:marLeft w:val="0"/>
              <w:marRight w:val="0"/>
              <w:marTop w:val="0"/>
              <w:marBottom w:val="0"/>
              <w:divBdr>
                <w:top w:val="none" w:sz="0" w:space="0" w:color="auto"/>
                <w:left w:val="none" w:sz="0" w:space="0" w:color="auto"/>
                <w:bottom w:val="none" w:sz="0" w:space="0" w:color="auto"/>
                <w:right w:val="none" w:sz="0" w:space="0" w:color="auto"/>
              </w:divBdr>
            </w:div>
            <w:div w:id="112673183">
              <w:marLeft w:val="0"/>
              <w:marRight w:val="0"/>
              <w:marTop w:val="0"/>
              <w:marBottom w:val="0"/>
              <w:divBdr>
                <w:top w:val="none" w:sz="0" w:space="0" w:color="auto"/>
                <w:left w:val="none" w:sz="0" w:space="0" w:color="auto"/>
                <w:bottom w:val="none" w:sz="0" w:space="0" w:color="auto"/>
                <w:right w:val="none" w:sz="0" w:space="0" w:color="auto"/>
              </w:divBdr>
            </w:div>
            <w:div w:id="120416151">
              <w:marLeft w:val="0"/>
              <w:marRight w:val="0"/>
              <w:marTop w:val="0"/>
              <w:marBottom w:val="0"/>
              <w:divBdr>
                <w:top w:val="none" w:sz="0" w:space="0" w:color="auto"/>
                <w:left w:val="none" w:sz="0" w:space="0" w:color="auto"/>
                <w:bottom w:val="none" w:sz="0" w:space="0" w:color="auto"/>
                <w:right w:val="none" w:sz="0" w:space="0" w:color="auto"/>
              </w:divBdr>
            </w:div>
            <w:div w:id="803280874">
              <w:marLeft w:val="0"/>
              <w:marRight w:val="0"/>
              <w:marTop w:val="0"/>
              <w:marBottom w:val="0"/>
              <w:divBdr>
                <w:top w:val="none" w:sz="0" w:space="0" w:color="auto"/>
                <w:left w:val="none" w:sz="0" w:space="0" w:color="auto"/>
                <w:bottom w:val="none" w:sz="0" w:space="0" w:color="auto"/>
                <w:right w:val="none" w:sz="0" w:space="0" w:color="auto"/>
              </w:divBdr>
            </w:div>
            <w:div w:id="1022433975">
              <w:marLeft w:val="0"/>
              <w:marRight w:val="0"/>
              <w:marTop w:val="0"/>
              <w:marBottom w:val="0"/>
              <w:divBdr>
                <w:top w:val="none" w:sz="0" w:space="0" w:color="auto"/>
                <w:left w:val="none" w:sz="0" w:space="0" w:color="auto"/>
                <w:bottom w:val="none" w:sz="0" w:space="0" w:color="auto"/>
                <w:right w:val="none" w:sz="0" w:space="0" w:color="auto"/>
              </w:divBdr>
            </w:div>
            <w:div w:id="1355575156">
              <w:marLeft w:val="0"/>
              <w:marRight w:val="0"/>
              <w:marTop w:val="0"/>
              <w:marBottom w:val="0"/>
              <w:divBdr>
                <w:top w:val="none" w:sz="0" w:space="0" w:color="auto"/>
                <w:left w:val="none" w:sz="0" w:space="0" w:color="auto"/>
                <w:bottom w:val="none" w:sz="0" w:space="0" w:color="auto"/>
                <w:right w:val="none" w:sz="0" w:space="0" w:color="auto"/>
              </w:divBdr>
            </w:div>
            <w:div w:id="1383097605">
              <w:marLeft w:val="0"/>
              <w:marRight w:val="0"/>
              <w:marTop w:val="0"/>
              <w:marBottom w:val="0"/>
              <w:divBdr>
                <w:top w:val="none" w:sz="0" w:space="0" w:color="auto"/>
                <w:left w:val="none" w:sz="0" w:space="0" w:color="auto"/>
                <w:bottom w:val="none" w:sz="0" w:space="0" w:color="auto"/>
                <w:right w:val="none" w:sz="0" w:space="0" w:color="auto"/>
              </w:divBdr>
            </w:div>
            <w:div w:id="1668166363">
              <w:marLeft w:val="0"/>
              <w:marRight w:val="0"/>
              <w:marTop w:val="0"/>
              <w:marBottom w:val="0"/>
              <w:divBdr>
                <w:top w:val="none" w:sz="0" w:space="0" w:color="auto"/>
                <w:left w:val="none" w:sz="0" w:space="0" w:color="auto"/>
                <w:bottom w:val="none" w:sz="0" w:space="0" w:color="auto"/>
                <w:right w:val="none" w:sz="0" w:space="0" w:color="auto"/>
              </w:divBdr>
            </w:div>
            <w:div w:id="18336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69446">
      <w:bodyDiv w:val="1"/>
      <w:marLeft w:val="0"/>
      <w:marRight w:val="0"/>
      <w:marTop w:val="0"/>
      <w:marBottom w:val="0"/>
      <w:divBdr>
        <w:top w:val="none" w:sz="0" w:space="0" w:color="auto"/>
        <w:left w:val="none" w:sz="0" w:space="0" w:color="auto"/>
        <w:bottom w:val="none" w:sz="0" w:space="0" w:color="auto"/>
        <w:right w:val="none" w:sz="0" w:space="0" w:color="auto"/>
      </w:divBdr>
    </w:div>
    <w:div w:id="2122533647">
      <w:bodyDiv w:val="1"/>
      <w:marLeft w:val="0"/>
      <w:marRight w:val="0"/>
      <w:marTop w:val="0"/>
      <w:marBottom w:val="0"/>
      <w:divBdr>
        <w:top w:val="none" w:sz="0" w:space="0" w:color="auto"/>
        <w:left w:val="none" w:sz="0" w:space="0" w:color="auto"/>
        <w:bottom w:val="none" w:sz="0" w:space="0" w:color="auto"/>
        <w:right w:val="none" w:sz="0" w:space="0" w:color="auto"/>
      </w:divBdr>
    </w:div>
    <w:div w:id="21375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alityhumanright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equalityhumanrights.com/en/housing-and-disabled-people-britain%E2%80%99s-hidden-crisis" TargetMode="External"/><Relationship Id="rId13" Type="http://schemas.openxmlformats.org/officeDocument/2006/relationships/hyperlink" Target="https://www.legislation.gov.uk/ukpga/2010/15/section/149" TargetMode="External"/><Relationship Id="rId18" Type="http://schemas.openxmlformats.org/officeDocument/2006/relationships/hyperlink" Target="https://tbinternet.ohchr.org/_layouts/treatybodyexternal/Download.aspx?symbolno=CRPD%2fC%2fGBR%2fCO%2f1&amp;Lang=en" TargetMode="External"/><Relationship Id="rId26" Type="http://schemas.openxmlformats.org/officeDocument/2006/relationships/hyperlink" Target="https://www.equalityhumanrights.com/en/publication-download/disability-rights-uk-updated-submission-un-committee-rights-persons" TargetMode="External"/><Relationship Id="rId3" Type="http://schemas.openxmlformats.org/officeDocument/2006/relationships/hyperlink" Target="https://www.kingsfund.org.uk/publications/funding-staffing-mental-health-providers" TargetMode="External"/><Relationship Id="rId21" Type="http://schemas.openxmlformats.org/officeDocument/2006/relationships/hyperlink" Target="https://www.equalityhumanrights.com/en/publication-download/disability-rights-uk-updated-submission-un-committee-rights-persons" TargetMode="External"/><Relationship Id="rId7" Type="http://schemas.openxmlformats.org/officeDocument/2006/relationships/hyperlink" Target="https://www.equalityhumanrights.com/en/britain-fairer" TargetMode="External"/><Relationship Id="rId12" Type="http://schemas.openxmlformats.org/officeDocument/2006/relationships/hyperlink" Target="https://www.legislation.gov.uk/ukpga/2010/15/contents" TargetMode="External"/><Relationship Id="rId17" Type="http://schemas.openxmlformats.org/officeDocument/2006/relationships/hyperlink" Target="https://www.equalityhumanrights.com/en/publication-download/race-rights-uk-submission-un-committee-elimination-racial-discrimination" TargetMode="External"/><Relationship Id="rId25" Type="http://schemas.openxmlformats.org/officeDocument/2006/relationships/hyperlink" Target="https://www.cqc.org.uk/publications/major-report/monitoring-mental-health-act-report" TargetMode="External"/><Relationship Id="rId2" Type="http://schemas.openxmlformats.org/officeDocument/2006/relationships/hyperlink" Target="https://www.equalityhumanrights.com/en/our-human-rights-work/monitoring-and-promoting-un-treaties/international-covenant-economic-social" TargetMode="External"/><Relationship Id="rId16" Type="http://schemas.openxmlformats.org/officeDocument/2006/relationships/hyperlink" Target="https://tbinternet.ohchr.org/_layouts/treatybodyexternal/Download.aspx?symbolno=CERD%2fC%2fGBR%2fCO%2f21-23&amp;Lang=en" TargetMode="External"/><Relationship Id="rId20" Type="http://schemas.openxmlformats.org/officeDocument/2006/relationships/hyperlink" Target="https://www.equalityhumanrights.com/en/publication-download/disability-rights-uk-updated-submission-un-committee-rights-persons" TargetMode="External"/><Relationship Id="rId29" Type="http://schemas.openxmlformats.org/officeDocument/2006/relationships/hyperlink" Target="https://www.cqc.org.uk/publications/major-report/monitoring-mental-health-act-report" TargetMode="External"/><Relationship Id="rId1" Type="http://schemas.openxmlformats.org/officeDocument/2006/relationships/hyperlink" Target="https://www.equalityhumanrights.com/en/what-we-do/our-strategic-plan" TargetMode="External"/><Relationship Id="rId6" Type="http://schemas.openxmlformats.org/officeDocument/2006/relationships/hyperlink" Target="http://docstore.ohchr.org/SelfServices/FilesHandler.ashx?enc=4slQ6QSmlBEDzFEovLCuW3XRinAE8KCBFoqOHNz%2FvuCC%2BTxEKAI18bzE0UtfQhJkxxOSGuoMUxHGypYLjNFkwxnMR6GmqogLJF8BzscMe9zpGfTXBkZ4pEaigi44xqiL" TargetMode="External"/><Relationship Id="rId11" Type="http://schemas.openxmlformats.org/officeDocument/2006/relationships/hyperlink" Target="https://www.equalityhumanrights.com/en/publication-download/disability-rights-uk-updated-submission-un-committee-rights-persons" TargetMode="External"/><Relationship Id="rId24" Type="http://schemas.openxmlformats.org/officeDocument/2006/relationships/hyperlink" Target="https://www.google.com/search?q=http%3A%2F%2Fwww.ohchr.org%2FDocuments%2FHRBodies%2FCRPD%2FGC%2FGuidelinesArticle14.doc&amp;sourceid=ie7&amp;rls=com.microsoft:en-GB:IE-SearchBox&amp;ie=&amp;oe=&amp;safe=strict&amp;gws_rd=ssl" TargetMode="External"/><Relationship Id="rId32" Type="http://schemas.openxmlformats.org/officeDocument/2006/relationships/hyperlink" Target="https://www.cqc.org.uk/publications/major-report/monitoring-mental-health-act-report" TargetMode="External"/><Relationship Id="rId5" Type="http://schemas.openxmlformats.org/officeDocument/2006/relationships/hyperlink" Target="https://www.equalityhumanrights.com/en/our-human-rights-work/monitoring-and-promoting-un-treaties" TargetMode="External"/><Relationship Id="rId15" Type="http://schemas.openxmlformats.org/officeDocument/2006/relationships/hyperlink" Target="https://tbinternet.ohchr.org/_layouts/treatybodyexternal/Download.aspx?symbolno=CERD%2fC%2fGBR%2fCO%2f21-23&amp;Lang=en" TargetMode="External"/><Relationship Id="rId23" Type="http://schemas.openxmlformats.org/officeDocument/2006/relationships/hyperlink" Target="https://www.ohchr.org/EN/HRBodies/CRPD/Pages/ConventionRightsPersonsWithDisabilities.aspx" TargetMode="External"/><Relationship Id="rId28" Type="http://schemas.openxmlformats.org/officeDocument/2006/relationships/hyperlink" Target="https://www.mind.org.uk/information-support/legal-rights/mental-capacity-act-2005/advance-decisions/" TargetMode="External"/><Relationship Id="rId10" Type="http://schemas.openxmlformats.org/officeDocument/2006/relationships/hyperlink" Target="https://www.mind.org.uk/media/17947884/20171115-brick-by-brick-final-low-res-pdf-plus-links.pdf" TargetMode="External"/><Relationship Id="rId19" Type="http://schemas.openxmlformats.org/officeDocument/2006/relationships/hyperlink" Target="http://data.parliament.uk/writtenevidence/committeeevidence.svc/evidencedocument/health-committee/child-and-adolescent-mental-health-services/written/73900.html" TargetMode="External"/><Relationship Id="rId31" Type="http://schemas.openxmlformats.org/officeDocument/2006/relationships/hyperlink" Target="https://www.cqc.org.uk/publications/major-report/monitoring-mental-health-act-report" TargetMode="External"/><Relationship Id="rId4" Type="http://schemas.openxmlformats.org/officeDocument/2006/relationships/hyperlink" Target="https://www.equalityhumanrights.com/sites/default/files/crpd-shadow-report-august-2017.pdf" TargetMode="External"/><Relationship Id="rId9" Type="http://schemas.openxmlformats.org/officeDocument/2006/relationships/hyperlink" Target="https://www.bbc.co.uk/news/health-40631929" TargetMode="External"/><Relationship Id="rId14" Type="http://schemas.openxmlformats.org/officeDocument/2006/relationships/hyperlink" Target="https://www.equalityhumanrights.com/en/publication-download/race-rights-uk-submission-un-committee-elimination-racial-discrimination" TargetMode="External"/><Relationship Id="rId22" Type="http://schemas.openxmlformats.org/officeDocument/2006/relationships/hyperlink" Target="https://tbinternet.ohchr.org/_layouts/treatybodyexternal/Download.aspx?symbolno=CRPD/C/GBR/CO/1&amp;Lang=En" TargetMode="External"/><Relationship Id="rId27" Type="http://schemas.openxmlformats.org/officeDocument/2006/relationships/hyperlink" Target="https://tbinternet.ohchr.org/_layouts/treatybodyexternal/Download.aspx?symbolno=CRPD%2fC%2fGBR%2fCO%2f1&amp;Lang=en" TargetMode="External"/><Relationship Id="rId30" Type="http://schemas.openxmlformats.org/officeDocument/2006/relationships/hyperlink" Target="https://www.cqc.org.uk/publications/major-report/review-children-young-peoples-mental-health-services-phase-one-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5317A01585AF40AE7132C960BF0A56" ma:contentTypeVersion="1" ma:contentTypeDescription="Create a new document." ma:contentTypeScope="" ma:versionID="c6d7ceeec6db8daa576f39b1ae2ba2b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B34D8-BB3B-4D8B-8E62-38B0D56E9FA3}">
  <ds:schemaRefs>
    <ds:schemaRef ds:uri="http://schemas.microsoft.com/sharepoint/v3/contenttype/forms"/>
  </ds:schemaRefs>
</ds:datastoreItem>
</file>

<file path=customXml/itemProps2.xml><?xml version="1.0" encoding="utf-8"?>
<ds:datastoreItem xmlns:ds="http://schemas.openxmlformats.org/officeDocument/2006/customXml" ds:itemID="{347B8E01-71F0-4B5E-A4C2-9B8AA880ECA7}">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D6C156AE-1BB9-4BA9-8C86-101D76959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585319-C25C-49CE-B8F1-54DD33E2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3887</Words>
  <Characters>22159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EHRC</Company>
  <LinksUpToDate>false</LinksUpToDate>
  <CharactersWithSpaces>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 and Richard Banks</dc:creator>
  <cp:lastModifiedBy>Emma Frith</cp:lastModifiedBy>
  <cp:revision>2</cp:revision>
  <cp:lastPrinted>2018-11-14T15:39:00Z</cp:lastPrinted>
  <dcterms:created xsi:type="dcterms:W3CDTF">2018-11-15T09:43:00Z</dcterms:created>
  <dcterms:modified xsi:type="dcterms:W3CDTF">2018-11-15T09:43:00Z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0x010100EB5317A01585AF40AE7132C960BF0A56</vt:lpwstr>
  </property>
</Properties>
</file>