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76" w:rsidRPr="001A1D77" w:rsidRDefault="001A1D77" w:rsidP="00D45520">
      <w:pPr>
        <w:pStyle w:val="Title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Commissioner </w:t>
      </w:r>
      <w:r w:rsidRPr="001A1D77">
        <w:rPr>
          <w:rFonts w:ascii="Arial" w:hAnsi="Arial" w:cs="Arial"/>
          <w:b/>
          <w:sz w:val="36"/>
          <w:szCs w:val="36"/>
        </w:rPr>
        <w:t>/</w:t>
      </w:r>
      <w:r>
        <w:rPr>
          <w:rFonts w:ascii="Arial" w:hAnsi="Arial" w:cs="Arial"/>
          <w:b/>
          <w:sz w:val="36"/>
          <w:szCs w:val="36"/>
        </w:rPr>
        <w:t xml:space="preserve"> Committee member</w:t>
      </w:r>
      <w:r w:rsidRPr="001A1D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d</w:t>
      </w:r>
      <w:r w:rsidR="00021723" w:rsidRPr="001A1D77">
        <w:rPr>
          <w:rFonts w:ascii="Arial" w:hAnsi="Arial" w:cs="Arial"/>
          <w:b/>
          <w:sz w:val="36"/>
          <w:szCs w:val="36"/>
        </w:rPr>
        <w:t>eclaration of interest</w:t>
      </w:r>
      <w:r>
        <w:rPr>
          <w:rFonts w:ascii="Arial" w:hAnsi="Arial" w:cs="Arial"/>
          <w:b/>
          <w:sz w:val="36"/>
          <w:szCs w:val="36"/>
        </w:rPr>
        <w:t>s</w:t>
      </w:r>
      <w:r w:rsidR="00021723" w:rsidRPr="001A1D77">
        <w:rPr>
          <w:rFonts w:ascii="Arial" w:hAnsi="Arial" w:cs="Arial"/>
          <w:b/>
          <w:sz w:val="36"/>
          <w:szCs w:val="36"/>
        </w:rPr>
        <w:t xml:space="preserve"> </w:t>
      </w:r>
    </w:p>
    <w:p w:rsidR="00574279" w:rsidRDefault="00AC54CA" w:rsidP="007A5A56">
      <w:pPr>
        <w:pStyle w:val="Heading2bordergrey"/>
        <w:shd w:val="clear" w:color="auto" w:fill="0B4E60"/>
      </w:pPr>
      <w:r w:rsidRPr="00D45520">
        <w:t>Name</w:t>
      </w:r>
    </w:p>
    <w:p w:rsidR="00CC2D65" w:rsidRDefault="005E42AD" w:rsidP="00CC2D65">
      <w:r>
        <w:t>Caroline Waters</w:t>
      </w:r>
    </w:p>
    <w:p w:rsidR="00574279" w:rsidRDefault="00AC54CA" w:rsidP="007A5A56">
      <w:pPr>
        <w:pStyle w:val="Heading2bordergrey"/>
        <w:shd w:val="clear" w:color="auto" w:fill="0B4E60"/>
      </w:pPr>
      <w:r w:rsidRPr="00CC6276">
        <w:t>Role</w:t>
      </w:r>
    </w:p>
    <w:p w:rsidR="00CC2D65" w:rsidRDefault="005E42AD" w:rsidP="00CC2D65">
      <w:r>
        <w:t xml:space="preserve">Commissioner, </w:t>
      </w:r>
      <w:r w:rsidR="009151C8">
        <w:t>EHRC Deputy Chair, Chair</w:t>
      </w:r>
      <w:r>
        <w:t xml:space="preserve"> Human Resources and Remuneration Committee</w:t>
      </w:r>
    </w:p>
    <w:p w:rsidR="00AC54CA" w:rsidRPr="00FD48AA" w:rsidRDefault="00AC54CA" w:rsidP="007A5A56">
      <w:pPr>
        <w:pStyle w:val="Heading2bordergrey"/>
        <w:shd w:val="clear" w:color="auto" w:fill="0B4E60"/>
        <w:rPr>
          <w:rStyle w:val="Strong"/>
        </w:rPr>
      </w:pPr>
      <w:r w:rsidRPr="00097F28">
        <w:t>Part 1: Biography</w:t>
      </w:r>
    </w:p>
    <w:p w:rsidR="00FD48AA" w:rsidRPr="007A5A56" w:rsidRDefault="00AC54CA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 xml:space="preserve">Please provide concise (max 130 words) and objective biographical details for publication on the Commission's website, and elsewhere. </w:t>
      </w:r>
    </w:p>
    <w:p w:rsidR="007A5A56" w:rsidRDefault="007A5A56" w:rsidP="007A5A56"/>
    <w:p w:rsidR="005E42AD" w:rsidRDefault="005E42AD" w:rsidP="005E42AD">
      <w:r w:rsidRPr="00EA1B92">
        <w:t>Currently Vice President of Carers UK</w:t>
      </w:r>
      <w:r w:rsidR="00066575">
        <w:t xml:space="preserve">, Trustee of RSPCA, </w:t>
      </w:r>
      <w:r w:rsidRPr="00EA1B92">
        <w:t xml:space="preserve">and Founder and CEO of CW Consulting Box, Caroline Waters was also Director of People and Policy at BT and has a distinguished record on equality, inclusion, and human resources, and has been the driving force of many diversity-focused groups. </w:t>
      </w:r>
    </w:p>
    <w:p w:rsidR="005E42AD" w:rsidRDefault="005E42AD" w:rsidP="005E42AD">
      <w:r w:rsidRPr="00EA1B92">
        <w:t xml:space="preserve">She chaired, for example Employers for Carers from 2001 to 2013, was founder and inaugural Chair of the Employers' Forum on Belief, and Chair of the Lone Parents working group. </w:t>
      </w:r>
    </w:p>
    <w:p w:rsidR="005E42AD" w:rsidRDefault="005E42AD" w:rsidP="005E42AD">
      <w:r w:rsidRPr="00EA1B92">
        <w:t xml:space="preserve">She was awarded HR Director of the Year in the 2009 </w:t>
      </w:r>
      <w:r>
        <w:t xml:space="preserve">and Most Influential HR Director of the decade in 2016 </w:t>
      </w:r>
      <w:r w:rsidRPr="00EA1B92">
        <w:t xml:space="preserve">HR Excellence Awards and has also judged a number of prestigious diversity awards including the CRE Race in the Media Awards and Help the Aged's Living Legends. </w:t>
      </w:r>
    </w:p>
    <w:p w:rsidR="005E42AD" w:rsidRPr="00D45520" w:rsidRDefault="005E42AD" w:rsidP="005E42AD">
      <w:r w:rsidRPr="00D45520">
        <w:t xml:space="preserve">She was awarded the OBE for services to diversity and equal opportunities in the New Year’s list in 2010. </w:t>
      </w:r>
    </w:p>
    <w:p w:rsidR="005E42AD" w:rsidRDefault="005E42AD" w:rsidP="005E42AD">
      <w:r w:rsidRPr="00EA1B92">
        <w:t xml:space="preserve">She is a Director of </w:t>
      </w:r>
      <w:r w:rsidR="00066575">
        <w:t>Wilson James</w:t>
      </w:r>
      <w:r w:rsidRPr="00EA1B92">
        <w:t xml:space="preserve"> and a member of the </w:t>
      </w:r>
      <w:r w:rsidR="00066575">
        <w:t>Leaders as change Agents</w:t>
      </w:r>
      <w:r w:rsidRPr="00EA1B92">
        <w:t xml:space="preserve"> Board</w:t>
      </w:r>
      <w:r>
        <w:t>. Appears on the Disability 100 Power list.</w:t>
      </w:r>
    </w:p>
    <w:p w:rsidR="007A5A56" w:rsidRPr="007A5A56" w:rsidRDefault="007A5A56" w:rsidP="007A5A56"/>
    <w:p w:rsidR="00AC54CA" w:rsidRPr="007A5A56" w:rsidRDefault="00AC54CA" w:rsidP="007A5A56">
      <w:pPr>
        <w:pStyle w:val="Heading2bordergrey"/>
        <w:shd w:val="clear" w:color="auto" w:fill="0B4E60"/>
      </w:pPr>
      <w:r w:rsidRPr="007A5A56">
        <w:t>Part 2: Relevant pecuniary interests</w:t>
      </w:r>
    </w:p>
    <w:p w:rsidR="006F59AC" w:rsidRPr="007A5A56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Please list your or close family members' or associates’ relevant pecuniary interests. These might include:</w:t>
      </w:r>
    </w:p>
    <w:p w:rsidR="0058464B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 xml:space="preserve">any business interests (for example your employment, trade, profession, contracts, or any company with which they are associated); and </w:t>
      </w:r>
    </w:p>
    <w:p w:rsidR="0058464B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lastRenderedPageBreak/>
        <w:t>any wider financial interests (for example trust funds, investments, and assets including land and property);</w:t>
      </w:r>
    </w:p>
    <w:p w:rsidR="007A5A56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sponsorship or payments for specific activities not covered in (a) or (b) (e.g.one-off speaking</w:t>
      </w:r>
      <w:r w:rsidR="006D3CF6" w:rsidRPr="007A5A56">
        <w:rPr>
          <w:color w:val="FFFFFF" w:themeColor="background1"/>
        </w:rPr>
        <w:t xml:space="preserve"> engagements, or study tours).</w:t>
      </w:r>
    </w:p>
    <w:p w:rsidR="0088707B" w:rsidRPr="007A5A56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which may have a direct bearing on the business of the Commission, or which a fair minded person might reasonably think could influence your judgment.</w:t>
      </w:r>
    </w:p>
    <w:p w:rsidR="007A5A56" w:rsidRDefault="007A5A56" w:rsidP="007A5A56"/>
    <w:p w:rsidR="005E42AD" w:rsidRPr="001A1D77" w:rsidRDefault="005E42AD" w:rsidP="005E42AD">
      <w:pPr>
        <w:rPr>
          <w:lang w:val="en"/>
        </w:rPr>
      </w:pPr>
      <w:r w:rsidRPr="001A1D77">
        <w:rPr>
          <w:lang w:val="en"/>
        </w:rPr>
        <w:t>Vice</w:t>
      </w:r>
      <w:r w:rsidRPr="001A1D77">
        <w:rPr>
          <w:color w:val="0000FF"/>
          <w:lang w:val="en"/>
        </w:rPr>
        <w:t xml:space="preserve"> </w:t>
      </w:r>
      <w:r w:rsidRPr="001A1D77">
        <w:rPr>
          <w:lang w:val="en"/>
        </w:rPr>
        <w:t>President, Carers UK (</w:t>
      </w:r>
      <w:r w:rsidRPr="001A1D77">
        <w:t>charity number 246329)</w:t>
      </w:r>
    </w:p>
    <w:p w:rsidR="005E42AD" w:rsidRPr="001A1D77" w:rsidRDefault="005E42AD" w:rsidP="005E42AD">
      <w:r w:rsidRPr="001A1D77">
        <w:rPr>
          <w:lang w:val="en"/>
        </w:rPr>
        <w:t xml:space="preserve">Associate, </w:t>
      </w:r>
      <w:hyperlink r:id="rId8" w:tooltip="Learn more about this title" w:history="1">
        <w:r w:rsidRPr="001A1D77">
          <w:rPr>
            <w:lang w:val="en"/>
          </w:rPr>
          <w:t>Marylebone Associate</w:t>
        </w:r>
      </w:hyperlink>
      <w:r w:rsidRPr="001A1D77">
        <w:rPr>
          <w:lang w:val="en"/>
        </w:rPr>
        <w:t xml:space="preserve">s (Company number </w:t>
      </w:r>
      <w:r w:rsidRPr="001A1D77">
        <w:rPr>
          <w:rStyle w:val="Strong"/>
          <w:b w:val="0"/>
          <w:lang w:val="en"/>
        </w:rPr>
        <w:t>09476344)</w:t>
      </w:r>
      <w:r w:rsidRPr="001A1D77">
        <w:t xml:space="preserve"> </w:t>
      </w:r>
    </w:p>
    <w:p w:rsidR="005E42AD" w:rsidRPr="001A1D77" w:rsidRDefault="005E42AD" w:rsidP="005E42AD">
      <w:pPr>
        <w:rPr>
          <w:lang w:val="en"/>
        </w:rPr>
      </w:pPr>
      <w:r w:rsidRPr="001A1D77">
        <w:t>Director, CW Consulting Box Ltd (</w:t>
      </w:r>
      <w:r w:rsidRPr="001A1D77">
        <w:rPr>
          <w:lang w:val="en"/>
        </w:rPr>
        <w:t xml:space="preserve">Company number </w:t>
      </w:r>
      <w:r w:rsidRPr="001A1D77">
        <w:rPr>
          <w:rStyle w:val="Strong"/>
          <w:b w:val="0"/>
          <w:lang w:val="en"/>
        </w:rPr>
        <w:t>08248203)</w:t>
      </w:r>
    </w:p>
    <w:p w:rsidR="005E42AD" w:rsidRPr="001A1D77" w:rsidRDefault="005E42AD" w:rsidP="005E42AD">
      <w:r>
        <w:t xml:space="preserve">Shareholder, </w:t>
      </w:r>
      <w:r w:rsidRPr="001A1D77">
        <w:t>BT Group Plc (</w:t>
      </w:r>
      <w:r w:rsidRPr="001A1D77">
        <w:rPr>
          <w:lang w:val="en"/>
        </w:rPr>
        <w:t xml:space="preserve">Company number </w:t>
      </w:r>
      <w:r w:rsidRPr="001A1D77">
        <w:rPr>
          <w:rStyle w:val="Strong"/>
          <w:b w:val="0"/>
          <w:lang w:val="en"/>
        </w:rPr>
        <w:t>04190816)</w:t>
      </w:r>
    </w:p>
    <w:p w:rsidR="005E42AD" w:rsidRDefault="005E42AD" w:rsidP="005E42AD">
      <w:r w:rsidRPr="001A1D77">
        <w:t>Non-executive role at Wilson James (</w:t>
      </w:r>
      <w:r w:rsidRPr="001A1D77">
        <w:rPr>
          <w:rFonts w:cs="Helvetica"/>
        </w:rPr>
        <w:t>Company number: 2269560)</w:t>
      </w:r>
      <w:r w:rsidRPr="001A1D77">
        <w:t xml:space="preserve"> </w:t>
      </w:r>
    </w:p>
    <w:p w:rsidR="00857F2A" w:rsidRPr="00857F2A" w:rsidRDefault="00857F2A" w:rsidP="005E42AD">
      <w:pPr>
        <w:rPr>
          <w:rFonts w:ascii="Times" w:hAnsi="Times" w:cs="Times New Roman"/>
          <w:color w:val="auto"/>
          <w:spacing w:val="0"/>
          <w:sz w:val="20"/>
          <w:szCs w:val="20"/>
          <w:lang w:eastAsia="en-US"/>
        </w:rPr>
      </w:pPr>
      <w:r>
        <w:t xml:space="preserve">Associate Six Ideas UK Limited (Company number: </w:t>
      </w:r>
      <w:r w:rsidRPr="00857F2A">
        <w:rPr>
          <w:bCs/>
          <w:color w:val="0B0C0C"/>
          <w:spacing w:val="0"/>
          <w:bdr w:val="none" w:sz="0" w:space="0" w:color="auto" w:frame="1"/>
          <w:lang w:eastAsia="en-US"/>
        </w:rPr>
        <w:t>10853631)</w:t>
      </w:r>
    </w:p>
    <w:p w:rsidR="00857F2A" w:rsidRPr="001A1D77" w:rsidRDefault="00857F2A" w:rsidP="00857F2A">
      <w:r w:rsidRPr="001A1D77">
        <w:t xml:space="preserve">Residential property in Turvey, </w:t>
      </w:r>
      <w:r>
        <w:t xml:space="preserve">and Great Denham </w:t>
      </w:r>
      <w:r w:rsidRPr="001A1D77">
        <w:t>Bedfordshire</w:t>
      </w:r>
    </w:p>
    <w:p w:rsidR="00066575" w:rsidRDefault="00066575" w:rsidP="005E42AD">
      <w:r>
        <w:t>Leaders as Change Agents Board Member</w:t>
      </w:r>
    </w:p>
    <w:p w:rsidR="00066575" w:rsidRPr="001A1D77" w:rsidRDefault="00066575" w:rsidP="005E42AD">
      <w:r>
        <w:t>Sustainable Care Advisory Board Member</w:t>
      </w:r>
    </w:p>
    <w:p w:rsidR="005E42AD" w:rsidRPr="001A1D77" w:rsidRDefault="005E42AD" w:rsidP="005E42AD">
      <w:r w:rsidRPr="001A1D77">
        <w:t>Member of Diversity Advisory Board</w:t>
      </w:r>
    </w:p>
    <w:p w:rsidR="005E42AD" w:rsidRDefault="005E42AD" w:rsidP="005E42AD">
      <w:r w:rsidRPr="001A1D77">
        <w:t>Adviser to remunerat</w:t>
      </w:r>
      <w:r w:rsidR="00066575">
        <w:t>ion committee of Midland Heart Housing A</w:t>
      </w:r>
      <w:r w:rsidRPr="001A1D77">
        <w:t xml:space="preserve">ssociation </w:t>
      </w:r>
    </w:p>
    <w:p w:rsidR="00DF39BB" w:rsidRDefault="00DF39BB" w:rsidP="005E42AD">
      <w:r>
        <w:t>Mentor to the Auditor General of Audit Scotland</w:t>
      </w:r>
    </w:p>
    <w:p w:rsidR="004E506D" w:rsidRPr="001A1D77" w:rsidRDefault="004E506D" w:rsidP="005E42AD">
      <w:r>
        <w:t>Member of the International Longevity Centre’s Strategic Advisory Board (from December 2020)</w:t>
      </w:r>
    </w:p>
    <w:p w:rsidR="007A5A56" w:rsidRDefault="007A5A56" w:rsidP="007A5A56"/>
    <w:p w:rsidR="000B657A" w:rsidRDefault="000B657A" w:rsidP="007A5A56">
      <w:pPr>
        <w:pStyle w:val="Heading2bordergrey"/>
        <w:shd w:val="clear" w:color="auto" w:fill="0B4E60"/>
      </w:pPr>
      <w:r>
        <w:t>Part 3</w:t>
      </w:r>
      <w:r w:rsidRPr="00D05081">
        <w:t xml:space="preserve">: Relevant </w:t>
      </w:r>
      <w:r>
        <w:t>non-</w:t>
      </w:r>
      <w:r w:rsidRPr="00D05081">
        <w:t>pecuniary interests</w:t>
      </w:r>
    </w:p>
    <w:p w:rsidR="0058464B" w:rsidRPr="007F47CA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Please list your or close family members' or associates’ relevant non-pecuniary interests. These might include membership or active involvement with any: </w:t>
      </w:r>
    </w:p>
    <w:p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public bodies</w:t>
      </w:r>
    </w:p>
    <w:p w:rsidR="007A5A56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political parties</w:t>
      </w:r>
    </w:p>
    <w:p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campaigning groups</w:t>
      </w:r>
    </w:p>
    <w:p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professional and trade bodies</w:t>
      </w:r>
    </w:p>
    <w:p w:rsidR="006F59AC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lastRenderedPageBreak/>
        <w:t>charities and other voluntary and community sector bodies</w:t>
      </w:r>
    </w:p>
    <w:p w:rsidR="00D45520" w:rsidRPr="007F47CA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which, even if not remunerated, may have a direct bearing on the business of the Commission, or which a fair minded person might reasonably thin</w:t>
      </w:r>
      <w:r w:rsidR="0058464B" w:rsidRPr="007F47CA">
        <w:rPr>
          <w:color w:val="FFFFFF" w:themeColor="background1"/>
        </w:rPr>
        <w:t>k could influence your judgment.</w:t>
      </w:r>
    </w:p>
    <w:p w:rsidR="007A5A56" w:rsidRDefault="007A5A56" w:rsidP="00D45520"/>
    <w:p w:rsidR="005E42AD" w:rsidRPr="00097F28" w:rsidRDefault="005E42AD" w:rsidP="005E42AD">
      <w:r w:rsidRPr="00EA1B92">
        <w:t>Member of London First Business Mentoring Programme. Mentees may include pe</w:t>
      </w:r>
      <w:r w:rsidRPr="003F4CA8">
        <w:t>ople from organisations with which</w:t>
      </w:r>
      <w:r w:rsidRPr="00EA1B92">
        <w:t xml:space="preserve"> the Commission works</w:t>
      </w:r>
      <w:r w:rsidRPr="003F4CA8">
        <w:t xml:space="preserve"> </w:t>
      </w:r>
    </w:p>
    <w:p w:rsidR="005E42AD" w:rsidRDefault="005E42AD" w:rsidP="005E42AD">
      <w:r>
        <w:t>Trustee, Royal Society for the Prevention of Cruelty to Animals</w:t>
      </w:r>
    </w:p>
    <w:p w:rsidR="005E42AD" w:rsidRDefault="005E42AD" w:rsidP="005E42AD">
      <w:r>
        <w:t xml:space="preserve">Member, RSA </w:t>
      </w:r>
    </w:p>
    <w:p w:rsidR="00066575" w:rsidRDefault="00066575" w:rsidP="005E42AD">
      <w:r>
        <w:t>Expert Panellist Global Inclusion &amp; Diversity Benchmark</w:t>
      </w:r>
    </w:p>
    <w:p w:rsidR="000716CE" w:rsidRDefault="000716CE" w:rsidP="005E42AD">
      <w:r>
        <w:t>Member of the Steering Group of The Governance Forum’s Race Code</w:t>
      </w:r>
    </w:p>
    <w:p w:rsidR="007A5A56" w:rsidRDefault="007A5A56" w:rsidP="00D45520"/>
    <w:p w:rsidR="00097F28" w:rsidRPr="00097F28" w:rsidRDefault="00097F28" w:rsidP="007A5A56">
      <w:pPr>
        <w:pStyle w:val="Heading2bordergrey"/>
        <w:shd w:val="clear" w:color="auto" w:fill="0B4E60"/>
      </w:pPr>
      <w:r w:rsidRPr="00097F28">
        <w:t xml:space="preserve">Part 4: Gifts and hospitality </w:t>
      </w:r>
    </w:p>
    <w:p w:rsidR="00097F28" w:rsidRPr="007F47CA" w:rsidRDefault="00097F28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Please </w:t>
      </w:r>
      <w:r w:rsidR="00A92098">
        <w:rPr>
          <w:color w:val="FFFFFF" w:themeColor="background1"/>
        </w:rPr>
        <w:t xml:space="preserve">confirm by completing and returning the attached Gifts and Hospitality form (Appendix A) details of any </w:t>
      </w:r>
      <w:r w:rsidRPr="007F47CA">
        <w:rPr>
          <w:color w:val="FFFFFF" w:themeColor="background1"/>
        </w:rPr>
        <w:t xml:space="preserve">of any gifts, hospitality or favours you have received </w:t>
      </w:r>
      <w:r w:rsidR="00D2352F">
        <w:rPr>
          <w:color w:val="FFFFFF" w:themeColor="background1"/>
        </w:rPr>
        <w:t xml:space="preserve">or provided </w:t>
      </w:r>
      <w:r w:rsidRPr="007F47CA">
        <w:rPr>
          <w:color w:val="FFFFFF" w:themeColor="background1"/>
        </w:rPr>
        <w:t>that may be related to your membership of the Commission’s Board or Committees.</w:t>
      </w:r>
    </w:p>
    <w:p w:rsidR="0058464B" w:rsidRPr="007F47CA" w:rsidRDefault="00097F28" w:rsidP="007A5A56">
      <w:pPr>
        <w:pStyle w:val="Sectiondescription"/>
        <w:numPr>
          <w:ilvl w:val="0"/>
          <w:numId w:val="7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You should include details of the person(s) or organisation(s) offering</w:t>
      </w:r>
      <w:r w:rsidR="00D2352F">
        <w:rPr>
          <w:color w:val="FFFFFF" w:themeColor="background1"/>
        </w:rPr>
        <w:t xml:space="preserve"> or in receipt of</w:t>
      </w:r>
      <w:r w:rsidRPr="007F47CA">
        <w:rPr>
          <w:color w:val="FFFFFF" w:themeColor="background1"/>
        </w:rPr>
        <w:t xml:space="preserve"> the gift, hospitality, or favour, the date, the purpose or object of the offer and the reason why the gift, hospitality or </w:t>
      </w:r>
      <w:r w:rsidR="0058464B" w:rsidRPr="007F47CA">
        <w:rPr>
          <w:color w:val="FFFFFF" w:themeColor="background1"/>
        </w:rPr>
        <w:t>favour was or was not accepted</w:t>
      </w:r>
    </w:p>
    <w:p w:rsidR="0058464B" w:rsidRPr="007F47CA" w:rsidRDefault="00097F28" w:rsidP="007A5A56">
      <w:pPr>
        <w:pStyle w:val="Sectiondescription"/>
        <w:numPr>
          <w:ilvl w:val="0"/>
          <w:numId w:val="7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You do not normally need to include: </w:t>
      </w:r>
    </w:p>
    <w:p w:rsidR="0058464B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hospitality received which is implicitly registered by the declarations of interest in Parts 1 and 2 (for example if you have declared that you are a director of a campaigning group, you do not need additionally to declare all gifts and hospitality received w</w:t>
      </w:r>
      <w:r w:rsidR="0058464B" w:rsidRPr="007F47CA">
        <w:rPr>
          <w:color w:val="FFFFFF" w:themeColor="background1"/>
        </w:rPr>
        <w:t>hile working in that capacity);</w:t>
      </w:r>
    </w:p>
    <w:p w:rsidR="0058464B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isolated gifts of a trivial character or inexpensive seasonal gifts (e.g. trade calendars) valued up to £25:00</w:t>
      </w:r>
    </w:p>
    <w:p w:rsidR="007A5A56" w:rsidRPr="00E313DC" w:rsidRDefault="00097F28" w:rsidP="00D45520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conventional hospitality associated with routine Commission business (for example refreshments provided during a meeting with stakeholders).</w:t>
      </w:r>
      <w:bookmarkStart w:id="0" w:name="_GoBack"/>
      <w:bookmarkEnd w:id="0"/>
    </w:p>
    <w:p w:rsidR="00097F28" w:rsidRPr="00097F28" w:rsidRDefault="00097F28" w:rsidP="00D45520">
      <w:pPr>
        <w:pStyle w:val="Heading2borderblack"/>
      </w:pPr>
      <w:r w:rsidRPr="00097F28">
        <w:t>Part</w:t>
      </w:r>
      <w:r>
        <w:t xml:space="preserve"> 5: Version Control and updates</w:t>
      </w:r>
      <w:r w:rsidRPr="00097F28">
        <w:t xml:space="preserve"> [Officer Use Only]</w:t>
      </w:r>
    </w:p>
    <w:p w:rsidR="000D5E10" w:rsidRDefault="000D5E10" w:rsidP="000D5E10">
      <w:r>
        <w:t xml:space="preserve">This declaration was updated on </w:t>
      </w:r>
      <w:r w:rsidR="000716CE">
        <w:t>1</w:t>
      </w:r>
      <w:r w:rsidR="004E506D">
        <w:t>8</w:t>
      </w:r>
      <w:r w:rsidR="000716CE">
        <w:t xml:space="preserve"> November</w:t>
      </w:r>
      <w:r>
        <w:t xml:space="preserve"> 2020 to reflect that Caroline </w:t>
      </w:r>
      <w:r w:rsidR="0035691F">
        <w:t>had taken on a new role as</w:t>
      </w:r>
      <w:r w:rsidR="000716CE">
        <w:t xml:space="preserve"> a</w:t>
      </w:r>
      <w:r w:rsidR="0035691F">
        <w:t xml:space="preserve"> </w:t>
      </w:r>
      <w:r w:rsidR="000716CE">
        <w:t xml:space="preserve">Member of </w:t>
      </w:r>
      <w:r w:rsidR="004E506D">
        <w:t>the International Longevity Centre’s Strategic Advisory Board (from December 2020)</w:t>
      </w:r>
    </w:p>
    <w:sectPr w:rsidR="000D5E10" w:rsidSect="001241F8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1E" w:rsidRDefault="0012281E" w:rsidP="00D45520">
      <w:r>
        <w:separator/>
      </w:r>
    </w:p>
  </w:endnote>
  <w:endnote w:type="continuationSeparator" w:id="0">
    <w:p w:rsidR="0012281E" w:rsidRDefault="0012281E" w:rsidP="00D4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1E" w:rsidRDefault="0012281E" w:rsidP="00D45520">
      <w:r>
        <w:separator/>
      </w:r>
    </w:p>
  </w:footnote>
  <w:footnote w:type="continuationSeparator" w:id="0">
    <w:p w:rsidR="0012281E" w:rsidRDefault="0012281E" w:rsidP="00D4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432"/>
    <w:multiLevelType w:val="hybridMultilevel"/>
    <w:tmpl w:val="58260AC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4882"/>
    <w:multiLevelType w:val="hybridMultilevel"/>
    <w:tmpl w:val="FA005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C3D"/>
    <w:multiLevelType w:val="hybridMultilevel"/>
    <w:tmpl w:val="7A5A3F7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70FD2"/>
    <w:multiLevelType w:val="hybridMultilevel"/>
    <w:tmpl w:val="2C5627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F1841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772617"/>
    <w:multiLevelType w:val="hybridMultilevel"/>
    <w:tmpl w:val="D56E95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B2B87"/>
    <w:multiLevelType w:val="hybridMultilevel"/>
    <w:tmpl w:val="43300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734681"/>
    <w:multiLevelType w:val="hybridMultilevel"/>
    <w:tmpl w:val="C86A11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CD7CD1"/>
    <w:multiLevelType w:val="hybridMultilevel"/>
    <w:tmpl w:val="4B94EE58"/>
    <w:lvl w:ilvl="0" w:tplc="F18412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1841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C45E76"/>
    <w:multiLevelType w:val="hybridMultilevel"/>
    <w:tmpl w:val="5F9A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837B8"/>
    <w:multiLevelType w:val="hybridMultilevel"/>
    <w:tmpl w:val="5428DF70"/>
    <w:lvl w:ilvl="0" w:tplc="E6B669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1EA6"/>
    <w:multiLevelType w:val="hybridMultilevel"/>
    <w:tmpl w:val="AD700F04"/>
    <w:lvl w:ilvl="0" w:tplc="77D6B120">
      <w:numFmt w:val="bullet"/>
      <w:pStyle w:val="bullets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3399F"/>
    <w:multiLevelType w:val="hybridMultilevel"/>
    <w:tmpl w:val="D67C0880"/>
    <w:lvl w:ilvl="0" w:tplc="DE1EB7D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67955"/>
    <w:multiLevelType w:val="hybridMultilevel"/>
    <w:tmpl w:val="B7CCA308"/>
    <w:lvl w:ilvl="0" w:tplc="32B491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A6E5D"/>
    <w:multiLevelType w:val="hybridMultilevel"/>
    <w:tmpl w:val="783C24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FB028B"/>
    <w:multiLevelType w:val="hybridMultilevel"/>
    <w:tmpl w:val="91306334"/>
    <w:lvl w:ilvl="0" w:tplc="F1841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CA"/>
    <w:rsid w:val="00021723"/>
    <w:rsid w:val="00066575"/>
    <w:rsid w:val="000716CE"/>
    <w:rsid w:val="00097F28"/>
    <w:rsid w:val="000B657A"/>
    <w:rsid w:val="000C341F"/>
    <w:rsid w:val="000D40A5"/>
    <w:rsid w:val="000D5E10"/>
    <w:rsid w:val="0012281E"/>
    <w:rsid w:val="001241F8"/>
    <w:rsid w:val="00161E65"/>
    <w:rsid w:val="001A1D77"/>
    <w:rsid w:val="00241DB8"/>
    <w:rsid w:val="00245208"/>
    <w:rsid w:val="00317A4E"/>
    <w:rsid w:val="003329C3"/>
    <w:rsid w:val="0035691F"/>
    <w:rsid w:val="00415052"/>
    <w:rsid w:val="00436490"/>
    <w:rsid w:val="004E506D"/>
    <w:rsid w:val="0050095E"/>
    <w:rsid w:val="00574279"/>
    <w:rsid w:val="0058464B"/>
    <w:rsid w:val="005A3E37"/>
    <w:rsid w:val="005E42AD"/>
    <w:rsid w:val="006A4294"/>
    <w:rsid w:val="006D3CF6"/>
    <w:rsid w:val="006F59AC"/>
    <w:rsid w:val="00703C28"/>
    <w:rsid w:val="007A5A56"/>
    <w:rsid w:val="007E6863"/>
    <w:rsid w:val="007F47CA"/>
    <w:rsid w:val="007F76FA"/>
    <w:rsid w:val="00857F2A"/>
    <w:rsid w:val="0088546A"/>
    <w:rsid w:val="0088707B"/>
    <w:rsid w:val="008D2A65"/>
    <w:rsid w:val="009151C8"/>
    <w:rsid w:val="00960222"/>
    <w:rsid w:val="00990E35"/>
    <w:rsid w:val="00A85A50"/>
    <w:rsid w:val="00A92098"/>
    <w:rsid w:val="00AA63A1"/>
    <w:rsid w:val="00AC54CA"/>
    <w:rsid w:val="00AE048F"/>
    <w:rsid w:val="00B2143A"/>
    <w:rsid w:val="00B65337"/>
    <w:rsid w:val="00C85338"/>
    <w:rsid w:val="00C95EE3"/>
    <w:rsid w:val="00CC2D65"/>
    <w:rsid w:val="00CC6276"/>
    <w:rsid w:val="00CE26F6"/>
    <w:rsid w:val="00D05081"/>
    <w:rsid w:val="00D2352F"/>
    <w:rsid w:val="00D45520"/>
    <w:rsid w:val="00D9556D"/>
    <w:rsid w:val="00DF39BB"/>
    <w:rsid w:val="00E10383"/>
    <w:rsid w:val="00E313DC"/>
    <w:rsid w:val="00E74781"/>
    <w:rsid w:val="00FD48AA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F051CE"/>
  <w15:docId w15:val="{7AF4987E-E893-4E97-A715-6CDF517F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56"/>
    <w:pPr>
      <w:shd w:val="clear" w:color="auto" w:fill="FFFFFF"/>
      <w:spacing w:before="240" w:after="120" w:line="360" w:lineRule="auto"/>
    </w:pPr>
    <w:rPr>
      <w:rFonts w:ascii="Arial" w:eastAsia="Times New Roman" w:hAnsi="Arial" w:cs="Arial"/>
      <w:color w:val="000000"/>
      <w:spacing w:val="3"/>
      <w:sz w:val="24"/>
      <w:szCs w:val="24"/>
      <w:lang w:eastAsia="en-GB"/>
    </w:rPr>
  </w:style>
  <w:style w:type="paragraph" w:styleId="Heading1">
    <w:name w:val="heading 1"/>
    <w:aliases w:val="&gt;Heading 1"/>
    <w:basedOn w:val="Normal"/>
    <w:next w:val="Normal"/>
    <w:link w:val="Heading1Char"/>
    <w:uiPriority w:val="9"/>
    <w:qFormat/>
    <w:rsid w:val="00FD48AA"/>
    <w:pPr>
      <w:keepNext/>
      <w:keepLines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8AA"/>
    <w:pPr>
      <w:keepNext/>
      <w:keepLines/>
      <w:spacing w:before="40"/>
      <w:outlineLvl w:val="1"/>
    </w:pPr>
    <w:rPr>
      <w:rFonts w:ascii="Georgia" w:eastAsiaTheme="majorEastAsia" w:hAnsi="Georg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8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8AA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AC"/>
    <w:pPr>
      <w:spacing w:after="200" w:line="240" w:lineRule="auto"/>
      <w:ind w:left="720"/>
      <w:contextualSpacing/>
    </w:pPr>
    <w:rPr>
      <w:rFonts w:eastAsia="Calibri" w:cs="Times New Roman"/>
      <w:sz w:val="28"/>
    </w:rPr>
  </w:style>
  <w:style w:type="table" w:styleId="TableGrid">
    <w:name w:val="Table Grid"/>
    <w:basedOn w:val="TableNormal"/>
    <w:uiPriority w:val="39"/>
    <w:rsid w:val="00097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&gt;Heading 1 Char"/>
    <w:basedOn w:val="DefaultParagraphFont"/>
    <w:link w:val="Heading1"/>
    <w:uiPriority w:val="9"/>
    <w:rsid w:val="00FD48AA"/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ascii="Georgia" w:eastAsiaTheme="majorEastAsia" w:hAnsi="Georgia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48AA"/>
    <w:rPr>
      <w:rFonts w:ascii="Arial" w:eastAsiaTheme="majorEastAsia" w:hAnsi="Arial" w:cstheme="majorBidi"/>
      <w:b/>
      <w:i/>
      <w:i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FD48AA"/>
    <w:rPr>
      <w:b/>
      <w:bCs/>
    </w:rPr>
  </w:style>
  <w:style w:type="paragraph" w:customStyle="1" w:styleId="Heading2bordergrey">
    <w:name w:val="&gt;Heading 2 border grey"/>
    <w:basedOn w:val="Heading2"/>
    <w:qFormat/>
    <w:rsid w:val="00D45520"/>
    <w:pPr>
      <w:shd w:val="clear" w:color="auto" w:fill="505757"/>
      <w:spacing w:before="120" w:after="0" w:line="276" w:lineRule="auto"/>
    </w:pPr>
    <w:rPr>
      <w:rFonts w:ascii="Arial" w:hAnsi="Arial" w:cs="Arial"/>
      <w:b/>
      <w:color w:val="FFFFFF" w:themeColor="background1"/>
    </w:rPr>
  </w:style>
  <w:style w:type="paragraph" w:customStyle="1" w:styleId="Heading2borderblack">
    <w:name w:val="&gt;Heading 2 border black"/>
    <w:basedOn w:val="Heading2bordergrey"/>
    <w:qFormat/>
    <w:rsid w:val="00FD48AA"/>
    <w:pPr>
      <w:shd w:val="clear" w:color="auto" w:fill="000000" w:themeFill="text1"/>
    </w:pPr>
  </w:style>
  <w:style w:type="paragraph" w:customStyle="1" w:styleId="Sectiondescription">
    <w:name w:val="&gt;Section description"/>
    <w:basedOn w:val="Normal"/>
    <w:qFormat/>
    <w:rsid w:val="00D45520"/>
    <w:pPr>
      <w:shd w:val="clear" w:color="auto" w:fill="D9D9D9" w:themeFill="background1" w:themeFillShade="D9"/>
      <w:spacing w:before="120" w:after="80"/>
      <w:contextualSpacing/>
    </w:pPr>
    <w:rPr>
      <w:rFonts w:asciiTheme="minorBidi" w:hAnsiTheme="minorBidi"/>
      <w:szCs w:val="20"/>
    </w:rPr>
  </w:style>
  <w:style w:type="paragraph" w:customStyle="1" w:styleId="heading">
    <w:name w:val="heading"/>
    <w:basedOn w:val="Heading1"/>
    <w:rsid w:val="00D05081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85A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5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85A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50"/>
    <w:rPr>
      <w:rFonts w:ascii="Arial" w:hAnsi="Arial"/>
      <w:sz w:val="24"/>
    </w:rPr>
  </w:style>
  <w:style w:type="paragraph" w:styleId="Title">
    <w:name w:val="Title"/>
    <w:aliases w:val="&gt; Title"/>
    <w:basedOn w:val="Normal"/>
    <w:next w:val="Normal"/>
    <w:link w:val="TitleChar"/>
    <w:uiPriority w:val="10"/>
    <w:qFormat/>
    <w:rsid w:val="00AE048F"/>
    <w:pPr>
      <w:spacing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&gt; Title Char"/>
    <w:basedOn w:val="DefaultParagraphFont"/>
    <w:link w:val="Title"/>
    <w:uiPriority w:val="10"/>
    <w:rsid w:val="00AE048F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  <w:lang w:eastAsia="en-GB"/>
    </w:rPr>
  </w:style>
  <w:style w:type="paragraph" w:customStyle="1" w:styleId="Body">
    <w:name w:val="Body"/>
    <w:rsid w:val="003329C3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" w:hAnsi="Arial" w:cs="Arial"/>
      <w:color w:val="000000"/>
      <w:sz w:val="28"/>
      <w:szCs w:val="28"/>
      <w:u w:color="000000"/>
      <w:bdr w:val="nil"/>
      <w:lang w:eastAsia="en-GB"/>
    </w:rPr>
  </w:style>
  <w:style w:type="paragraph" w:customStyle="1" w:styleId="bullets">
    <w:name w:val="&gt;bullets"/>
    <w:basedOn w:val="ListParagraph"/>
    <w:qFormat/>
    <w:rsid w:val="003329C3"/>
    <w:pPr>
      <w:numPr>
        <w:numId w:val="14"/>
      </w:numPr>
      <w:spacing w:line="36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7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75"/>
    <w:rPr>
      <w:rFonts w:ascii="Lucida Grande" w:eastAsia="Times New Roman" w:hAnsi="Lucida Grande" w:cs="Lucida Grande"/>
      <w:color w:val="000000"/>
      <w:spacing w:val="3"/>
      <w:sz w:val="18"/>
      <w:szCs w:val="18"/>
      <w:shd w:val="clear" w:color="auto" w:fill="FFFFF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title/marylebone-associate?trk=mprofile_tit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08EC2-8986-40B9-A323-923B6453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Frith</dc:creator>
  <cp:keywords/>
  <dc:description/>
  <cp:lastModifiedBy>Jordan Vu-Abouzeid</cp:lastModifiedBy>
  <cp:revision>2</cp:revision>
  <dcterms:created xsi:type="dcterms:W3CDTF">2020-11-30T12:11:00Z</dcterms:created>
  <dcterms:modified xsi:type="dcterms:W3CDTF">2020-11-30T12:11:00Z</dcterms:modified>
</cp:coreProperties>
</file>