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276" w:rsidRPr="001A1D77" w:rsidRDefault="001A1D77" w:rsidP="00D45520">
      <w:pPr>
        <w:pStyle w:val="Title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Commissioner </w:t>
      </w:r>
      <w:r w:rsidRPr="001A1D77">
        <w:rPr>
          <w:rFonts w:ascii="Arial" w:hAnsi="Arial" w:cs="Arial"/>
          <w:b/>
          <w:sz w:val="36"/>
          <w:szCs w:val="36"/>
        </w:rPr>
        <w:t>/</w:t>
      </w:r>
      <w:r>
        <w:rPr>
          <w:rFonts w:ascii="Arial" w:hAnsi="Arial" w:cs="Arial"/>
          <w:b/>
          <w:sz w:val="36"/>
          <w:szCs w:val="36"/>
        </w:rPr>
        <w:t xml:space="preserve"> Committee member</w:t>
      </w:r>
      <w:r w:rsidRPr="001A1D77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d</w:t>
      </w:r>
      <w:r w:rsidR="00021723" w:rsidRPr="001A1D77">
        <w:rPr>
          <w:rFonts w:ascii="Arial" w:hAnsi="Arial" w:cs="Arial"/>
          <w:b/>
          <w:sz w:val="36"/>
          <w:szCs w:val="36"/>
        </w:rPr>
        <w:t>eclaration of interest</w:t>
      </w:r>
      <w:r>
        <w:rPr>
          <w:rFonts w:ascii="Arial" w:hAnsi="Arial" w:cs="Arial"/>
          <w:b/>
          <w:sz w:val="36"/>
          <w:szCs w:val="36"/>
        </w:rPr>
        <w:t>s</w:t>
      </w:r>
      <w:r w:rsidR="00021723" w:rsidRPr="001A1D77">
        <w:rPr>
          <w:rFonts w:ascii="Arial" w:hAnsi="Arial" w:cs="Arial"/>
          <w:b/>
          <w:sz w:val="36"/>
          <w:szCs w:val="36"/>
        </w:rPr>
        <w:t xml:space="preserve"> </w:t>
      </w:r>
    </w:p>
    <w:p w:rsidR="00574279" w:rsidRDefault="00AC54CA" w:rsidP="007A5A56">
      <w:pPr>
        <w:pStyle w:val="Heading2bordergrey"/>
        <w:shd w:val="clear" w:color="auto" w:fill="0B4E60"/>
      </w:pPr>
      <w:r w:rsidRPr="00D45520">
        <w:t>Name</w:t>
      </w:r>
    </w:p>
    <w:p w:rsidR="00CC2D65" w:rsidRDefault="00276815" w:rsidP="00CC2D65">
      <w:r>
        <w:t>Susan Johnson</w:t>
      </w:r>
    </w:p>
    <w:p w:rsidR="00574279" w:rsidRDefault="00AC54CA" w:rsidP="007A5A56">
      <w:pPr>
        <w:pStyle w:val="Heading2bordergrey"/>
        <w:shd w:val="clear" w:color="auto" w:fill="0B4E60"/>
      </w:pPr>
      <w:r w:rsidRPr="00CC6276">
        <w:t>Role</w:t>
      </w:r>
    </w:p>
    <w:p w:rsidR="00CC2D65" w:rsidRDefault="00276815" w:rsidP="00CC2D65">
      <w:r>
        <w:t>Commissioner</w:t>
      </w:r>
      <w:r w:rsidR="004B24CE">
        <w:t>, Chair Audit and Risk Assurance Committee</w:t>
      </w:r>
    </w:p>
    <w:p w:rsidR="00AC54CA" w:rsidRPr="00FD48AA" w:rsidRDefault="00AC54CA" w:rsidP="007A5A56">
      <w:pPr>
        <w:pStyle w:val="Heading2bordergrey"/>
        <w:shd w:val="clear" w:color="auto" w:fill="0B4E60"/>
        <w:rPr>
          <w:rStyle w:val="Strong"/>
        </w:rPr>
      </w:pPr>
      <w:r w:rsidRPr="00097F28">
        <w:t>Part 1: Biography</w:t>
      </w:r>
    </w:p>
    <w:p w:rsidR="00FD48AA" w:rsidRPr="007A5A56" w:rsidRDefault="00AC54CA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t xml:space="preserve">Please provide concise (max 130 words) and objective biographical details for publication on the Commission's website, and elsewhere. </w:t>
      </w:r>
    </w:p>
    <w:p w:rsidR="007A5A56" w:rsidRDefault="007A5A56" w:rsidP="007A5A56"/>
    <w:p w:rsidR="00276815" w:rsidRDefault="00276815" w:rsidP="00276815">
      <w:r w:rsidRPr="008462AA">
        <w:t>Susan Johnson was, until her retirement in August 2015, Chief Executive at County Durham and Darlington Fire and Rescue Service, where she was the first woman and non-uniformed chief executive to lead a Fire and Rescue Service in the United Kingdom. Susan previously held a senior position in the Regional Development Agency for Yorkshire and Humber following a career in international marketing in the information technology sector. Susan was awarded the OBE for services to New Deal in the North East in 2000 and has held a number of non-executive and trustee roles in the private, public and not for profit sectors including Greggs plc, Legacy Trust UK and Durham University.</w:t>
      </w:r>
    </w:p>
    <w:p w:rsidR="007A5A56" w:rsidRPr="007A5A56" w:rsidRDefault="007A5A56" w:rsidP="007A5A56"/>
    <w:p w:rsidR="00AC54CA" w:rsidRPr="007A5A56" w:rsidRDefault="00AC54CA" w:rsidP="007A5A56">
      <w:pPr>
        <w:pStyle w:val="Heading2bordergrey"/>
        <w:shd w:val="clear" w:color="auto" w:fill="0B4E60"/>
      </w:pPr>
      <w:r w:rsidRPr="007A5A56">
        <w:lastRenderedPageBreak/>
        <w:t>Part 2: Relevant pecuniary interests</w:t>
      </w:r>
    </w:p>
    <w:p w:rsidR="006F59AC" w:rsidRPr="007A5A56" w:rsidRDefault="006F59AC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t>Please list your or close family members' or associates’ relevant pecuniary interests. These might include:</w:t>
      </w:r>
    </w:p>
    <w:p w:rsidR="0058464B" w:rsidRPr="007A5A56" w:rsidRDefault="006F59AC" w:rsidP="007A5A56">
      <w:pPr>
        <w:pStyle w:val="Sectiondescription"/>
        <w:numPr>
          <w:ilvl w:val="0"/>
          <w:numId w:val="2"/>
        </w:numPr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t xml:space="preserve">any business interests (for example your employment, trade, profession, contracts, or any company with which they are associated); and </w:t>
      </w:r>
    </w:p>
    <w:p w:rsidR="0058464B" w:rsidRPr="007A5A56" w:rsidRDefault="006F59AC" w:rsidP="007A5A56">
      <w:pPr>
        <w:pStyle w:val="Sectiondescription"/>
        <w:numPr>
          <w:ilvl w:val="0"/>
          <w:numId w:val="2"/>
        </w:numPr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t>any wider financial interests (for example trust funds, investments, and assets including land and property);</w:t>
      </w:r>
    </w:p>
    <w:p w:rsidR="007A5A56" w:rsidRPr="007A5A56" w:rsidRDefault="006F59AC" w:rsidP="007A5A56">
      <w:pPr>
        <w:pStyle w:val="Sectiondescription"/>
        <w:numPr>
          <w:ilvl w:val="0"/>
          <w:numId w:val="2"/>
        </w:numPr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t>sponsorship or payments for specific activities not covered in (a) or (b) (e.g.one-off speaking</w:t>
      </w:r>
      <w:r w:rsidR="006D3CF6" w:rsidRPr="007A5A56">
        <w:rPr>
          <w:color w:val="FFFFFF" w:themeColor="background1"/>
        </w:rPr>
        <w:t xml:space="preserve"> engagements, or study tours).</w:t>
      </w:r>
    </w:p>
    <w:p w:rsidR="0088707B" w:rsidRPr="007A5A56" w:rsidRDefault="006F59AC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t>which may have a direct bearing on the business of the Commission, or which a fair minded person might reasonably think could influence your judgment.</w:t>
      </w:r>
    </w:p>
    <w:p w:rsidR="007A5A56" w:rsidRDefault="007A5A56" w:rsidP="007A5A56"/>
    <w:p w:rsidR="00276815" w:rsidRPr="008462AA" w:rsidRDefault="00276815" w:rsidP="00276815">
      <w:pPr>
        <w:rPr>
          <w:rFonts w:eastAsiaTheme="minorHAnsi"/>
          <w:color w:val="auto"/>
          <w:spacing w:val="0"/>
          <w:lang w:eastAsia="en-US"/>
        </w:rPr>
      </w:pPr>
      <w:r w:rsidRPr="008462AA">
        <w:rPr>
          <w:rFonts w:eastAsiaTheme="minorHAnsi"/>
          <w:color w:val="auto"/>
          <w:spacing w:val="0"/>
          <w:lang w:eastAsia="en-US"/>
        </w:rPr>
        <w:t>Non-Executive Director, Sports Ground Safety Authority</w:t>
      </w:r>
    </w:p>
    <w:p w:rsidR="00276815" w:rsidRPr="008462AA" w:rsidRDefault="00276815" w:rsidP="00276815">
      <w:pPr>
        <w:rPr>
          <w:rFonts w:eastAsiaTheme="minorHAnsi"/>
          <w:color w:val="auto"/>
          <w:spacing w:val="0"/>
          <w:lang w:eastAsia="en-US"/>
        </w:rPr>
      </w:pPr>
      <w:r w:rsidRPr="008462AA">
        <w:rPr>
          <w:rFonts w:eastAsiaTheme="minorHAnsi"/>
          <w:color w:val="auto"/>
          <w:spacing w:val="0"/>
          <w:lang w:eastAsia="en-US"/>
        </w:rPr>
        <w:t>Non-Executive Director, Local Partnerships</w:t>
      </w:r>
    </w:p>
    <w:p w:rsidR="00276815" w:rsidRPr="008462AA" w:rsidRDefault="00276815" w:rsidP="00276815">
      <w:pPr>
        <w:rPr>
          <w:rFonts w:eastAsiaTheme="minorHAnsi"/>
          <w:color w:val="auto"/>
          <w:spacing w:val="0"/>
          <w:lang w:eastAsia="en-US"/>
        </w:rPr>
      </w:pPr>
      <w:r w:rsidRPr="008462AA">
        <w:rPr>
          <w:rFonts w:eastAsiaTheme="minorHAnsi"/>
          <w:color w:val="auto"/>
          <w:spacing w:val="0"/>
          <w:lang w:eastAsia="en-US"/>
        </w:rPr>
        <w:t>Non-Executive Director, Health and Safety Executive</w:t>
      </w:r>
    </w:p>
    <w:p w:rsidR="00276815" w:rsidRPr="008462AA" w:rsidRDefault="00276815" w:rsidP="00276815">
      <w:pPr>
        <w:rPr>
          <w:rFonts w:eastAsiaTheme="minorHAnsi"/>
          <w:color w:val="auto"/>
          <w:spacing w:val="0"/>
          <w:lang w:eastAsia="en-US"/>
        </w:rPr>
      </w:pPr>
      <w:r w:rsidRPr="008462AA">
        <w:rPr>
          <w:rFonts w:eastAsiaTheme="minorHAnsi"/>
          <w:color w:val="auto"/>
          <w:spacing w:val="0"/>
          <w:lang w:eastAsia="en-US"/>
        </w:rPr>
        <w:t>Independent Member Audit and Risk Committee, Gentoo Group (Housing Association)</w:t>
      </w:r>
    </w:p>
    <w:p w:rsidR="00276815" w:rsidRPr="008462AA" w:rsidRDefault="00276815" w:rsidP="00276815">
      <w:pPr>
        <w:rPr>
          <w:rFonts w:eastAsiaTheme="minorHAnsi"/>
          <w:color w:val="auto"/>
          <w:spacing w:val="0"/>
          <w:lang w:eastAsia="en-US"/>
        </w:rPr>
      </w:pPr>
      <w:r w:rsidRPr="008462AA">
        <w:rPr>
          <w:rFonts w:eastAsiaTheme="minorHAnsi"/>
          <w:color w:val="auto"/>
          <w:spacing w:val="0"/>
          <w:lang w:eastAsia="en-US"/>
        </w:rPr>
        <w:t xml:space="preserve">Commissioner at the Local Boundary Commission for England </w:t>
      </w:r>
    </w:p>
    <w:p w:rsidR="00276815" w:rsidRPr="008462AA" w:rsidRDefault="00276815" w:rsidP="00276815">
      <w:pPr>
        <w:rPr>
          <w:rFonts w:eastAsiaTheme="minorHAnsi"/>
          <w:color w:val="auto"/>
          <w:spacing w:val="0"/>
          <w:lang w:eastAsia="en-US"/>
        </w:rPr>
      </w:pPr>
      <w:r w:rsidRPr="008462AA">
        <w:rPr>
          <w:rFonts w:eastAsiaTheme="minorHAnsi"/>
          <w:color w:val="auto"/>
          <w:spacing w:val="0"/>
          <w:lang w:eastAsia="en-US"/>
        </w:rPr>
        <w:t>Protector: Power to Change Trust (Registered charity no. 1159982)</w:t>
      </w:r>
    </w:p>
    <w:p w:rsidR="007A5A56" w:rsidRDefault="007A5A56" w:rsidP="007A5A56"/>
    <w:p w:rsidR="000B657A" w:rsidRDefault="000B657A" w:rsidP="007A5A56">
      <w:pPr>
        <w:pStyle w:val="Heading2bordergrey"/>
        <w:shd w:val="clear" w:color="auto" w:fill="0B4E60"/>
      </w:pPr>
      <w:r>
        <w:lastRenderedPageBreak/>
        <w:t>Part 3</w:t>
      </w:r>
      <w:r w:rsidRPr="00D05081">
        <w:t xml:space="preserve">: Relevant </w:t>
      </w:r>
      <w:r>
        <w:t>non-</w:t>
      </w:r>
      <w:r w:rsidRPr="00D05081">
        <w:t>pecuniary interests</w:t>
      </w:r>
    </w:p>
    <w:p w:rsidR="0058464B" w:rsidRPr="007F47CA" w:rsidRDefault="006F59AC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 xml:space="preserve">Please list your or close family members' or associates’ relevant non-pecuniary interests. These might include membership or active involvement with any: </w:t>
      </w:r>
    </w:p>
    <w:p w:rsidR="0058464B" w:rsidRPr="007F47CA" w:rsidRDefault="006F59AC" w:rsidP="007A5A56">
      <w:pPr>
        <w:pStyle w:val="Sectiondescription"/>
        <w:numPr>
          <w:ilvl w:val="0"/>
          <w:numId w:val="5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public bodies</w:t>
      </w:r>
    </w:p>
    <w:p w:rsidR="007A5A56" w:rsidRPr="007F47CA" w:rsidRDefault="006F59AC" w:rsidP="007A5A56">
      <w:pPr>
        <w:pStyle w:val="Sectiondescription"/>
        <w:numPr>
          <w:ilvl w:val="0"/>
          <w:numId w:val="5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political parties</w:t>
      </w:r>
    </w:p>
    <w:p w:rsidR="0058464B" w:rsidRPr="007F47CA" w:rsidRDefault="006F59AC" w:rsidP="007A5A56">
      <w:pPr>
        <w:pStyle w:val="Sectiondescription"/>
        <w:numPr>
          <w:ilvl w:val="0"/>
          <w:numId w:val="5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campaigning groups</w:t>
      </w:r>
    </w:p>
    <w:p w:rsidR="0058464B" w:rsidRPr="007F47CA" w:rsidRDefault="006F59AC" w:rsidP="007A5A56">
      <w:pPr>
        <w:pStyle w:val="Sectiondescription"/>
        <w:numPr>
          <w:ilvl w:val="0"/>
          <w:numId w:val="5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professional and trade bodies</w:t>
      </w:r>
    </w:p>
    <w:p w:rsidR="006F59AC" w:rsidRPr="007F47CA" w:rsidRDefault="006F59AC" w:rsidP="007A5A56">
      <w:pPr>
        <w:pStyle w:val="Sectiondescription"/>
        <w:numPr>
          <w:ilvl w:val="0"/>
          <w:numId w:val="5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charities and other voluntary and community sector bodies</w:t>
      </w:r>
    </w:p>
    <w:p w:rsidR="00D45520" w:rsidRPr="007F47CA" w:rsidRDefault="006F59AC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which, even if not remunerated, may have a direct bearing on the business of the Commission, or which a fair minded person might reasonably thin</w:t>
      </w:r>
      <w:r w:rsidR="0058464B" w:rsidRPr="007F47CA">
        <w:rPr>
          <w:color w:val="FFFFFF" w:themeColor="background1"/>
        </w:rPr>
        <w:t>k could influence your judgment.</w:t>
      </w:r>
    </w:p>
    <w:p w:rsidR="007A5A56" w:rsidRDefault="007A5A56" w:rsidP="00D45520"/>
    <w:p w:rsidR="007A5A56" w:rsidRDefault="007A5A56" w:rsidP="00D45520"/>
    <w:p w:rsidR="00097F28" w:rsidRPr="00097F28" w:rsidRDefault="00097F28" w:rsidP="007A5A56">
      <w:pPr>
        <w:pStyle w:val="Heading2bordergrey"/>
        <w:shd w:val="clear" w:color="auto" w:fill="0B4E60"/>
      </w:pPr>
      <w:r w:rsidRPr="00097F28">
        <w:t xml:space="preserve">Part 4: Gifts and hospitality </w:t>
      </w:r>
    </w:p>
    <w:p w:rsidR="00097F28" w:rsidRPr="007F47CA" w:rsidRDefault="00097F28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 xml:space="preserve">Please </w:t>
      </w:r>
      <w:r w:rsidR="00A92098">
        <w:rPr>
          <w:color w:val="FFFFFF" w:themeColor="background1"/>
        </w:rPr>
        <w:t xml:space="preserve">confirm by completing and returning the attached Gifts and Hospitality form (Appendix A) details of any </w:t>
      </w:r>
      <w:r w:rsidRPr="007F47CA">
        <w:rPr>
          <w:color w:val="FFFFFF" w:themeColor="background1"/>
        </w:rPr>
        <w:t xml:space="preserve">of any gifts, hospitality or favours you have received </w:t>
      </w:r>
      <w:r w:rsidR="00D2352F">
        <w:rPr>
          <w:color w:val="FFFFFF" w:themeColor="background1"/>
        </w:rPr>
        <w:t xml:space="preserve">or provided </w:t>
      </w:r>
      <w:r w:rsidRPr="007F47CA">
        <w:rPr>
          <w:color w:val="FFFFFF" w:themeColor="background1"/>
        </w:rPr>
        <w:t>that may be related to your membership of the Commission’s Board or Committees.</w:t>
      </w:r>
    </w:p>
    <w:p w:rsidR="0058464B" w:rsidRPr="007F47CA" w:rsidRDefault="00097F28" w:rsidP="007A5A56">
      <w:pPr>
        <w:pStyle w:val="Sectiondescription"/>
        <w:numPr>
          <w:ilvl w:val="0"/>
          <w:numId w:val="7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You should include details of the person(s) or organisation(s) offering</w:t>
      </w:r>
      <w:r w:rsidR="00D2352F">
        <w:rPr>
          <w:color w:val="FFFFFF" w:themeColor="background1"/>
        </w:rPr>
        <w:t xml:space="preserve"> or in receipt of</w:t>
      </w:r>
      <w:r w:rsidRPr="007F47CA">
        <w:rPr>
          <w:color w:val="FFFFFF" w:themeColor="background1"/>
        </w:rPr>
        <w:t xml:space="preserve"> the gift, hospitality, or favour, the date, the purpose or object of the offer and the reason why the gift, hospitality or </w:t>
      </w:r>
      <w:r w:rsidR="0058464B" w:rsidRPr="007F47CA">
        <w:rPr>
          <w:color w:val="FFFFFF" w:themeColor="background1"/>
        </w:rPr>
        <w:t>favour was or was not accepted</w:t>
      </w:r>
    </w:p>
    <w:p w:rsidR="0058464B" w:rsidRPr="007F47CA" w:rsidRDefault="00097F28" w:rsidP="007A5A56">
      <w:pPr>
        <w:pStyle w:val="Sectiondescription"/>
        <w:numPr>
          <w:ilvl w:val="0"/>
          <w:numId w:val="7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 xml:space="preserve">You do not normally need to include: </w:t>
      </w:r>
    </w:p>
    <w:p w:rsidR="0058464B" w:rsidRPr="007F47CA" w:rsidRDefault="00097F28" w:rsidP="007A5A56">
      <w:pPr>
        <w:pStyle w:val="Sectiondescription"/>
        <w:numPr>
          <w:ilvl w:val="0"/>
          <w:numId w:val="10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lastRenderedPageBreak/>
        <w:t>hospitality received which is implicitly registered by the declarations of interest in Parts 1 and 2 (for example if you have declared that you are a director of a campaigning group, you do not need additionally to declare all gifts and hospitality received w</w:t>
      </w:r>
      <w:r w:rsidR="0058464B" w:rsidRPr="007F47CA">
        <w:rPr>
          <w:color w:val="FFFFFF" w:themeColor="background1"/>
        </w:rPr>
        <w:t>hile working in that capacity);</w:t>
      </w:r>
    </w:p>
    <w:p w:rsidR="0058464B" w:rsidRPr="007F47CA" w:rsidRDefault="00097F28" w:rsidP="007A5A56">
      <w:pPr>
        <w:pStyle w:val="Sectiondescription"/>
        <w:numPr>
          <w:ilvl w:val="0"/>
          <w:numId w:val="10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isolated gifts of a trivial character or inexpensive seasonal gifts (e.g. trade calendars) valued up to £25:00</w:t>
      </w:r>
    </w:p>
    <w:p w:rsidR="00D05081" w:rsidRPr="007F47CA" w:rsidRDefault="00097F28" w:rsidP="007A5A56">
      <w:pPr>
        <w:pStyle w:val="Sectiondescription"/>
        <w:numPr>
          <w:ilvl w:val="0"/>
          <w:numId w:val="10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conventional hospitality associated with routine Commission business (for example refreshments provided during a meeting with stakeholders).</w:t>
      </w:r>
    </w:p>
    <w:p w:rsidR="007A5A56" w:rsidRDefault="007A5A56" w:rsidP="007A5A56"/>
    <w:p w:rsidR="00C85338" w:rsidRDefault="00F131E6" w:rsidP="007A5A56">
      <w:r>
        <w:t>None</w:t>
      </w:r>
    </w:p>
    <w:p w:rsidR="007A5A56" w:rsidRPr="00B2143A" w:rsidRDefault="007A5A56" w:rsidP="00D45520"/>
    <w:p w:rsidR="00097F28" w:rsidRPr="00097F28" w:rsidRDefault="00097F28" w:rsidP="00D45520">
      <w:pPr>
        <w:pStyle w:val="Heading2borderblack"/>
      </w:pPr>
      <w:r w:rsidRPr="00097F28">
        <w:t>Part</w:t>
      </w:r>
      <w:r>
        <w:t xml:space="preserve"> 5: Version Control and updates</w:t>
      </w:r>
      <w:r w:rsidRPr="00097F28">
        <w:t xml:space="preserve"> [Officer Use Only]</w:t>
      </w:r>
    </w:p>
    <w:p w:rsidR="0050095E" w:rsidRPr="0058464B" w:rsidRDefault="00F131E6" w:rsidP="00D00BE6">
      <w:r>
        <w:t xml:space="preserve">This declaration was updated </w:t>
      </w:r>
      <w:r w:rsidR="009B3BF6">
        <w:t>on 21</w:t>
      </w:r>
      <w:r>
        <w:t xml:space="preserve"> April 2020 to reflect that Susan had stepped down from </w:t>
      </w:r>
      <w:r>
        <w:rPr>
          <w:rFonts w:ascii="Helvetica" w:hAnsi="Helvetica" w:cs="Helvetica"/>
        </w:rPr>
        <w:t xml:space="preserve">Youth Homeless North East in January 2020. </w:t>
      </w:r>
      <w:r w:rsidR="00BC0FDC">
        <w:rPr>
          <w:rFonts w:ascii="Helvetica" w:hAnsi="Helvetica" w:cs="Helvetica"/>
        </w:rPr>
        <w:t>It was</w:t>
      </w:r>
      <w:r w:rsidR="00BC0FDC">
        <w:t xml:space="preserve"> agreed as current following discussion of Commissioners’ interests at the EHRC Board meeting of </w:t>
      </w:r>
      <w:r w:rsidR="00BC0FDC" w:rsidRPr="00F131E6">
        <w:rPr>
          <w:b/>
        </w:rPr>
        <w:t>14</w:t>
      </w:r>
      <w:r w:rsidR="00BC0FDC" w:rsidRPr="00894294">
        <w:rPr>
          <w:b/>
        </w:rPr>
        <w:t xml:space="preserve"> May 20</w:t>
      </w:r>
      <w:r w:rsidR="00BC0FDC">
        <w:rPr>
          <w:b/>
        </w:rPr>
        <w:t>20</w:t>
      </w:r>
      <w:r w:rsidR="00BC0FDC">
        <w:t xml:space="preserve"> at which Susan Johnson was present.</w:t>
      </w:r>
    </w:p>
    <w:sectPr w:rsidR="0050095E" w:rsidRPr="0058464B" w:rsidSect="00D00BE6">
      <w:head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BC1" w:rsidRDefault="00851BC1" w:rsidP="00D45520">
      <w:r>
        <w:separator/>
      </w:r>
    </w:p>
  </w:endnote>
  <w:endnote w:type="continuationSeparator" w:id="0">
    <w:p w:rsidR="00851BC1" w:rsidRDefault="00851BC1" w:rsidP="00D4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BC1" w:rsidRDefault="00851BC1" w:rsidP="00D45520">
      <w:r>
        <w:separator/>
      </w:r>
    </w:p>
  </w:footnote>
  <w:footnote w:type="continuationSeparator" w:id="0">
    <w:p w:rsidR="00851BC1" w:rsidRDefault="00851BC1" w:rsidP="00D45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383" w:rsidRDefault="00E10383" w:rsidP="00E10383">
    <w:pPr>
      <w:pStyle w:val="Header"/>
      <w:jc w:val="right"/>
    </w:pPr>
    <w:r>
      <w:t>Appendix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3432"/>
    <w:multiLevelType w:val="hybridMultilevel"/>
    <w:tmpl w:val="58260AC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94882"/>
    <w:multiLevelType w:val="hybridMultilevel"/>
    <w:tmpl w:val="FA0053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86C3D"/>
    <w:multiLevelType w:val="hybridMultilevel"/>
    <w:tmpl w:val="7A5A3F7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870FD2"/>
    <w:multiLevelType w:val="hybridMultilevel"/>
    <w:tmpl w:val="2C56273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F18412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772617"/>
    <w:multiLevelType w:val="hybridMultilevel"/>
    <w:tmpl w:val="D56E95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B2B87"/>
    <w:multiLevelType w:val="hybridMultilevel"/>
    <w:tmpl w:val="433007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734681"/>
    <w:multiLevelType w:val="hybridMultilevel"/>
    <w:tmpl w:val="C86A11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CD7CD1"/>
    <w:multiLevelType w:val="hybridMultilevel"/>
    <w:tmpl w:val="4B94EE58"/>
    <w:lvl w:ilvl="0" w:tplc="F184125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18412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C45E76"/>
    <w:multiLevelType w:val="hybridMultilevel"/>
    <w:tmpl w:val="5F9A3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837B8"/>
    <w:multiLevelType w:val="hybridMultilevel"/>
    <w:tmpl w:val="5428DF70"/>
    <w:lvl w:ilvl="0" w:tplc="E6B669B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91EA6"/>
    <w:multiLevelType w:val="hybridMultilevel"/>
    <w:tmpl w:val="AD700F04"/>
    <w:lvl w:ilvl="0" w:tplc="77D6B120">
      <w:numFmt w:val="bullet"/>
      <w:pStyle w:val="bullets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3399F"/>
    <w:multiLevelType w:val="hybridMultilevel"/>
    <w:tmpl w:val="D67C0880"/>
    <w:lvl w:ilvl="0" w:tplc="DE1EB7D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67955"/>
    <w:multiLevelType w:val="hybridMultilevel"/>
    <w:tmpl w:val="B7CCA308"/>
    <w:lvl w:ilvl="0" w:tplc="32B491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A6E5D"/>
    <w:multiLevelType w:val="hybridMultilevel"/>
    <w:tmpl w:val="783C240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FB028B"/>
    <w:multiLevelType w:val="hybridMultilevel"/>
    <w:tmpl w:val="91306334"/>
    <w:lvl w:ilvl="0" w:tplc="F1841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4"/>
  </w:num>
  <w:num w:numId="5">
    <w:abstractNumId w:val="13"/>
  </w:num>
  <w:num w:numId="6">
    <w:abstractNumId w:val="11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14"/>
  </w:num>
  <w:num w:numId="12">
    <w:abstractNumId w:val="8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CA"/>
    <w:rsid w:val="00021723"/>
    <w:rsid w:val="00097F28"/>
    <w:rsid w:val="000B657A"/>
    <w:rsid w:val="000C341F"/>
    <w:rsid w:val="000D40A5"/>
    <w:rsid w:val="00161E65"/>
    <w:rsid w:val="001A1D77"/>
    <w:rsid w:val="00241DB8"/>
    <w:rsid w:val="00245208"/>
    <w:rsid w:val="00276815"/>
    <w:rsid w:val="00317A4E"/>
    <w:rsid w:val="003329C3"/>
    <w:rsid w:val="00415052"/>
    <w:rsid w:val="00436490"/>
    <w:rsid w:val="0047056E"/>
    <w:rsid w:val="004B24CE"/>
    <w:rsid w:val="0050095E"/>
    <w:rsid w:val="00505DDA"/>
    <w:rsid w:val="00574279"/>
    <w:rsid w:val="0058464B"/>
    <w:rsid w:val="005A3E37"/>
    <w:rsid w:val="006A4294"/>
    <w:rsid w:val="006D3CF6"/>
    <w:rsid w:val="006F59AC"/>
    <w:rsid w:val="00703C28"/>
    <w:rsid w:val="007A5A56"/>
    <w:rsid w:val="007E6863"/>
    <w:rsid w:val="007F47CA"/>
    <w:rsid w:val="007F76FA"/>
    <w:rsid w:val="00851BC1"/>
    <w:rsid w:val="008546B1"/>
    <w:rsid w:val="0088707B"/>
    <w:rsid w:val="008D2A65"/>
    <w:rsid w:val="00960222"/>
    <w:rsid w:val="00990E35"/>
    <w:rsid w:val="009B3BF6"/>
    <w:rsid w:val="00A85A50"/>
    <w:rsid w:val="00A92098"/>
    <w:rsid w:val="00AA63A1"/>
    <w:rsid w:val="00AC54CA"/>
    <w:rsid w:val="00AE048F"/>
    <w:rsid w:val="00B2143A"/>
    <w:rsid w:val="00B65337"/>
    <w:rsid w:val="00BC0FDC"/>
    <w:rsid w:val="00C85338"/>
    <w:rsid w:val="00CC2D65"/>
    <w:rsid w:val="00CC6276"/>
    <w:rsid w:val="00CE26F6"/>
    <w:rsid w:val="00D00BE6"/>
    <w:rsid w:val="00D05081"/>
    <w:rsid w:val="00D2352F"/>
    <w:rsid w:val="00D45520"/>
    <w:rsid w:val="00D9556D"/>
    <w:rsid w:val="00E10383"/>
    <w:rsid w:val="00E74781"/>
    <w:rsid w:val="00F131E6"/>
    <w:rsid w:val="00F3116C"/>
    <w:rsid w:val="00FD48AA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EEC2D7-5C2B-482B-89E8-8C0EE5F1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A56"/>
    <w:pPr>
      <w:shd w:val="clear" w:color="auto" w:fill="FFFFFF"/>
      <w:spacing w:before="240" w:after="120" w:line="360" w:lineRule="auto"/>
    </w:pPr>
    <w:rPr>
      <w:rFonts w:ascii="Arial" w:eastAsia="Times New Roman" w:hAnsi="Arial" w:cs="Arial"/>
      <w:color w:val="000000"/>
      <w:spacing w:val="3"/>
      <w:sz w:val="24"/>
      <w:szCs w:val="24"/>
      <w:lang w:eastAsia="en-GB"/>
    </w:rPr>
  </w:style>
  <w:style w:type="paragraph" w:styleId="Heading1">
    <w:name w:val="heading 1"/>
    <w:aliases w:val="&gt;Heading 1"/>
    <w:basedOn w:val="Normal"/>
    <w:next w:val="Normal"/>
    <w:link w:val="Heading1Char"/>
    <w:uiPriority w:val="9"/>
    <w:qFormat/>
    <w:rsid w:val="00FD48AA"/>
    <w:pPr>
      <w:keepNext/>
      <w:keepLines/>
      <w:outlineLvl w:val="0"/>
    </w:pPr>
    <w:rPr>
      <w:rFonts w:ascii="Georgia" w:eastAsiaTheme="majorEastAsia" w:hAnsi="Georg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48AA"/>
    <w:pPr>
      <w:keepNext/>
      <w:keepLines/>
      <w:spacing w:before="40"/>
      <w:outlineLvl w:val="1"/>
    </w:pPr>
    <w:rPr>
      <w:rFonts w:ascii="Georgia" w:eastAsiaTheme="majorEastAsia" w:hAnsi="Georg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48A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48AA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9AC"/>
    <w:pPr>
      <w:spacing w:after="200" w:line="240" w:lineRule="auto"/>
      <w:ind w:left="720"/>
      <w:contextualSpacing/>
    </w:pPr>
    <w:rPr>
      <w:rFonts w:eastAsia="Calibri" w:cs="Times New Roman"/>
      <w:sz w:val="28"/>
    </w:rPr>
  </w:style>
  <w:style w:type="table" w:styleId="TableGrid">
    <w:name w:val="Table Grid"/>
    <w:basedOn w:val="TableNormal"/>
    <w:uiPriority w:val="39"/>
    <w:rsid w:val="00097F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&gt;Heading 1 Char"/>
    <w:basedOn w:val="DefaultParagraphFont"/>
    <w:link w:val="Heading1"/>
    <w:uiPriority w:val="9"/>
    <w:rsid w:val="00FD48AA"/>
    <w:rPr>
      <w:rFonts w:ascii="Georgia" w:eastAsiaTheme="majorEastAsia" w:hAnsi="Georg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48AA"/>
    <w:rPr>
      <w:rFonts w:ascii="Georgia" w:eastAsiaTheme="majorEastAsia" w:hAnsi="Georgia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48AA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D48AA"/>
    <w:rPr>
      <w:rFonts w:ascii="Arial" w:eastAsiaTheme="majorEastAsia" w:hAnsi="Arial" w:cstheme="majorBidi"/>
      <w:b/>
      <w:i/>
      <w:i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FD48AA"/>
    <w:rPr>
      <w:b/>
      <w:bCs/>
    </w:rPr>
  </w:style>
  <w:style w:type="paragraph" w:customStyle="1" w:styleId="Heading2bordergrey">
    <w:name w:val="&gt;Heading 2 border grey"/>
    <w:basedOn w:val="Heading2"/>
    <w:qFormat/>
    <w:rsid w:val="00D45520"/>
    <w:pPr>
      <w:shd w:val="clear" w:color="auto" w:fill="505757"/>
      <w:spacing w:before="120" w:after="0" w:line="276" w:lineRule="auto"/>
    </w:pPr>
    <w:rPr>
      <w:rFonts w:ascii="Arial" w:hAnsi="Arial" w:cs="Arial"/>
      <w:b/>
      <w:color w:val="FFFFFF" w:themeColor="background1"/>
    </w:rPr>
  </w:style>
  <w:style w:type="paragraph" w:customStyle="1" w:styleId="Heading2borderblack">
    <w:name w:val="&gt;Heading 2 border black"/>
    <w:basedOn w:val="Heading2bordergrey"/>
    <w:qFormat/>
    <w:rsid w:val="00FD48AA"/>
    <w:pPr>
      <w:shd w:val="clear" w:color="auto" w:fill="000000" w:themeFill="text1"/>
    </w:pPr>
  </w:style>
  <w:style w:type="paragraph" w:customStyle="1" w:styleId="Sectiondescription">
    <w:name w:val="&gt;Section description"/>
    <w:basedOn w:val="Normal"/>
    <w:qFormat/>
    <w:rsid w:val="00D45520"/>
    <w:pPr>
      <w:shd w:val="clear" w:color="auto" w:fill="D9D9D9" w:themeFill="background1" w:themeFillShade="D9"/>
      <w:spacing w:before="120" w:after="80"/>
      <w:contextualSpacing/>
    </w:pPr>
    <w:rPr>
      <w:rFonts w:asciiTheme="minorBidi" w:hAnsiTheme="minorBidi"/>
      <w:szCs w:val="20"/>
    </w:rPr>
  </w:style>
  <w:style w:type="paragraph" w:customStyle="1" w:styleId="heading">
    <w:name w:val="heading"/>
    <w:basedOn w:val="Heading1"/>
    <w:rsid w:val="00D05081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A85A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A5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85A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A50"/>
    <w:rPr>
      <w:rFonts w:ascii="Arial" w:hAnsi="Arial"/>
      <w:sz w:val="24"/>
    </w:rPr>
  </w:style>
  <w:style w:type="paragraph" w:styleId="Title">
    <w:name w:val="Title"/>
    <w:aliases w:val="&gt; Title"/>
    <w:basedOn w:val="Normal"/>
    <w:next w:val="Normal"/>
    <w:link w:val="TitleChar"/>
    <w:uiPriority w:val="10"/>
    <w:qFormat/>
    <w:rsid w:val="00AE048F"/>
    <w:pPr>
      <w:spacing w:after="4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aliases w:val="&gt; Title Char"/>
    <w:basedOn w:val="DefaultParagraphFont"/>
    <w:link w:val="Title"/>
    <w:uiPriority w:val="10"/>
    <w:rsid w:val="00AE048F"/>
    <w:rPr>
      <w:rFonts w:asciiTheme="majorHAnsi" w:eastAsiaTheme="majorEastAsia" w:hAnsiTheme="majorHAnsi" w:cstheme="majorBidi"/>
      <w:spacing w:val="-10"/>
      <w:kern w:val="28"/>
      <w:sz w:val="56"/>
      <w:szCs w:val="56"/>
      <w:shd w:val="clear" w:color="auto" w:fill="FFFFFF"/>
      <w:lang w:eastAsia="en-GB"/>
    </w:rPr>
  </w:style>
  <w:style w:type="paragraph" w:customStyle="1" w:styleId="Body">
    <w:name w:val="Body"/>
    <w:rsid w:val="003329C3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Arial" w:eastAsia="Arial" w:hAnsi="Arial" w:cs="Arial"/>
      <w:color w:val="000000"/>
      <w:sz w:val="28"/>
      <w:szCs w:val="28"/>
      <w:u w:color="000000"/>
      <w:bdr w:val="nil"/>
      <w:lang w:eastAsia="en-GB"/>
    </w:rPr>
  </w:style>
  <w:style w:type="paragraph" w:customStyle="1" w:styleId="bullets">
    <w:name w:val="&gt;bullets"/>
    <w:basedOn w:val="ListParagraph"/>
    <w:qFormat/>
    <w:rsid w:val="003329C3"/>
    <w:pPr>
      <w:numPr>
        <w:numId w:val="14"/>
      </w:numPr>
      <w:spacing w:line="36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D9374-FEAE-4751-B055-8E84B4E9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Frith</dc:creator>
  <cp:keywords/>
  <dc:description/>
  <cp:lastModifiedBy>Jordan Vu-Abouzeid</cp:lastModifiedBy>
  <cp:revision>2</cp:revision>
  <dcterms:created xsi:type="dcterms:W3CDTF">2020-05-19T09:33:00Z</dcterms:created>
  <dcterms:modified xsi:type="dcterms:W3CDTF">2020-05-19T09:33:00Z</dcterms:modified>
</cp:coreProperties>
</file>