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:rsidR="00CC2D65" w:rsidRDefault="000073CA" w:rsidP="00CC2D65">
      <w:r>
        <w:t>Pavita Cooper</w:t>
      </w:r>
    </w:p>
    <w:p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:rsidR="00CC2D65" w:rsidRDefault="000073CA" w:rsidP="00CC2D65">
      <w:r>
        <w:t>Commissioner</w:t>
      </w:r>
    </w:p>
    <w:p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:rsidR="000073CA" w:rsidRDefault="000073CA" w:rsidP="007A5A56"/>
    <w:p w:rsidR="00B316A3" w:rsidRDefault="000073CA" w:rsidP="007A5A56">
      <w:r w:rsidRPr="00EF24A4">
        <w:t>Pavita Cooper is recognised as a leading talent and diversity expert; she has over 25 years’ experience as an executive talent leader across a range of multi-sector global blue-chip organisations, including Shell, Barclays and Lloyds Banking Group.</w:t>
      </w:r>
    </w:p>
    <w:p w:rsidR="00B316A3" w:rsidRDefault="000073CA" w:rsidP="007A5A56">
      <w:r w:rsidRPr="00EF24A4">
        <w:t xml:space="preserve">Pavita has acted as an advisor to CEOs, executive teams and business leaders across multiple sectors and geographies. Pavita is a passionate advocate of greater diversity; she campaigns tirelessly to change the face of British business. She is a regular speaker on women in business, increasing ethnic diversity and the acceleration of diverse talent in the pipeline to the C-Suite and Boardroom. </w:t>
      </w:r>
    </w:p>
    <w:p w:rsidR="00B316A3" w:rsidRDefault="000073CA" w:rsidP="007A5A56">
      <w:r w:rsidRPr="00EF24A4">
        <w:t xml:space="preserve">Pavita is the daughter of immigrants; her early life experiences shaped her dedication to strive for greater fairness and equality for all parts of society. </w:t>
      </w:r>
    </w:p>
    <w:p w:rsidR="00B316A3" w:rsidRDefault="000073CA" w:rsidP="007A5A56">
      <w:r w:rsidRPr="00EF24A4">
        <w:t>Pavita is a Steering Committe</w:t>
      </w:r>
      <w:r w:rsidR="00B316A3">
        <w:t>e member of the 30 Percent Club.</w:t>
      </w:r>
      <w:r w:rsidRPr="00EF24A4">
        <w:t xml:space="preserve"> </w:t>
      </w:r>
      <w:r w:rsidR="00B316A3">
        <w:t>I</w:t>
      </w:r>
      <w:r w:rsidRPr="00EF24A4">
        <w:t>n addition she chairs CMI Race</w:t>
      </w:r>
      <w:r w:rsidR="00B316A3">
        <w:t xml:space="preserve"> and is a trustee of the Old Vic theatre.</w:t>
      </w:r>
    </w:p>
    <w:p w:rsidR="007A5A56" w:rsidRDefault="000073CA" w:rsidP="007A5A56">
      <w:r w:rsidRPr="00EF24A4">
        <w:t>Pavita was named Woman of the Year at the Asian Business Awards in September 2017.</w:t>
      </w:r>
      <w:r w:rsidRPr="00EA1B92">
        <w:t>a member of the Whole Education Board</w:t>
      </w:r>
      <w:r>
        <w:t>. Appears on the Disability 100 Power list.</w:t>
      </w:r>
    </w:p>
    <w:p w:rsidR="000073CA" w:rsidRPr="007A5A56" w:rsidRDefault="000073CA" w:rsidP="007A5A56"/>
    <w:p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lastRenderedPageBreak/>
        <w:t>any wider financial interests (for example trust funds, investments, and assets including land and property);</w:t>
      </w:r>
    </w:p>
    <w:p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which may have a direct bearing on the business of the Commission, or which a fair minded person might reasonably think could influence your judgment.</w:t>
      </w:r>
    </w:p>
    <w:p w:rsidR="007A5A56" w:rsidRDefault="007A5A56" w:rsidP="007A5A56"/>
    <w:p w:rsidR="000073CA" w:rsidRDefault="000073CA" w:rsidP="000073CA">
      <w:pPr>
        <w:spacing w:after="0"/>
        <w:rPr>
          <w:lang w:val="en"/>
        </w:rPr>
      </w:pPr>
      <w:r>
        <w:t xml:space="preserve">Founder and director of </w:t>
      </w:r>
      <w:r w:rsidRPr="00DD0557">
        <w:t xml:space="preserve">More Difference (Executive search and talent advisory company) </w:t>
      </w:r>
      <w:r w:rsidRPr="00DD0557">
        <w:rPr>
          <w:lang w:val="en"/>
        </w:rPr>
        <w:t>Company number 8974472)</w:t>
      </w:r>
    </w:p>
    <w:p w:rsidR="007A5A56" w:rsidRDefault="007A5A56" w:rsidP="007A5A56"/>
    <w:p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:rsidR="0058464B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list your or close family members' or associates’ relevant non-pecuniary interests. These might include membership or active involvement with any: 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which,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:rsidR="000073CA" w:rsidRDefault="000073CA" w:rsidP="000073CA">
      <w:pPr>
        <w:spacing w:before="120"/>
      </w:pPr>
    </w:p>
    <w:p w:rsidR="000073CA" w:rsidRPr="00EF24A4" w:rsidRDefault="000073CA" w:rsidP="000073CA">
      <w:pPr>
        <w:spacing w:before="120"/>
      </w:pPr>
      <w:r w:rsidRPr="00EF24A4">
        <w:t>Steering Committee member of the 30% Club (unpaid)</w:t>
      </w:r>
    </w:p>
    <w:p w:rsidR="000073CA" w:rsidRDefault="000073CA" w:rsidP="000073CA">
      <w:pPr>
        <w:spacing w:before="120"/>
        <w:rPr>
          <w:lang w:val="en"/>
        </w:rPr>
      </w:pPr>
      <w:r w:rsidRPr="00EF24A4">
        <w:t>Chair of Chartered Management Institute’s CMI Race Network</w:t>
      </w:r>
      <w:r w:rsidRPr="00C75E7C">
        <w:rPr>
          <w:lang w:val="en"/>
        </w:rPr>
        <w:t xml:space="preserve"> </w:t>
      </w:r>
    </w:p>
    <w:p w:rsidR="000073CA" w:rsidRDefault="000073CA" w:rsidP="000073CA">
      <w:pPr>
        <w:spacing w:before="120"/>
        <w:rPr>
          <w:lang w:val="en"/>
        </w:rPr>
      </w:pPr>
      <w:r>
        <w:rPr>
          <w:lang w:val="en"/>
        </w:rPr>
        <w:t>Family member sits on the Social Mobility Commission, an advisory non-departmental public body sponsored by the Department for Education.</w:t>
      </w:r>
    </w:p>
    <w:p w:rsidR="000073CA" w:rsidRDefault="00820C66" w:rsidP="000073CA">
      <w:pPr>
        <w:spacing w:before="120"/>
        <w:rPr>
          <w:iCs/>
        </w:rPr>
      </w:pPr>
      <w:r w:rsidRPr="00820C66">
        <w:rPr>
          <w:iCs/>
          <w:lang w:val="en"/>
        </w:rPr>
        <w:t xml:space="preserve">A donation of £3,500 was made </w:t>
      </w:r>
      <w:r w:rsidRPr="00820C66">
        <w:rPr>
          <w:iCs/>
        </w:rPr>
        <w:t>at an event in 2013 to a personal friend running as an MP for the Conservative party.</w:t>
      </w:r>
    </w:p>
    <w:p w:rsidR="00640F6E" w:rsidRDefault="00640F6E" w:rsidP="000073CA">
      <w:pPr>
        <w:spacing w:before="120"/>
      </w:pPr>
      <w:r>
        <w:rPr>
          <w:iCs/>
        </w:rPr>
        <w:t>Trustee of the Old Vic Theatre (from 29 January 2021)</w:t>
      </w:r>
    </w:p>
    <w:p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lastRenderedPageBreak/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</w:p>
    <w:p w:rsidR="007A5A56" w:rsidRDefault="007A5A56" w:rsidP="007A5A56"/>
    <w:p w:rsidR="00C85338" w:rsidRDefault="00C96B3D" w:rsidP="007A5A56">
      <w:r>
        <w:t>None</w:t>
      </w:r>
    </w:p>
    <w:p w:rsidR="007A5A56" w:rsidRPr="00B2143A" w:rsidRDefault="007A5A56" w:rsidP="00D45520"/>
    <w:p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:rsidR="00097F28" w:rsidRDefault="00270813" w:rsidP="00D45520">
      <w:r>
        <w:t xml:space="preserve">This declaration was updated on </w:t>
      </w:r>
      <w:r w:rsidR="00640F6E">
        <w:t>1 February</w:t>
      </w:r>
      <w:r>
        <w:t xml:space="preserve"> 202</w:t>
      </w:r>
      <w:r w:rsidR="00640F6E">
        <w:t>1</w:t>
      </w:r>
      <w:r>
        <w:t xml:space="preserve"> to reflect</w:t>
      </w:r>
      <w:r w:rsidR="00640F6E">
        <w:t xml:space="preserve"> that Pavita had been appointed as a trustee of the Old Vic theatre from 29 January 2021.</w:t>
      </w:r>
    </w:p>
    <w:sectPr w:rsidR="00097F28" w:rsidSect="00877CE7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08" w:rsidRDefault="00245208" w:rsidP="00D45520">
      <w:r>
        <w:separator/>
      </w:r>
    </w:p>
  </w:endnote>
  <w:endnote w:type="continuationSeparator" w:id="0">
    <w:p w:rsidR="00245208" w:rsidRDefault="00245208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08" w:rsidRDefault="00245208" w:rsidP="00D45520">
      <w:r>
        <w:separator/>
      </w:r>
    </w:p>
  </w:footnote>
  <w:footnote w:type="continuationSeparator" w:id="0">
    <w:p w:rsidR="00245208" w:rsidRDefault="00245208" w:rsidP="00D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073CA"/>
    <w:rsid w:val="00021723"/>
    <w:rsid w:val="00097F28"/>
    <w:rsid w:val="000B657A"/>
    <w:rsid w:val="000C341F"/>
    <w:rsid w:val="000D40A5"/>
    <w:rsid w:val="00161E65"/>
    <w:rsid w:val="001A1D77"/>
    <w:rsid w:val="00241DB8"/>
    <w:rsid w:val="00245208"/>
    <w:rsid w:val="00270813"/>
    <w:rsid w:val="00317A4E"/>
    <w:rsid w:val="003329C3"/>
    <w:rsid w:val="00415052"/>
    <w:rsid w:val="00436490"/>
    <w:rsid w:val="0050095E"/>
    <w:rsid w:val="00574279"/>
    <w:rsid w:val="0058464B"/>
    <w:rsid w:val="005A3E37"/>
    <w:rsid w:val="005D1576"/>
    <w:rsid w:val="00640F6E"/>
    <w:rsid w:val="006A4294"/>
    <w:rsid w:val="006D3CF6"/>
    <w:rsid w:val="006F59AC"/>
    <w:rsid w:val="00703C28"/>
    <w:rsid w:val="007A5A56"/>
    <w:rsid w:val="007E6863"/>
    <w:rsid w:val="007F47CA"/>
    <w:rsid w:val="007F76FA"/>
    <w:rsid w:val="00820C66"/>
    <w:rsid w:val="00877CE7"/>
    <w:rsid w:val="0088707B"/>
    <w:rsid w:val="008D2A65"/>
    <w:rsid w:val="00960222"/>
    <w:rsid w:val="00990E35"/>
    <w:rsid w:val="00A85A50"/>
    <w:rsid w:val="00A92098"/>
    <w:rsid w:val="00AA63A1"/>
    <w:rsid w:val="00AC54CA"/>
    <w:rsid w:val="00AE048F"/>
    <w:rsid w:val="00B2143A"/>
    <w:rsid w:val="00B316A3"/>
    <w:rsid w:val="00B65337"/>
    <w:rsid w:val="00C85338"/>
    <w:rsid w:val="00C96B3D"/>
    <w:rsid w:val="00CC2D65"/>
    <w:rsid w:val="00CC6276"/>
    <w:rsid w:val="00CE26F6"/>
    <w:rsid w:val="00D05081"/>
    <w:rsid w:val="00D2352F"/>
    <w:rsid w:val="00D45520"/>
    <w:rsid w:val="00D9556D"/>
    <w:rsid w:val="00E10383"/>
    <w:rsid w:val="00E74781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1153-77E0-436E-8FF0-4B27E5D9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Marie Scholes</cp:lastModifiedBy>
  <cp:revision>2</cp:revision>
  <dcterms:created xsi:type="dcterms:W3CDTF">2021-02-01T11:35:00Z</dcterms:created>
  <dcterms:modified xsi:type="dcterms:W3CDTF">2021-02-01T11:35:00Z</dcterms:modified>
</cp:coreProperties>
</file>