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49B12" w14:textId="77777777" w:rsidR="002C4F84" w:rsidRDefault="002C4F84" w:rsidP="00334AC6">
      <w:pPr>
        <w:rPr>
          <w:rFonts w:ascii="Arial" w:hAnsi="Arial" w:cs="Arial"/>
          <w:b/>
          <w:sz w:val="24"/>
          <w:szCs w:val="24"/>
          <w:u w:val="single"/>
        </w:rPr>
      </w:pPr>
      <w:bookmarkStart w:id="0" w:name="_GoBack"/>
      <w:bookmarkEnd w:id="0"/>
    </w:p>
    <w:p w14:paraId="260E0304" w14:textId="37AAE5E3" w:rsidR="00B679E0" w:rsidRDefault="00BA0378" w:rsidP="00BA0378">
      <w:pPr>
        <w:pStyle w:val="Title-chaptergrey"/>
        <w:jc w:val="center"/>
        <w:rPr>
          <w:color w:val="auto"/>
          <w:sz w:val="56"/>
          <w:szCs w:val="44"/>
          <w:lang w:val="en-US" w:eastAsia="ja-JP"/>
        </w:rPr>
      </w:pPr>
      <w:bookmarkStart w:id="1" w:name="_Toc467669688"/>
      <w:r>
        <w:rPr>
          <w:color w:val="auto"/>
          <w:sz w:val="56"/>
          <w:szCs w:val="44"/>
          <w:lang w:val="en-US" w:eastAsia="ja-JP"/>
        </w:rPr>
        <w:t xml:space="preserve">Key </w:t>
      </w:r>
      <w:r w:rsidRPr="00BA0378">
        <w:rPr>
          <w:color w:val="auto"/>
          <w:sz w:val="56"/>
          <w:szCs w:val="44"/>
          <w:lang w:val="en-US" w:eastAsia="ja-JP"/>
        </w:rPr>
        <w:t xml:space="preserve">concerns of the UK Independent Mechanism following the release of the </w:t>
      </w:r>
      <w:r w:rsidR="00676137">
        <w:rPr>
          <w:color w:val="auto"/>
          <w:sz w:val="56"/>
          <w:szCs w:val="44"/>
          <w:lang w:val="en-US" w:eastAsia="ja-JP"/>
        </w:rPr>
        <w:t xml:space="preserve">CRPD Committee’s </w:t>
      </w:r>
      <w:r w:rsidRPr="00BA0378">
        <w:rPr>
          <w:color w:val="auto"/>
          <w:sz w:val="56"/>
          <w:szCs w:val="44"/>
          <w:lang w:val="en-US" w:eastAsia="ja-JP"/>
        </w:rPr>
        <w:t>inquiry into the UK under Article 6 of the CRPD Optional Protocol, and the UK Government’s response</w:t>
      </w:r>
    </w:p>
    <w:p w14:paraId="02968580" w14:textId="394DC571" w:rsidR="00B679E0" w:rsidRPr="00B679E0" w:rsidRDefault="00BA0378" w:rsidP="00B679E0">
      <w:pPr>
        <w:pStyle w:val="Title-chaptergrey"/>
        <w:rPr>
          <w:rFonts w:ascii="Calibri" w:hAnsi="Calibri"/>
          <w:color w:val="auto"/>
          <w:sz w:val="28"/>
          <w:szCs w:val="23"/>
        </w:rPr>
      </w:pPr>
      <w:r w:rsidRPr="00B679E0">
        <w:rPr>
          <w:noProof/>
          <w:color w:val="auto"/>
          <w:sz w:val="72"/>
          <w:szCs w:val="44"/>
          <w:lang w:eastAsia="en-GB"/>
        </w:rPr>
        <mc:AlternateContent>
          <mc:Choice Requires="wps">
            <w:drawing>
              <wp:anchor distT="0" distB="0" distL="114300" distR="114300" simplePos="0" relativeHeight="251659264" behindDoc="0" locked="0" layoutInCell="1" allowOverlap="1" wp14:anchorId="3A1D6A24" wp14:editId="157DC4D1">
                <wp:simplePos x="0" y="0"/>
                <wp:positionH relativeFrom="column">
                  <wp:posOffset>4333875</wp:posOffset>
                </wp:positionH>
                <wp:positionV relativeFrom="paragraph">
                  <wp:posOffset>4485005</wp:posOffset>
                </wp:positionV>
                <wp:extent cx="1933575" cy="9144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w="9525">
                          <a:noFill/>
                          <a:miter lim="800000"/>
                          <a:headEnd/>
                          <a:tailEnd/>
                        </a:ln>
                      </wps:spPr>
                      <wps:txbx>
                        <w:txbxContent>
                          <w:p w14:paraId="0F250022" w14:textId="77777777" w:rsidR="00BA0378" w:rsidRDefault="00BA0378" w:rsidP="00BA0378">
                            <w:r>
                              <w:rPr>
                                <w:rFonts w:ascii="Calibri" w:hAnsi="Calibri"/>
                                <w:noProof/>
                                <w:sz w:val="20"/>
                                <w:szCs w:val="20"/>
                                <w:lang w:eastAsia="en-GB"/>
                              </w:rPr>
                              <w:drawing>
                                <wp:inline distT="0" distB="0" distL="0" distR="0" wp14:anchorId="74E44FAD" wp14:editId="75D1A6DE">
                                  <wp:extent cx="1714500" cy="752475"/>
                                  <wp:effectExtent l="0" t="0" r="0" b="9525"/>
                                  <wp:docPr id="16" name="Picture 16" title="Northern Ireland Human Rights Commission logo"/>
                                  <wp:cNvGraphicFramePr/>
                                  <a:graphic xmlns:a="http://schemas.openxmlformats.org/drawingml/2006/main">
                                    <a:graphicData uri="http://schemas.openxmlformats.org/drawingml/2006/picture">
                                      <pic:pic xmlns:pic="http://schemas.openxmlformats.org/drawingml/2006/picture">
                                        <pic:nvPicPr>
                                          <pic:cNvPr id="9" name="Picture 9" title="Northern Ireland Human Rights Commission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1.25pt;margin-top:353.15pt;width:152.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eeHQIAABsEAAAOAAAAZHJzL2Uyb0RvYy54bWysU11v2yAUfZ+0/4B4X+ykydJacaouXaZJ&#10;3YfU7gdgwDEacBmQ2Nmv3wWnadS9TfMDAt/Lueeee1jdDkaTg/RBga3pdFJSIi0Hoeyupj+etu+u&#10;KQmRWcE0WFnTowz0dv32zap3lZxBB1pITxDEhqp3Ne1idFVRBN5Jw8IEnLQYbMEbFvHod4XwrEd0&#10;o4tZWb4vevDCeeAyBPx7PwbpOuO3reTxW9sGGYmuKXKLefV5bdJarFes2nnmOsVPNNg/sDBMWSx6&#10;hrpnkZG9V39BGcU9BGjjhIMpoG0Vl7kH7GZavurmsWNO5l5QnODOMoX/B8u/Hr57okRNl5RYZnBE&#10;T3KI5AMMZJnU6V2oMOnRYVoc8DdOOXca3APwn4FY2HTM7uSd99B3kglkN003i4urI05IIE3/BQSW&#10;YfsIGWhovUnSoRgE0XFKx/NkEhWeSt5cXS2WC0o4xm6m83mZR1ew6vm28yF+kmBI2tTU4+QzOjs8&#10;hJjYsOo5JRULoJXYKq3zwe+ajfbkwNAl2/zlBl6laUt6rL6YLTKyhXQ/G8ioiC7WytT0ukzf6Kuk&#10;xkcrckpkSo97ZKLtSZ6kyKhNHJoBE5NmDYgjCuVhdCu+Ltx04H9T0qNTaxp+7ZmXlOjPFsXOcqC1&#10;82G+WM5QQX8ZaS4jzHKEqmmkZNxuYn4OSQcLdziUVmW9XpicuKIDs4yn15IsfnnOWS9vev0HAAD/&#10;/wMAUEsDBBQABgAIAAAAIQCiw8/M4AAAAAsBAAAPAAAAZHJzL2Rvd25yZXYueG1sTI/LTsMwEEX3&#10;SPyDNZXYIOrQkkdDJhUggdi29AOceJpEjcdR7Dbp32NWdDmao3vPLbaz6cWFRtdZRnheRiCIa6s7&#10;bhAOP59PGQjnFWvVWyaEKznYlvd3hcq1nXhHl71vRAhhlyuE1vshl9LVLRnllnYgDr+jHY3y4Rwb&#10;qUc1hXDTy1UUJdKojkNDqwb6aKk+7c8G4fg9Pcabqfryh3T3kryrLq3sFfFhMb+9gvA0+38Y/vSD&#10;OpTBqbJn1k70CEm2igOKkEbJGkQgNlka1lUIWRytQZaFvN1Q/gIAAP//AwBQSwECLQAUAAYACAAA&#10;ACEAtoM4kv4AAADhAQAAEwAAAAAAAAAAAAAAAAAAAAAAW0NvbnRlbnRfVHlwZXNdLnhtbFBLAQIt&#10;ABQABgAIAAAAIQA4/SH/1gAAAJQBAAALAAAAAAAAAAAAAAAAAC8BAABfcmVscy8ucmVsc1BLAQIt&#10;ABQABgAIAAAAIQDvMqeeHQIAABsEAAAOAAAAAAAAAAAAAAAAAC4CAABkcnMvZTJvRG9jLnhtbFBL&#10;AQItABQABgAIAAAAIQCiw8/M4AAAAAsBAAAPAAAAAAAAAAAAAAAAAHcEAABkcnMvZG93bnJldi54&#10;bWxQSwUGAAAAAAQABADzAAAAhAUAAAAA&#10;" stroked="f">
                <v:textbox>
                  <w:txbxContent>
                    <w:p w14:paraId="0F250022" w14:textId="77777777" w:rsidR="00BA0378" w:rsidRDefault="00BA0378" w:rsidP="00BA0378">
                      <w:r>
                        <w:rPr>
                          <w:rFonts w:ascii="Calibri" w:hAnsi="Calibri"/>
                          <w:noProof/>
                          <w:sz w:val="20"/>
                          <w:szCs w:val="20"/>
                          <w:lang w:eastAsia="en-GB"/>
                        </w:rPr>
                        <w:drawing>
                          <wp:inline distT="0" distB="0" distL="0" distR="0" wp14:anchorId="74E44FAD" wp14:editId="75D1A6DE">
                            <wp:extent cx="1714500" cy="752475"/>
                            <wp:effectExtent l="0" t="0" r="0" b="9525"/>
                            <wp:docPr id="16" name="Picture 16" title="Northern Ireland Human Rights Commission logo"/>
                            <wp:cNvGraphicFramePr/>
                            <a:graphic xmlns:a="http://schemas.openxmlformats.org/drawingml/2006/main">
                              <a:graphicData uri="http://schemas.openxmlformats.org/drawingml/2006/picture">
                                <pic:pic xmlns:pic="http://schemas.openxmlformats.org/drawingml/2006/picture">
                                  <pic:nvPicPr>
                                    <pic:cNvPr id="9" name="Picture 9" title="Northern Ireland Human Rights Commission 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p>
                  </w:txbxContent>
                </v:textbox>
              </v:shape>
            </w:pict>
          </mc:Fallback>
        </mc:AlternateContent>
      </w:r>
      <w:r w:rsidRPr="00B679E0">
        <w:rPr>
          <w:noProof/>
          <w:color w:val="auto"/>
          <w:sz w:val="72"/>
          <w:szCs w:val="44"/>
          <w:lang w:eastAsia="en-GB"/>
        </w:rPr>
        <mc:AlternateContent>
          <mc:Choice Requires="wps">
            <w:drawing>
              <wp:anchor distT="0" distB="0" distL="114300" distR="114300" simplePos="0" relativeHeight="251660288" behindDoc="0" locked="0" layoutInCell="1" allowOverlap="1" wp14:anchorId="14F44252" wp14:editId="79A106B2">
                <wp:simplePos x="0" y="0"/>
                <wp:positionH relativeFrom="column">
                  <wp:posOffset>2886075</wp:posOffset>
                </wp:positionH>
                <wp:positionV relativeFrom="paragraph">
                  <wp:posOffset>4427855</wp:posOffset>
                </wp:positionV>
                <wp:extent cx="1724025" cy="102489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24890"/>
                        </a:xfrm>
                        <a:prstGeom prst="rect">
                          <a:avLst/>
                        </a:prstGeom>
                        <a:noFill/>
                        <a:ln w="9525">
                          <a:noFill/>
                          <a:miter lim="800000"/>
                          <a:headEnd/>
                          <a:tailEnd/>
                        </a:ln>
                      </wps:spPr>
                      <wps:txbx>
                        <w:txbxContent>
                          <w:p w14:paraId="4B116755" w14:textId="77777777" w:rsidR="00BA0378" w:rsidRDefault="00BA0378" w:rsidP="00BA0378">
                            <w:r>
                              <w:rPr>
                                <w:rFonts w:ascii="Calibri" w:hAnsi="Calibri"/>
                                <w:noProof/>
                                <w:sz w:val="20"/>
                                <w:szCs w:val="20"/>
                                <w:lang w:eastAsia="en-GB"/>
                              </w:rPr>
                              <w:drawing>
                                <wp:inline distT="0" distB="0" distL="0" distR="0" wp14:anchorId="06FB78C8" wp14:editId="785533F2">
                                  <wp:extent cx="1352550" cy="885825"/>
                                  <wp:effectExtent l="0" t="0" r="0" b="0"/>
                                  <wp:docPr id="17" name="Picture 17" title="Scottish Human Rights Commission logo"/>
                                  <wp:cNvGraphicFramePr/>
                                  <a:graphic xmlns:a="http://schemas.openxmlformats.org/drawingml/2006/main">
                                    <a:graphicData uri="http://schemas.openxmlformats.org/drawingml/2006/picture">
                                      <pic:pic xmlns:pic="http://schemas.openxmlformats.org/drawingml/2006/picture">
                                        <pic:nvPicPr>
                                          <pic:cNvPr id="6" name="Picture 6" title="Scottish Human Rights Commission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455" cy="885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27.25pt;margin-top:348.65pt;width:135.7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CFCwIAAPoDAAAOAAAAZHJzL2Uyb0RvYy54bWysU9tu2zAMfR+wfxD0vtgxnDUxohRduw4D&#10;ugvQ7gMUWY6FSaImKbGzrx8lp2nQvQ3zgyCa5CHPIbW+Ho0mB+mDAsvofFZSIq2AVtkdoz+e7t8t&#10;KQmR25ZrsJLRowz0evP2zXpwjaygB91KTxDEhmZwjPYxuqYoguil4WEGTlp0duANj2j6XdF6PiC6&#10;0UVVlu+LAXzrPAgZAv69m5x0k/G7Tor4reuCjEQzir3FfPp8btNZbNa82XnueiVObfB/6MJwZbHo&#10;GeqOR072Xv0FZZTwEKCLMwGmgK5TQmYOyGZevmLz2HMnMxcUJ7izTOH/wYqvh++eqJbRmhLLDY7o&#10;SY6RfICR1EmdwYUGgx4dhsURf+OUM9PgHkD8DMTCbc/tTt54D0MveYvdzVNmcZE64YQEsh2+QItl&#10;+D5CBho7b5J0KAZBdJzS8TyZ1IpIJa+quqwWlAj0zcuqXq7y7ArePKc7H+InCYakC6MeR5/h+eEh&#10;xNQOb55DUjUL90rrPH5tycDoaoH4rzxGRdxOrQyjyzJ9074klh9tm5MjV3q6YwFtT7QT04lzHLdj&#10;1jdrkiTZQntEHTxMy4iPBy89+N+UDLiIjIZfe+4lJfqzRS1X87pOm5uNenFVoeEvPdtLD7cCoRiN&#10;lEzX25i3fSJ2g5p3Kqvx0smpZVywLNLpMaQNvrRz1MuT3fwBAAD//wMAUEsDBBQABgAIAAAAIQA2&#10;oV8v3wAAAAsBAAAPAAAAZHJzL2Rvd25yZXYueG1sTI/LTsMwEEX3SPyDNUjsqE3JqyGTCoHYgigP&#10;iZ0bu0lEPI5itwl/z7CC5WiO7j232i5uECc7hd4TwvVKgbDUeNNTi/D2+nhVgAhRk9GDJ4vwbQNs&#10;6/OzSpfGz/RiT7vYCg6hUGqELsaxlDI0nXU6rPxoiX8HPzkd+ZxaaSY9c7gb5FqpTDrdEzd0erT3&#10;nW2+dkeH8P50+PxI1HP74NJx9ouS5DYS8fJiubsFEe0S/2D41Wd1qNlp749kghgQkjRJGUXINvkN&#10;CCbydcbr9ghFWuQg60r+31D/AAAA//8DAFBLAQItABQABgAIAAAAIQC2gziS/gAAAOEBAAATAAAA&#10;AAAAAAAAAAAAAAAAAABbQ29udGVudF9UeXBlc10ueG1sUEsBAi0AFAAGAAgAAAAhADj9If/WAAAA&#10;lAEAAAsAAAAAAAAAAAAAAAAALwEAAF9yZWxzLy5yZWxzUEsBAi0AFAAGAAgAAAAhAHkasIULAgAA&#10;+gMAAA4AAAAAAAAAAAAAAAAALgIAAGRycy9lMm9Eb2MueG1sUEsBAi0AFAAGAAgAAAAhADahXy/f&#10;AAAACwEAAA8AAAAAAAAAAAAAAAAAZQQAAGRycy9kb3ducmV2LnhtbFBLBQYAAAAABAAEAPMAAABx&#10;BQAAAAA=&#10;" filled="f" stroked="f">
                <v:textbox>
                  <w:txbxContent>
                    <w:p w14:paraId="4B116755" w14:textId="77777777" w:rsidR="00BA0378" w:rsidRDefault="00BA0378" w:rsidP="00BA0378">
                      <w:r>
                        <w:rPr>
                          <w:rFonts w:ascii="Calibri" w:hAnsi="Calibri"/>
                          <w:noProof/>
                          <w:sz w:val="20"/>
                          <w:szCs w:val="20"/>
                          <w:lang w:eastAsia="en-GB"/>
                        </w:rPr>
                        <w:drawing>
                          <wp:inline distT="0" distB="0" distL="0" distR="0" wp14:anchorId="06FB78C8" wp14:editId="785533F2">
                            <wp:extent cx="1352550" cy="885825"/>
                            <wp:effectExtent l="0" t="0" r="0" b="0"/>
                            <wp:docPr id="17" name="Picture 17" title="Scottish Human Rights Commission logo"/>
                            <wp:cNvGraphicFramePr/>
                            <a:graphic xmlns:a="http://schemas.openxmlformats.org/drawingml/2006/main">
                              <a:graphicData uri="http://schemas.openxmlformats.org/drawingml/2006/picture">
                                <pic:pic xmlns:pic="http://schemas.openxmlformats.org/drawingml/2006/picture">
                                  <pic:nvPicPr>
                                    <pic:cNvPr id="6" name="Picture 6" title="Scottish Human Rights Commission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885825"/>
                                    </a:xfrm>
                                    <a:prstGeom prst="rect">
                                      <a:avLst/>
                                    </a:prstGeom>
                                    <a:noFill/>
                                    <a:ln>
                                      <a:noFill/>
                                    </a:ln>
                                  </pic:spPr>
                                </pic:pic>
                              </a:graphicData>
                            </a:graphic>
                          </wp:inline>
                        </w:drawing>
                      </w:r>
                    </w:p>
                  </w:txbxContent>
                </v:textbox>
              </v:shape>
            </w:pict>
          </mc:Fallback>
        </mc:AlternateContent>
      </w:r>
      <w:r w:rsidRPr="00B679E0">
        <w:rPr>
          <w:noProof/>
          <w:color w:val="auto"/>
          <w:sz w:val="72"/>
          <w:szCs w:val="44"/>
          <w:lang w:eastAsia="en-GB"/>
        </w:rPr>
        <mc:AlternateContent>
          <mc:Choice Requires="wps">
            <w:drawing>
              <wp:anchor distT="0" distB="0" distL="114300" distR="114300" simplePos="0" relativeHeight="251661312" behindDoc="0" locked="0" layoutInCell="1" allowOverlap="1" wp14:anchorId="318AE2BC" wp14:editId="38291ABE">
                <wp:simplePos x="0" y="0"/>
                <wp:positionH relativeFrom="column">
                  <wp:posOffset>1152525</wp:posOffset>
                </wp:positionH>
                <wp:positionV relativeFrom="paragraph">
                  <wp:posOffset>4323080</wp:posOffset>
                </wp:positionV>
                <wp:extent cx="1733550" cy="9239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23925"/>
                        </a:xfrm>
                        <a:prstGeom prst="rect">
                          <a:avLst/>
                        </a:prstGeom>
                        <a:noFill/>
                        <a:ln w="9525">
                          <a:noFill/>
                          <a:miter lim="800000"/>
                          <a:headEnd/>
                          <a:tailEnd/>
                        </a:ln>
                      </wps:spPr>
                      <wps:txbx>
                        <w:txbxContent>
                          <w:p w14:paraId="62CB9D3F" w14:textId="77777777" w:rsidR="00BA0378" w:rsidRDefault="00BA0378" w:rsidP="00BA0378">
                            <w:r>
                              <w:rPr>
                                <w:rFonts w:ascii="Calibri" w:hAnsi="Calibri"/>
                                <w:noProof/>
                                <w:sz w:val="20"/>
                                <w:szCs w:val="20"/>
                                <w:lang w:eastAsia="en-GB"/>
                              </w:rPr>
                              <w:drawing>
                                <wp:inline distT="0" distB="0" distL="0" distR="0" wp14:anchorId="77B6B9F4" wp14:editId="3808CD56">
                                  <wp:extent cx="1809750" cy="904875"/>
                                  <wp:effectExtent l="0" t="0" r="0" b="9525"/>
                                  <wp:docPr id="18" name="Picture 18" title="Equality Commission for Northern Ireland logo"/>
                                  <wp:cNvGraphicFramePr/>
                                  <a:graphic xmlns:a="http://schemas.openxmlformats.org/drawingml/2006/main">
                                    <a:graphicData uri="http://schemas.openxmlformats.org/drawingml/2006/picture">
                                      <pic:pic xmlns:pic="http://schemas.openxmlformats.org/drawingml/2006/picture">
                                        <pic:nvPicPr>
                                          <pic:cNvPr id="3" name="Picture 3" title="Equality Commission for Northern Ireland 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904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0.75pt;margin-top:340.4pt;width:136.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cqCQIAAPkDAAAOAAAAZHJzL2Uyb0RvYy54bWysU9tu2zAMfR+wfxD0vjhxkrUx4hRduw4D&#10;ugvQ7gMYWY6FSaImKbG7rx8lp2nQvQ3zgyCa5CHPIbW+GoxmB+mDQlvz2WTKmbQCG2V3Nf/xePfu&#10;krMQwTag0cqaP8nArzZv36x7V8kSO9SN9IxAbKh6V/MuRlcVRRCdNBAm6KQlZ4veQCTT74rGQ0/o&#10;RhfldPq+6NE3zqOQIdDf29HJNxm/baWI39o2yMh0zam3mE+fz206i80aqp0H1ylxbAP+oQsDylLR&#10;E9QtRGB7r/6CMkp4DNjGiUBTYNsqITMHYjObvmLz0IGTmQuJE9xJpvD/YMXXw3fPVFPzkjMLhkb0&#10;KIfIPuDAyqRO70JFQQ+OwuJAv2nKmWlw9yh+BmbxpgO7k9feY99JaKi7WcoszlJHnJBAtv0XbKgM&#10;7CNmoKH1JklHYjBCpyk9nSaTWhGp5MV8vlySS5BvVc5X5TKXgOo52/kQP0k0LF1q7mnyGR0O9yGm&#10;bqB6DknFLN4prfP0tWU9gS4J8pXHqEjLqZWp+eU0feO6JJIfbZOTIyg93qmAtkfWiehIOQ7b4Sgv&#10;xSdFttg8kQwex12kt0OXDv1vznraw5qHX3vwkjP92ZKUq9likRY3G4vlRUmGP/dszz1gBUHVPHI2&#10;Xm9iXvaR2DVJ3qqsxksnx5Zpv7JIx7eQFvjczlEvL3bzBwAA//8DAFBLAwQUAAYACAAAACEAO6iW&#10;Ot4AAAALAQAADwAAAGRycy9kb3ducmV2LnhtbEyPzU7DMBCE70h9B2uRuFG7JYlCiFNVIK5UlB+J&#10;mxtvk4h4HcVuE96e7QmOM/tpdqbczK4XZxxD50nDaqlAINXedtRoeH97vs1BhGjImt4TavjBAJtq&#10;cVWawvqJXvG8j43gEAqF0dDGOBRShrpFZ8LSD0h8O/rRmchybKQdzcThrpdrpTLpTEf8oTUDPrZY&#10;f+9PTsPHy/HrM1G75smlw+RnJcndS61vruftA4iIc/yD4VKfq0PFnQ7+RDaInnW+ShnVkOWKNzCR&#10;pAk7Bw35OrsDWZXy/4bqFwAA//8DAFBLAQItABQABgAIAAAAIQC2gziS/gAAAOEBAAATAAAAAAAA&#10;AAAAAAAAAAAAAABbQ29udGVudF9UeXBlc10ueG1sUEsBAi0AFAAGAAgAAAAhADj9If/WAAAAlAEA&#10;AAsAAAAAAAAAAAAAAAAALwEAAF9yZWxzLy5yZWxzUEsBAi0AFAAGAAgAAAAhAAymZyoJAgAA+QMA&#10;AA4AAAAAAAAAAAAAAAAALgIAAGRycy9lMm9Eb2MueG1sUEsBAi0AFAAGAAgAAAAhADuoljreAAAA&#10;CwEAAA8AAAAAAAAAAAAAAAAAYwQAAGRycy9kb3ducmV2LnhtbFBLBQYAAAAABAAEAPMAAABuBQAA&#10;AAA=&#10;" filled="f" stroked="f">
                <v:textbox>
                  <w:txbxContent>
                    <w:p w14:paraId="62CB9D3F" w14:textId="77777777" w:rsidR="00BA0378" w:rsidRDefault="00BA0378" w:rsidP="00BA0378">
                      <w:r>
                        <w:rPr>
                          <w:rFonts w:ascii="Calibri" w:hAnsi="Calibri"/>
                          <w:noProof/>
                          <w:sz w:val="20"/>
                          <w:szCs w:val="20"/>
                          <w:lang w:eastAsia="en-GB"/>
                        </w:rPr>
                        <w:drawing>
                          <wp:inline distT="0" distB="0" distL="0" distR="0" wp14:anchorId="77B6B9F4" wp14:editId="3808CD56">
                            <wp:extent cx="1809750" cy="904875"/>
                            <wp:effectExtent l="0" t="0" r="0" b="9525"/>
                            <wp:docPr id="18" name="Picture 18" title="Equality Commission for Northern Ireland logo"/>
                            <wp:cNvGraphicFramePr/>
                            <a:graphic xmlns:a="http://schemas.openxmlformats.org/drawingml/2006/main">
                              <a:graphicData uri="http://schemas.openxmlformats.org/drawingml/2006/picture">
                                <pic:pic xmlns:pic="http://schemas.openxmlformats.org/drawingml/2006/picture">
                                  <pic:nvPicPr>
                                    <pic:cNvPr id="3" name="Picture 3" title="Equality Commission for Northern Ireland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904240"/>
                                    </a:xfrm>
                                    <a:prstGeom prst="rect">
                                      <a:avLst/>
                                    </a:prstGeom>
                                    <a:noFill/>
                                    <a:ln>
                                      <a:noFill/>
                                    </a:ln>
                                  </pic:spPr>
                                </pic:pic>
                              </a:graphicData>
                            </a:graphic>
                          </wp:inline>
                        </w:drawing>
                      </w:r>
                    </w:p>
                  </w:txbxContent>
                </v:textbox>
              </v:shape>
            </w:pict>
          </mc:Fallback>
        </mc:AlternateContent>
      </w:r>
      <w:r w:rsidRPr="00B679E0">
        <w:rPr>
          <w:noProof/>
          <w:color w:val="auto"/>
          <w:sz w:val="72"/>
          <w:szCs w:val="44"/>
          <w:lang w:eastAsia="en-GB"/>
        </w:rPr>
        <mc:AlternateContent>
          <mc:Choice Requires="wps">
            <w:drawing>
              <wp:anchor distT="0" distB="0" distL="114300" distR="114300" simplePos="0" relativeHeight="251662336" behindDoc="0" locked="0" layoutInCell="1" allowOverlap="1" wp14:anchorId="1BF3B9B3" wp14:editId="7027D739">
                <wp:simplePos x="0" y="0"/>
                <wp:positionH relativeFrom="column">
                  <wp:posOffset>-600075</wp:posOffset>
                </wp:positionH>
                <wp:positionV relativeFrom="paragraph">
                  <wp:posOffset>4427855</wp:posOffset>
                </wp:positionV>
                <wp:extent cx="2076450" cy="8191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19150"/>
                        </a:xfrm>
                        <a:prstGeom prst="rect">
                          <a:avLst/>
                        </a:prstGeom>
                        <a:solidFill>
                          <a:srgbClr val="FFFFFF"/>
                        </a:solidFill>
                        <a:ln w="9525">
                          <a:noFill/>
                          <a:miter lim="800000"/>
                          <a:headEnd/>
                          <a:tailEnd/>
                        </a:ln>
                      </wps:spPr>
                      <wps:txbx>
                        <w:txbxContent>
                          <w:p w14:paraId="4B943AC1" w14:textId="77777777" w:rsidR="00BA0378" w:rsidRDefault="00BA0378" w:rsidP="00BA0378">
                            <w:r>
                              <w:rPr>
                                <w:rFonts w:ascii="Calibri" w:hAnsi="Calibri"/>
                                <w:noProof/>
                                <w:sz w:val="20"/>
                                <w:szCs w:val="20"/>
                                <w:lang w:eastAsia="en-GB"/>
                              </w:rPr>
                              <w:drawing>
                                <wp:inline distT="0" distB="0" distL="0" distR="0" wp14:anchorId="44BA3448" wp14:editId="36749868">
                                  <wp:extent cx="1981200" cy="733425"/>
                                  <wp:effectExtent l="0" t="0" r="0" b="0"/>
                                  <wp:docPr id="19" name="Picture 19" title="Equality and Human Rights Commission logo"/>
                                  <wp:cNvGraphicFramePr/>
                                  <a:graphic xmlns:a="http://schemas.openxmlformats.org/drawingml/2006/main">
                                    <a:graphicData uri="http://schemas.openxmlformats.org/drawingml/2006/picture">
                                      <pic:pic xmlns:pic="http://schemas.openxmlformats.org/drawingml/2006/picture">
                                        <pic:nvPicPr>
                                          <pic:cNvPr id="1" name="Picture 1" title="Equality and Human Rights Commission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7390" cy="729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9" type="#_x0000_t202" style="position:absolute;margin-left:-47.25pt;margin-top:348.65pt;width:163.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SIwIAACYEAAAOAAAAZHJzL2Uyb0RvYy54bWysU9tu2zAMfR+wfxD0vtjJkrYx4hRdugwD&#10;ugvQ7gNoWY6FSaInKbGzrx8lp2m2vQ3Tg0CK5NHRIbW6HYxmB+m8Qlvy6STnTFqBtbK7kn972r65&#10;4cwHsDVotLLkR+n57fr1q1XfFXKGLepaOkYg1hd9V/I2hK7IMi9aacBPsJOWgg06A4Fct8tqBz2h&#10;G53N8vwq69HVnUMhvafT+zHI1wm/aaQIX5rGy8B0yYlbSLtLexX3bL2CYuega5U40YB/YGFAWbr0&#10;DHUPAdjeqb+gjBIOPTZhItBk2DRKyPQGes00/+M1jy10Mr2FxPHdWSb//2DF58NXx1Rd8rf5NWcW&#10;DDXpSQ6BvcOBxTNSqO98QYmPHaWGgQLU6fRa3z2g+O6ZxU0LdifvnMO+lVATw2mszC5KRxwfQar+&#10;E9Z0EewDJqChcSbKR4IwQqdOHc/diWQEHc7y66v5gkKCYjfT5ZTseAUUz9Wd8+GDRMOiUXJH3U/o&#10;cHjwYUx9TomXedSq3iqtk+N21UY7dgCalG1aJ/Tf0rRlfcmXi9kiIVuM9QQNhVGBJlkrQ+TyuGI5&#10;FFGN97ZOdgClR5tIa3uSJyoyahOGahh7EWujdBXWR9LL4Ti49NHIaNH95KynoS25/7EHJznTHy1p&#10;vpzO53HKkzNfXM/IcZeR6jICVhBUyQNno7kJ6WdE2hbvqDeNSrK9MDlRpmFMwp8+Tpz2Sz9lvXzv&#10;9S8AAAD//wMAUEsDBBQABgAIAAAAIQACCkmd4AAAAAsBAAAPAAAAZHJzL2Rvd25yZXYueG1sTI/B&#10;boMwDIbvk/YOkSftMrVh0EKhhGqbtGnXdn0AAymgEgeRtNC3n3daj7Y//f7+fDebXlz16DpLCl6X&#10;AQhNla07ahQcfz4XGxDOI9XYW9IKbtrBrnh8yDGr7UR7fT34RnAIuQwVtN4PmZSuarVBt7SDJr6d&#10;7GjQ8zg2sh5x4nDTyzAIYmmwI/7Q4qA/Wl2dDxej4PQ9vazTqfzyx2S/it+xS0p7U+r5aX7bgvB6&#10;9v8w/OmzOhTsVNoL1U70Chbpas2ogjhNIhBMhFHIm1LBJowjkEUu7zsUvwAAAP//AwBQSwECLQAU&#10;AAYACAAAACEAtoM4kv4AAADhAQAAEwAAAAAAAAAAAAAAAAAAAAAAW0NvbnRlbnRfVHlwZXNdLnht&#10;bFBLAQItABQABgAIAAAAIQA4/SH/1gAAAJQBAAALAAAAAAAAAAAAAAAAAC8BAABfcmVscy8ucmVs&#10;c1BLAQItABQABgAIAAAAIQAZK/2SIwIAACYEAAAOAAAAAAAAAAAAAAAAAC4CAABkcnMvZTJvRG9j&#10;LnhtbFBLAQItABQABgAIAAAAIQACCkmd4AAAAAsBAAAPAAAAAAAAAAAAAAAAAH0EAABkcnMvZG93&#10;bnJldi54bWxQSwUGAAAAAAQABADzAAAAigUAAAAA&#10;" stroked="f">
                <v:textbox>
                  <w:txbxContent>
                    <w:p w14:paraId="4B943AC1" w14:textId="77777777" w:rsidR="00BA0378" w:rsidRDefault="00BA0378" w:rsidP="00BA0378">
                      <w:r>
                        <w:rPr>
                          <w:rFonts w:ascii="Calibri" w:hAnsi="Calibri"/>
                          <w:noProof/>
                          <w:sz w:val="20"/>
                          <w:szCs w:val="20"/>
                          <w:lang w:eastAsia="en-GB"/>
                        </w:rPr>
                        <w:drawing>
                          <wp:inline distT="0" distB="0" distL="0" distR="0" wp14:anchorId="44BA3448" wp14:editId="36749868">
                            <wp:extent cx="1981200" cy="733425"/>
                            <wp:effectExtent l="0" t="0" r="0" b="0"/>
                            <wp:docPr id="19" name="Picture 19" title="Equality and Human Rights Commission logo"/>
                            <wp:cNvGraphicFramePr/>
                            <a:graphic xmlns:a="http://schemas.openxmlformats.org/drawingml/2006/main">
                              <a:graphicData uri="http://schemas.openxmlformats.org/drawingml/2006/picture">
                                <pic:pic xmlns:pic="http://schemas.openxmlformats.org/drawingml/2006/picture">
                                  <pic:nvPicPr>
                                    <pic:cNvPr id="1" name="Picture 1" title="Equality and Human Rights Commission logo"/>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729615"/>
                                    </a:xfrm>
                                    <a:prstGeom prst="rect">
                                      <a:avLst/>
                                    </a:prstGeom>
                                    <a:noFill/>
                                    <a:ln>
                                      <a:noFill/>
                                    </a:ln>
                                  </pic:spPr>
                                </pic:pic>
                              </a:graphicData>
                            </a:graphic>
                          </wp:inline>
                        </w:drawing>
                      </w:r>
                    </w:p>
                  </w:txbxContent>
                </v:textbox>
              </v:shape>
            </w:pict>
          </mc:Fallback>
        </mc:AlternateContent>
      </w:r>
      <w:bookmarkEnd w:id="1"/>
      <w:r w:rsidR="00B679E0" w:rsidRPr="00B679E0">
        <w:rPr>
          <w:rFonts w:ascii="Calibri" w:hAnsi="Calibri"/>
          <w:color w:val="auto"/>
          <w:sz w:val="28"/>
          <w:szCs w:val="23"/>
        </w:rPr>
        <w:t xml:space="preserve">The Equality and Human Rights Commission (EHRC), the Equality Commission for Northern Ireland (ECNI), the Northern Ireland Human Rights Commission (NIHRC) and the Scottish Human Rights Commission (SHRC) are designated, by Article 33(2), as the UK Independent Mechanism (UKIM) to promote, protect and monitor the implementation of the UN Convention on the Rights </w:t>
      </w:r>
      <w:r w:rsidR="00676137">
        <w:rPr>
          <w:rFonts w:ascii="Calibri" w:hAnsi="Calibri"/>
          <w:color w:val="auto"/>
          <w:sz w:val="28"/>
          <w:szCs w:val="23"/>
        </w:rPr>
        <w:t>of Persons with Disabilities (</w:t>
      </w:r>
      <w:r w:rsidR="00B679E0" w:rsidRPr="00B679E0">
        <w:rPr>
          <w:rFonts w:ascii="Calibri" w:hAnsi="Calibri"/>
          <w:color w:val="auto"/>
          <w:sz w:val="28"/>
          <w:szCs w:val="23"/>
        </w:rPr>
        <w:t>CRPD) in the UK.</w:t>
      </w:r>
    </w:p>
    <w:p w14:paraId="638C3931" w14:textId="77777777" w:rsidR="00B679E0" w:rsidRDefault="00B679E0" w:rsidP="00BA0378">
      <w:pPr>
        <w:spacing w:after="0" w:line="288" w:lineRule="auto"/>
        <w:rPr>
          <w:rFonts w:ascii="Georgia" w:eastAsia="Times New Roman" w:hAnsi="Georgia"/>
          <w:bCs/>
          <w:color w:val="D40F7D"/>
          <w:sz w:val="72"/>
          <w:szCs w:val="48"/>
          <w:lang w:val="en-US" w:eastAsia="ja-JP"/>
        </w:rPr>
        <w:sectPr w:rsidR="00B679E0">
          <w:footerReference w:type="default" r:id="rId17"/>
          <w:pgSz w:w="11906" w:h="16838"/>
          <w:pgMar w:top="1440" w:right="1080" w:bottom="1440" w:left="1080" w:header="709" w:footer="709" w:gutter="0"/>
          <w:cols w:space="720"/>
        </w:sectPr>
      </w:pPr>
    </w:p>
    <w:p w14:paraId="157B07C3" w14:textId="77777777" w:rsidR="00334AC6" w:rsidRPr="00796039" w:rsidRDefault="00334AC6" w:rsidP="0044514D">
      <w:pPr>
        <w:pStyle w:val="ListParagraph"/>
        <w:numPr>
          <w:ilvl w:val="0"/>
          <w:numId w:val="1"/>
        </w:numPr>
        <w:spacing w:after="160" w:line="312" w:lineRule="auto"/>
        <w:rPr>
          <w:rFonts w:ascii="Arial" w:hAnsi="Arial" w:cs="Arial"/>
          <w:b/>
          <w:sz w:val="28"/>
          <w:szCs w:val="24"/>
        </w:rPr>
      </w:pPr>
      <w:r w:rsidRPr="00796039">
        <w:rPr>
          <w:rFonts w:ascii="Arial" w:hAnsi="Arial" w:cs="Arial"/>
          <w:b/>
          <w:sz w:val="28"/>
          <w:szCs w:val="24"/>
        </w:rPr>
        <w:lastRenderedPageBreak/>
        <w:t>Human rights-based law and policy-making</w:t>
      </w:r>
    </w:p>
    <w:p w14:paraId="2BE59118" w14:textId="77777777" w:rsidR="00334AC6" w:rsidRPr="0030176D" w:rsidRDefault="00334AC6" w:rsidP="0044514D">
      <w:pPr>
        <w:spacing w:after="160" w:line="312" w:lineRule="auto"/>
        <w:rPr>
          <w:rFonts w:ascii="Arial" w:hAnsi="Arial" w:cs="Arial"/>
          <w:b/>
          <w:vanish/>
          <w:sz w:val="24"/>
          <w:szCs w:val="24"/>
          <w:u w:val="single"/>
        </w:rPr>
      </w:pPr>
    </w:p>
    <w:p w14:paraId="20FC039D" w14:textId="324209D6" w:rsidR="00334AC6" w:rsidRPr="00BF22D0" w:rsidRDefault="00334AC6" w:rsidP="0044514D">
      <w:pPr>
        <w:spacing w:after="160" w:line="312" w:lineRule="auto"/>
        <w:rPr>
          <w:rFonts w:ascii="Arial" w:hAnsi="Arial" w:cs="Arial"/>
          <w:sz w:val="24"/>
          <w:szCs w:val="24"/>
        </w:rPr>
      </w:pPr>
      <w:r>
        <w:rPr>
          <w:rFonts w:ascii="Arial" w:hAnsi="Arial" w:cs="Arial"/>
          <w:sz w:val="24"/>
          <w:szCs w:val="24"/>
        </w:rPr>
        <w:t xml:space="preserve">In response to the </w:t>
      </w:r>
      <w:r w:rsidR="00676137">
        <w:rPr>
          <w:rFonts w:ascii="Arial" w:hAnsi="Arial" w:cs="Arial"/>
          <w:sz w:val="24"/>
          <w:szCs w:val="24"/>
        </w:rPr>
        <w:t xml:space="preserve">CRPD </w:t>
      </w:r>
      <w:r>
        <w:rPr>
          <w:rFonts w:ascii="Arial" w:hAnsi="Arial" w:cs="Arial"/>
          <w:sz w:val="24"/>
          <w:szCs w:val="24"/>
        </w:rPr>
        <w:t>Committee’s recommendation</w:t>
      </w:r>
      <w:r w:rsidR="00A06359">
        <w:rPr>
          <w:rFonts w:ascii="Arial" w:hAnsi="Arial" w:cs="Arial"/>
          <w:sz w:val="24"/>
          <w:szCs w:val="24"/>
        </w:rPr>
        <w:t xml:space="preserve"> in its inquiry report</w:t>
      </w:r>
      <w:r w:rsidR="00A06359">
        <w:rPr>
          <w:rStyle w:val="FootnoteReference"/>
          <w:rFonts w:ascii="Arial" w:hAnsi="Arial" w:cs="Arial"/>
          <w:sz w:val="24"/>
          <w:szCs w:val="24"/>
        </w:rPr>
        <w:footnoteReference w:id="1"/>
      </w:r>
      <w:r>
        <w:rPr>
          <w:rFonts w:ascii="Arial" w:hAnsi="Arial" w:cs="Arial"/>
          <w:sz w:val="24"/>
          <w:szCs w:val="24"/>
        </w:rPr>
        <w:t xml:space="preserve"> that the UK Government ensure </w:t>
      </w:r>
      <w:r w:rsidR="00A43150">
        <w:rPr>
          <w:rFonts w:ascii="Arial" w:hAnsi="Arial" w:cs="Arial"/>
          <w:sz w:val="24"/>
          <w:szCs w:val="24"/>
        </w:rPr>
        <w:t>‘</w:t>
      </w:r>
      <w:r>
        <w:rPr>
          <w:rFonts w:ascii="Arial" w:hAnsi="Arial" w:cs="Arial"/>
          <w:sz w:val="24"/>
          <w:szCs w:val="24"/>
        </w:rPr>
        <w:t>any intended measure of the welfare reform is rights-based…and does not disproportionately and/or adversely affect the rights of persons with disabilities</w:t>
      </w:r>
      <w:r w:rsidR="00A43150">
        <w:rPr>
          <w:rFonts w:ascii="Arial" w:hAnsi="Arial" w:cs="Arial"/>
          <w:sz w:val="24"/>
          <w:szCs w:val="24"/>
        </w:rPr>
        <w:t>’</w:t>
      </w:r>
      <w:r>
        <w:rPr>
          <w:rFonts w:ascii="Arial" w:hAnsi="Arial" w:cs="Arial"/>
          <w:sz w:val="24"/>
          <w:szCs w:val="24"/>
        </w:rPr>
        <w:t xml:space="preserve">, the UK Government states that </w:t>
      </w:r>
      <w:r w:rsidR="00A43150">
        <w:rPr>
          <w:rFonts w:ascii="Arial" w:hAnsi="Arial" w:cs="Arial"/>
          <w:sz w:val="24"/>
          <w:szCs w:val="24"/>
        </w:rPr>
        <w:t>‘</w:t>
      </w:r>
      <w:r>
        <w:rPr>
          <w:rFonts w:ascii="Arial" w:hAnsi="Arial" w:cs="Arial"/>
          <w:sz w:val="24"/>
          <w:szCs w:val="24"/>
        </w:rPr>
        <w:t>the Public Sector Equality Duty (PSED) is aligned with a rights-based approach as it sets a legal duty on public authorities to consider the impact of policies on disabled people</w:t>
      </w:r>
      <w:r w:rsidR="00A43150">
        <w:rPr>
          <w:rFonts w:ascii="Arial" w:hAnsi="Arial" w:cs="Arial"/>
          <w:sz w:val="24"/>
          <w:szCs w:val="24"/>
        </w:rPr>
        <w:t>’</w:t>
      </w:r>
      <w:r>
        <w:rPr>
          <w:rFonts w:ascii="Arial" w:hAnsi="Arial" w:cs="Arial"/>
          <w:sz w:val="24"/>
          <w:szCs w:val="24"/>
        </w:rPr>
        <w:t>.</w:t>
      </w:r>
      <w:r w:rsidR="002C2E6A">
        <w:rPr>
          <w:rStyle w:val="FootnoteReference"/>
          <w:rFonts w:ascii="Arial" w:hAnsi="Arial" w:cs="Arial"/>
          <w:sz w:val="24"/>
          <w:szCs w:val="24"/>
        </w:rPr>
        <w:footnoteReference w:id="2"/>
      </w:r>
      <w:r>
        <w:rPr>
          <w:rFonts w:ascii="Arial" w:hAnsi="Arial" w:cs="Arial"/>
          <w:sz w:val="24"/>
          <w:szCs w:val="24"/>
        </w:rPr>
        <w:t xml:space="preserve"> </w:t>
      </w:r>
    </w:p>
    <w:p w14:paraId="7F2352DB" w14:textId="739A5217" w:rsidR="00334AC6" w:rsidRDefault="00334AC6" w:rsidP="0044514D">
      <w:pPr>
        <w:spacing w:after="160" w:line="312" w:lineRule="auto"/>
        <w:rPr>
          <w:rFonts w:ascii="Arial" w:hAnsi="Arial" w:cs="Arial"/>
          <w:sz w:val="24"/>
          <w:szCs w:val="24"/>
        </w:rPr>
      </w:pPr>
      <w:r w:rsidRPr="00BF22D0">
        <w:rPr>
          <w:rFonts w:ascii="Arial" w:hAnsi="Arial" w:cs="Arial"/>
          <w:sz w:val="24"/>
          <w:szCs w:val="24"/>
        </w:rPr>
        <w:t>However, there is currently no explicit statutory requirement</w:t>
      </w:r>
      <w:r w:rsidRPr="00BF22D0">
        <w:rPr>
          <w:rStyle w:val="FootnoteReference"/>
          <w:rFonts w:ascii="Arial" w:hAnsi="Arial" w:cs="Arial"/>
          <w:sz w:val="24"/>
          <w:szCs w:val="24"/>
        </w:rPr>
        <w:footnoteReference w:id="3"/>
      </w:r>
      <w:r w:rsidRPr="00BF22D0">
        <w:rPr>
          <w:rFonts w:ascii="Arial" w:hAnsi="Arial" w:cs="Arial"/>
          <w:sz w:val="24"/>
          <w:szCs w:val="24"/>
        </w:rPr>
        <w:t xml:space="preserve"> </w:t>
      </w:r>
      <w:r>
        <w:rPr>
          <w:rFonts w:ascii="Arial" w:hAnsi="Arial" w:cs="Arial"/>
          <w:sz w:val="24"/>
          <w:szCs w:val="24"/>
        </w:rPr>
        <w:t xml:space="preserve">for Ministers to give ‘due regard’ to the CRPD when developing new policy and </w:t>
      </w:r>
      <w:r w:rsidRPr="00BF22D0">
        <w:rPr>
          <w:rFonts w:ascii="Arial" w:hAnsi="Arial" w:cs="Arial"/>
          <w:sz w:val="24"/>
          <w:szCs w:val="24"/>
        </w:rPr>
        <w:t>law.</w:t>
      </w:r>
      <w:r w:rsidRPr="00BF22D0">
        <w:rPr>
          <w:rStyle w:val="FootnoteReference"/>
          <w:rFonts w:ascii="Arial" w:hAnsi="Arial" w:cs="Arial"/>
          <w:sz w:val="24"/>
          <w:szCs w:val="24"/>
        </w:rPr>
        <w:footnoteReference w:id="4"/>
      </w:r>
      <w:r w:rsidRPr="00BF22D0">
        <w:rPr>
          <w:rFonts w:ascii="Arial" w:hAnsi="Arial" w:cs="Arial"/>
          <w:sz w:val="24"/>
          <w:szCs w:val="24"/>
        </w:rPr>
        <w:t xml:space="preserve"> UKIM</w:t>
      </w:r>
      <w:r>
        <w:rPr>
          <w:rFonts w:ascii="Arial" w:hAnsi="Arial" w:cs="Arial"/>
          <w:sz w:val="24"/>
          <w:szCs w:val="24"/>
        </w:rPr>
        <w:t xml:space="preserve"> does not consider that the UK Government has provided sufficient evidence to demonstrate that it consistently gives due regard to the need to promote the equality of disabled people or their broader human rights, when developing new law and policy. For example, in its most recent submission to </w:t>
      </w:r>
      <w:r w:rsidR="00847062">
        <w:rPr>
          <w:rFonts w:ascii="Arial" w:hAnsi="Arial" w:cs="Arial"/>
          <w:sz w:val="24"/>
          <w:szCs w:val="24"/>
        </w:rPr>
        <w:t>the UN Committee on Economic, Social and Cultural Rights (</w:t>
      </w:r>
      <w:r>
        <w:rPr>
          <w:rFonts w:ascii="Arial" w:hAnsi="Arial" w:cs="Arial"/>
          <w:sz w:val="24"/>
          <w:szCs w:val="24"/>
        </w:rPr>
        <w:t>CESCR</w:t>
      </w:r>
      <w:r w:rsidR="00847062">
        <w:rPr>
          <w:rFonts w:ascii="Arial" w:hAnsi="Arial" w:cs="Arial"/>
          <w:sz w:val="24"/>
          <w:szCs w:val="24"/>
        </w:rPr>
        <w:t>)</w:t>
      </w:r>
      <w:r>
        <w:rPr>
          <w:rFonts w:ascii="Arial" w:hAnsi="Arial" w:cs="Arial"/>
          <w:sz w:val="24"/>
          <w:szCs w:val="24"/>
        </w:rPr>
        <w:t>, the EHRC’s analysis concludes that the UK Government did not adequately consider the impact of measures in the Welfare Reform and Work Act on human rights to social security and adequate standard of living, or the impact on people who share a protected characteristic, including disabled people.</w:t>
      </w:r>
      <w:r>
        <w:rPr>
          <w:rStyle w:val="FootnoteReference"/>
          <w:rFonts w:ascii="Arial" w:hAnsi="Arial" w:cs="Arial"/>
          <w:sz w:val="24"/>
          <w:szCs w:val="24"/>
        </w:rPr>
        <w:footnoteReference w:id="5"/>
      </w:r>
      <w:r>
        <w:rPr>
          <w:rFonts w:ascii="Arial" w:hAnsi="Arial" w:cs="Arial"/>
          <w:sz w:val="24"/>
          <w:szCs w:val="24"/>
        </w:rPr>
        <w:t xml:space="preserve"> CESCR accepted the EHRC’s recommendations, which were also reflected in in a joint letter to the UK Government by the UN Special Rapporteurs on Housing, Disabilities, Poverty and Food in April 2016.</w:t>
      </w:r>
      <w:r w:rsidRPr="004F463D">
        <w:rPr>
          <w:rStyle w:val="FootnoteReference"/>
          <w:rFonts w:ascii="Arial" w:hAnsi="Arial" w:cs="Arial"/>
          <w:sz w:val="24"/>
          <w:szCs w:val="24"/>
        </w:rPr>
        <w:t xml:space="preserve"> </w:t>
      </w:r>
      <w:r>
        <w:rPr>
          <w:rStyle w:val="FootnoteReference"/>
          <w:rFonts w:ascii="Arial" w:hAnsi="Arial" w:cs="Arial"/>
          <w:sz w:val="24"/>
          <w:szCs w:val="24"/>
        </w:rPr>
        <w:footnoteReference w:id="6"/>
      </w:r>
    </w:p>
    <w:p w14:paraId="5C6DB5C3" w14:textId="293C30BD" w:rsidR="0044514D" w:rsidRDefault="00334AC6" w:rsidP="0044514D">
      <w:pPr>
        <w:spacing w:after="160" w:line="312" w:lineRule="auto"/>
        <w:rPr>
          <w:rFonts w:ascii="Arial" w:hAnsi="Arial" w:cs="Arial"/>
          <w:b/>
          <w:sz w:val="24"/>
          <w:szCs w:val="24"/>
        </w:rPr>
      </w:pPr>
      <w:r w:rsidRPr="00137D24">
        <w:rPr>
          <w:rFonts w:ascii="Arial" w:hAnsi="Arial" w:cs="Arial"/>
          <w:b/>
          <w:sz w:val="24"/>
          <w:szCs w:val="24"/>
        </w:rPr>
        <w:lastRenderedPageBreak/>
        <w:t xml:space="preserve">UKIM urges the UK and devolved governments to </w:t>
      </w:r>
      <w:r>
        <w:rPr>
          <w:rFonts w:ascii="Arial" w:hAnsi="Arial" w:cs="Arial"/>
          <w:b/>
          <w:sz w:val="24"/>
          <w:szCs w:val="24"/>
        </w:rPr>
        <w:t>enhance</w:t>
      </w:r>
      <w:r w:rsidRPr="00137D24">
        <w:rPr>
          <w:rFonts w:ascii="Arial" w:hAnsi="Arial" w:cs="Arial"/>
          <w:b/>
          <w:sz w:val="24"/>
          <w:szCs w:val="24"/>
        </w:rPr>
        <w:t xml:space="preserve"> the status of the CRPD in domestic law, including a domestic mechanism for scrutiny of policy and legislation to ensure compliance with the CRPD.</w:t>
      </w:r>
    </w:p>
    <w:p w14:paraId="33D100B6" w14:textId="77777777" w:rsidR="00C73958" w:rsidRDefault="00C73958" w:rsidP="0044514D">
      <w:pPr>
        <w:spacing w:after="160" w:line="312" w:lineRule="auto"/>
        <w:rPr>
          <w:rFonts w:ascii="Arial" w:hAnsi="Arial" w:cs="Arial"/>
          <w:b/>
          <w:sz w:val="24"/>
          <w:szCs w:val="24"/>
        </w:rPr>
      </w:pPr>
    </w:p>
    <w:p w14:paraId="5324B44A" w14:textId="77777777" w:rsidR="00334AC6" w:rsidRPr="00796039" w:rsidRDefault="00334AC6" w:rsidP="0044514D">
      <w:pPr>
        <w:pStyle w:val="ListParagraph"/>
        <w:numPr>
          <w:ilvl w:val="0"/>
          <w:numId w:val="1"/>
        </w:numPr>
        <w:spacing w:after="160" w:line="312" w:lineRule="auto"/>
        <w:rPr>
          <w:rFonts w:ascii="Arial" w:hAnsi="Arial" w:cs="Arial"/>
          <w:b/>
          <w:sz w:val="28"/>
          <w:szCs w:val="24"/>
        </w:rPr>
      </w:pPr>
      <w:r w:rsidRPr="00796039">
        <w:rPr>
          <w:rFonts w:ascii="Arial" w:hAnsi="Arial" w:cs="Arial"/>
          <w:b/>
          <w:sz w:val="28"/>
          <w:szCs w:val="24"/>
        </w:rPr>
        <w:t>Cumulative impact assessment of social security reforms</w:t>
      </w:r>
    </w:p>
    <w:p w14:paraId="422553AC" w14:textId="05268CD8" w:rsidR="00334AC6" w:rsidRDefault="00334AC6" w:rsidP="0044514D">
      <w:pPr>
        <w:spacing w:after="160" w:line="312" w:lineRule="auto"/>
        <w:rPr>
          <w:rFonts w:ascii="Arial" w:hAnsi="Arial" w:cs="Arial"/>
          <w:sz w:val="24"/>
          <w:szCs w:val="24"/>
        </w:rPr>
      </w:pPr>
      <w:r>
        <w:rPr>
          <w:rFonts w:ascii="Arial" w:hAnsi="Arial" w:cs="Arial"/>
          <w:sz w:val="24"/>
          <w:szCs w:val="24"/>
        </w:rPr>
        <w:t>The inquiry found that disabled people have been disproportionately affected by social security reforms, and that the im</w:t>
      </w:r>
      <w:r w:rsidR="009E4367">
        <w:rPr>
          <w:rFonts w:ascii="Arial" w:hAnsi="Arial" w:cs="Arial"/>
          <w:sz w:val="24"/>
          <w:szCs w:val="24"/>
        </w:rPr>
        <w:t>pact of the reduction of social security</w:t>
      </w:r>
      <w:r>
        <w:rPr>
          <w:rFonts w:ascii="Arial" w:hAnsi="Arial" w:cs="Arial"/>
          <w:sz w:val="24"/>
          <w:szCs w:val="24"/>
        </w:rPr>
        <w:t xml:space="preserve"> benefits has resulted in a struggle for many disabled people to maintain an adequate standard of living. The inquiry report therefore recommends that the UK conducts a human rights-based cumulative impact assessment of the social security reforms since 2010.</w:t>
      </w:r>
      <w:r w:rsidR="00292716">
        <w:rPr>
          <w:rStyle w:val="FootnoteReference"/>
          <w:rFonts w:ascii="Arial" w:hAnsi="Arial" w:cs="Arial"/>
          <w:sz w:val="24"/>
          <w:szCs w:val="24"/>
        </w:rPr>
        <w:footnoteReference w:id="7"/>
      </w:r>
    </w:p>
    <w:p w14:paraId="2D07D0B1" w14:textId="5E4F7076" w:rsidR="00334AC6" w:rsidRDefault="00334AC6" w:rsidP="0044514D">
      <w:pPr>
        <w:spacing w:after="160" w:line="312" w:lineRule="auto"/>
        <w:rPr>
          <w:rFonts w:ascii="Arial" w:hAnsi="Arial" w:cs="Arial"/>
          <w:sz w:val="24"/>
          <w:szCs w:val="24"/>
        </w:rPr>
      </w:pPr>
      <w:r>
        <w:rPr>
          <w:rFonts w:ascii="Arial" w:hAnsi="Arial" w:cs="Arial"/>
          <w:sz w:val="24"/>
          <w:szCs w:val="24"/>
        </w:rPr>
        <w:t xml:space="preserve">In its response, </w:t>
      </w:r>
      <w:r w:rsidR="009E4367">
        <w:rPr>
          <w:rFonts w:ascii="Arial" w:hAnsi="Arial" w:cs="Arial"/>
          <w:sz w:val="24"/>
          <w:szCs w:val="24"/>
        </w:rPr>
        <w:t>the UK Government states that: ‘</w:t>
      </w:r>
      <w:r>
        <w:rPr>
          <w:rFonts w:ascii="Arial" w:hAnsi="Arial" w:cs="Arial"/>
          <w:sz w:val="24"/>
          <w:szCs w:val="24"/>
        </w:rPr>
        <w:t xml:space="preserve">Since 2010 the UK Government has published cumulative analysis of the impacts of its tax, welfare and public </w:t>
      </w:r>
      <w:r w:rsidR="009E4367">
        <w:rPr>
          <w:rFonts w:ascii="Arial" w:hAnsi="Arial" w:cs="Arial"/>
          <w:sz w:val="24"/>
          <w:szCs w:val="24"/>
        </w:rPr>
        <w:t>spending policies on households’ while noting that this ‘</w:t>
      </w:r>
      <w:r>
        <w:rPr>
          <w:rFonts w:ascii="Arial" w:hAnsi="Arial" w:cs="Arial"/>
          <w:sz w:val="24"/>
          <w:szCs w:val="24"/>
        </w:rPr>
        <w:t>analysis is not broken down into sub-groups such as disabled people due to si</w:t>
      </w:r>
      <w:r w:rsidR="009E4367">
        <w:rPr>
          <w:rFonts w:ascii="Arial" w:hAnsi="Arial" w:cs="Arial"/>
          <w:sz w:val="24"/>
          <w:szCs w:val="24"/>
        </w:rPr>
        <w:t>gnificant modelling limitations’</w:t>
      </w:r>
      <w:r>
        <w:rPr>
          <w:rFonts w:ascii="Arial" w:hAnsi="Arial" w:cs="Arial"/>
          <w:sz w:val="24"/>
          <w:szCs w:val="24"/>
        </w:rPr>
        <w:t>.</w:t>
      </w:r>
      <w:r w:rsidR="00292716">
        <w:rPr>
          <w:rStyle w:val="FootnoteReference"/>
          <w:rFonts w:ascii="Arial" w:hAnsi="Arial" w:cs="Arial"/>
          <w:sz w:val="24"/>
          <w:szCs w:val="24"/>
        </w:rPr>
        <w:footnoteReference w:id="8"/>
      </w:r>
    </w:p>
    <w:p w14:paraId="1FDDDCA9" w14:textId="77777777" w:rsidR="00334AC6" w:rsidRDefault="00334AC6" w:rsidP="0044514D">
      <w:pPr>
        <w:spacing w:after="160" w:line="312" w:lineRule="auto"/>
        <w:rPr>
          <w:rFonts w:ascii="Arial" w:hAnsi="Arial" w:cs="Arial"/>
          <w:sz w:val="24"/>
          <w:szCs w:val="24"/>
        </w:rPr>
      </w:pPr>
      <w:r>
        <w:rPr>
          <w:rFonts w:ascii="Arial" w:hAnsi="Arial" w:cs="Arial"/>
          <w:sz w:val="24"/>
          <w:szCs w:val="24"/>
        </w:rPr>
        <w:t>UKIM reiterates the view, expressed in its evidence to the inquiry team, that such cumulative impact assessments are both feasible and practicable, as a study commissioned by the EHRC has shown.</w:t>
      </w:r>
      <w:r>
        <w:rPr>
          <w:rStyle w:val="FootnoteReference"/>
          <w:rFonts w:ascii="Arial" w:hAnsi="Arial" w:cs="Arial"/>
          <w:sz w:val="24"/>
          <w:szCs w:val="24"/>
        </w:rPr>
        <w:footnoteReference w:id="9"/>
      </w:r>
      <w:r>
        <w:rPr>
          <w:rFonts w:ascii="Arial" w:hAnsi="Arial" w:cs="Arial"/>
          <w:sz w:val="24"/>
          <w:szCs w:val="24"/>
        </w:rPr>
        <w:t xml:space="preserve"> Cumulative impact assessments would build on the UK Government and devolved administrations’ statutory equality duties,</w:t>
      </w:r>
      <w:r>
        <w:rPr>
          <w:rStyle w:val="FootnoteReference"/>
          <w:rFonts w:ascii="Arial" w:hAnsi="Arial" w:cs="Arial"/>
          <w:sz w:val="24"/>
          <w:szCs w:val="24"/>
        </w:rPr>
        <w:footnoteReference w:id="10"/>
      </w:r>
      <w:r>
        <w:rPr>
          <w:rFonts w:ascii="Arial" w:hAnsi="Arial" w:cs="Arial"/>
          <w:sz w:val="24"/>
          <w:szCs w:val="24"/>
        </w:rPr>
        <w:t xml:space="preserve"> which provide a clear impetus for comprehensive data collection and ongoing monitoring of the impact of public policies on all groups protected by equality legislation, with appropriate mitigation where those impacts are disproportionate. </w:t>
      </w:r>
    </w:p>
    <w:p w14:paraId="1D670861" w14:textId="0E55DD63" w:rsidR="00334AC6" w:rsidRDefault="00334AC6" w:rsidP="0044514D">
      <w:pPr>
        <w:spacing w:after="160" w:line="312" w:lineRule="auto"/>
        <w:rPr>
          <w:rFonts w:ascii="Arial" w:hAnsi="Arial" w:cs="Arial"/>
          <w:sz w:val="24"/>
          <w:szCs w:val="24"/>
        </w:rPr>
      </w:pPr>
      <w:r>
        <w:rPr>
          <w:rFonts w:ascii="Arial" w:hAnsi="Arial" w:cs="Arial"/>
          <w:sz w:val="24"/>
          <w:szCs w:val="24"/>
        </w:rPr>
        <w:t>The importance of assessing the cumulative impact of tax and spending decisions on disabled people has also been underlined by the UK Parliament’s Social Security Advisory Committee.</w:t>
      </w:r>
      <w:r>
        <w:rPr>
          <w:rStyle w:val="FootnoteReference"/>
          <w:rFonts w:ascii="Arial" w:hAnsi="Arial" w:cs="Arial"/>
          <w:sz w:val="24"/>
          <w:szCs w:val="24"/>
        </w:rPr>
        <w:footnoteReference w:id="11"/>
      </w:r>
      <w:r>
        <w:rPr>
          <w:rFonts w:ascii="Arial" w:hAnsi="Arial" w:cs="Arial"/>
          <w:sz w:val="24"/>
          <w:szCs w:val="24"/>
        </w:rPr>
        <w:t xml:space="preserve"> In addition, following its examination of the UK earlier thi</w:t>
      </w:r>
      <w:r w:rsidR="003E7A0A">
        <w:rPr>
          <w:rFonts w:ascii="Arial" w:hAnsi="Arial" w:cs="Arial"/>
          <w:sz w:val="24"/>
          <w:szCs w:val="24"/>
        </w:rPr>
        <w:t xml:space="preserve">s </w:t>
      </w:r>
      <w:r w:rsidR="003E7A0A">
        <w:rPr>
          <w:rFonts w:ascii="Arial" w:hAnsi="Arial" w:cs="Arial"/>
          <w:sz w:val="24"/>
          <w:szCs w:val="24"/>
        </w:rPr>
        <w:lastRenderedPageBreak/>
        <w:t>year, the CESCR</w:t>
      </w:r>
      <w:r>
        <w:rPr>
          <w:rFonts w:ascii="Arial" w:hAnsi="Arial" w:cs="Arial"/>
          <w:sz w:val="24"/>
          <w:szCs w:val="24"/>
        </w:rPr>
        <w:t xml:space="preserve"> raised serious concerns about the disproportionate, adverse impact of austerity measures on the rights of disadvantaged and marginalized individuals and</w:t>
      </w:r>
      <w:r w:rsidR="009E4367">
        <w:rPr>
          <w:rFonts w:ascii="Arial" w:hAnsi="Arial" w:cs="Arial"/>
          <w:sz w:val="24"/>
          <w:szCs w:val="24"/>
        </w:rPr>
        <w:t xml:space="preserve"> groups. CESCR also noted that ‘</w:t>
      </w:r>
      <w:r>
        <w:rPr>
          <w:rFonts w:ascii="Arial" w:hAnsi="Arial" w:cs="Arial"/>
          <w:sz w:val="24"/>
          <w:szCs w:val="24"/>
        </w:rPr>
        <w:t>the State party has not undertaken a comprehensive assessment of the cumulative impact of such measures…in a way that is recognised by civil society and national independent monitoring mechanisms</w:t>
      </w:r>
      <w:r w:rsidR="009E4367">
        <w:rPr>
          <w:rFonts w:ascii="Arial" w:hAnsi="Arial" w:cs="Arial"/>
          <w:sz w:val="24"/>
          <w:szCs w:val="24"/>
        </w:rPr>
        <w:t>’</w:t>
      </w:r>
      <w:r w:rsidR="006C6F59">
        <w:rPr>
          <w:rFonts w:ascii="Arial" w:hAnsi="Arial" w:cs="Arial"/>
          <w:sz w:val="24"/>
          <w:szCs w:val="24"/>
        </w:rPr>
        <w:t>, and</w:t>
      </w:r>
      <w:r w:rsidR="009E4367">
        <w:rPr>
          <w:rFonts w:ascii="Arial" w:hAnsi="Arial" w:cs="Arial"/>
          <w:sz w:val="24"/>
          <w:szCs w:val="24"/>
        </w:rPr>
        <w:t xml:space="preserve"> urged the UK to ‘</w:t>
      </w:r>
      <w:r>
        <w:rPr>
          <w:rFonts w:ascii="Arial" w:hAnsi="Arial" w:cs="Arial"/>
          <w:sz w:val="24"/>
          <w:szCs w:val="24"/>
        </w:rPr>
        <w:t>conduct a comprehensive asse</w:t>
      </w:r>
      <w:r w:rsidR="009E4367">
        <w:rPr>
          <w:rFonts w:ascii="Arial" w:hAnsi="Arial" w:cs="Arial"/>
          <w:sz w:val="24"/>
          <w:szCs w:val="24"/>
        </w:rPr>
        <w:t>ssment of the cumulative impact’</w:t>
      </w:r>
      <w:r>
        <w:rPr>
          <w:rFonts w:ascii="Arial" w:hAnsi="Arial" w:cs="Arial"/>
          <w:sz w:val="24"/>
          <w:szCs w:val="24"/>
        </w:rPr>
        <w:t xml:space="preserve"> of changes, including the impact on disabled people.</w:t>
      </w:r>
      <w:r w:rsidR="006C6F59">
        <w:rPr>
          <w:rFonts w:ascii="Arial" w:hAnsi="Arial" w:cs="Arial"/>
          <w:sz w:val="24"/>
          <w:szCs w:val="24"/>
        </w:rPr>
        <w:t>’</w:t>
      </w:r>
      <w:r w:rsidR="006C6F59" w:rsidRPr="006C6F59">
        <w:rPr>
          <w:rStyle w:val="FootnoteReference"/>
          <w:rFonts w:ascii="Arial" w:hAnsi="Arial" w:cs="Arial"/>
          <w:sz w:val="24"/>
          <w:szCs w:val="24"/>
        </w:rPr>
        <w:t xml:space="preserve"> </w:t>
      </w:r>
      <w:r w:rsidR="006C6F59">
        <w:rPr>
          <w:rStyle w:val="FootnoteReference"/>
          <w:rFonts w:ascii="Arial" w:hAnsi="Arial" w:cs="Arial"/>
          <w:sz w:val="24"/>
          <w:szCs w:val="24"/>
        </w:rPr>
        <w:footnoteReference w:id="12"/>
      </w:r>
    </w:p>
    <w:p w14:paraId="14B92192" w14:textId="7DFF24D0" w:rsidR="00334AC6" w:rsidRDefault="00334AC6" w:rsidP="0044514D">
      <w:pPr>
        <w:spacing w:after="160" w:line="312" w:lineRule="auto"/>
        <w:rPr>
          <w:rFonts w:ascii="Arial" w:hAnsi="Arial" w:cs="Arial"/>
          <w:b/>
          <w:sz w:val="24"/>
          <w:szCs w:val="24"/>
        </w:rPr>
      </w:pPr>
      <w:r>
        <w:rPr>
          <w:rFonts w:ascii="Arial" w:hAnsi="Arial" w:cs="Arial"/>
          <w:b/>
          <w:sz w:val="24"/>
          <w:szCs w:val="24"/>
        </w:rPr>
        <w:t>UKIM therefore call</w:t>
      </w:r>
      <w:r w:rsidR="00E246EB">
        <w:rPr>
          <w:rFonts w:ascii="Arial" w:hAnsi="Arial" w:cs="Arial"/>
          <w:b/>
          <w:sz w:val="24"/>
          <w:szCs w:val="24"/>
        </w:rPr>
        <w:t>s</w:t>
      </w:r>
      <w:r>
        <w:rPr>
          <w:rFonts w:ascii="Arial" w:hAnsi="Arial" w:cs="Arial"/>
          <w:b/>
          <w:sz w:val="24"/>
          <w:szCs w:val="24"/>
        </w:rPr>
        <w:t xml:space="preserve"> upon the UK Government to urgently carry out a cumulative </w:t>
      </w:r>
      <w:r w:rsidR="009E4367">
        <w:rPr>
          <w:rFonts w:ascii="Arial" w:hAnsi="Arial" w:cs="Arial"/>
          <w:b/>
          <w:sz w:val="24"/>
          <w:szCs w:val="24"/>
        </w:rPr>
        <w:t>impact assessment of all social security</w:t>
      </w:r>
      <w:r>
        <w:rPr>
          <w:rFonts w:ascii="Arial" w:hAnsi="Arial" w:cs="Arial"/>
          <w:b/>
          <w:sz w:val="24"/>
          <w:szCs w:val="24"/>
        </w:rPr>
        <w:t xml:space="preserve"> reform</w:t>
      </w:r>
      <w:r w:rsidR="00E246EB">
        <w:rPr>
          <w:rFonts w:ascii="Arial" w:hAnsi="Arial" w:cs="Arial"/>
          <w:b/>
          <w:sz w:val="24"/>
          <w:szCs w:val="24"/>
        </w:rPr>
        <w:t>s since 2010, in relation to the</w:t>
      </w:r>
      <w:r>
        <w:rPr>
          <w:rFonts w:ascii="Arial" w:hAnsi="Arial" w:cs="Arial"/>
          <w:b/>
          <w:sz w:val="24"/>
          <w:szCs w:val="24"/>
        </w:rPr>
        <w:t xml:space="preserve"> effect upon disabled people</w:t>
      </w:r>
      <w:r w:rsidR="00F52A4F">
        <w:rPr>
          <w:rFonts w:ascii="Arial" w:hAnsi="Arial" w:cs="Arial"/>
          <w:b/>
          <w:sz w:val="24"/>
          <w:szCs w:val="24"/>
        </w:rPr>
        <w:t>.</w:t>
      </w:r>
    </w:p>
    <w:p w14:paraId="32B70F41" w14:textId="77777777" w:rsidR="00C73958" w:rsidRDefault="00C73958" w:rsidP="0044514D">
      <w:pPr>
        <w:spacing w:after="160" w:line="312" w:lineRule="auto"/>
        <w:rPr>
          <w:rFonts w:ascii="Arial" w:hAnsi="Arial" w:cs="Arial"/>
          <w:b/>
          <w:sz w:val="24"/>
          <w:szCs w:val="24"/>
        </w:rPr>
      </w:pPr>
    </w:p>
    <w:p w14:paraId="1D499796" w14:textId="77777777" w:rsidR="00334AC6" w:rsidRPr="00796039" w:rsidRDefault="00334AC6" w:rsidP="0044514D">
      <w:pPr>
        <w:pStyle w:val="ListParagraph"/>
        <w:numPr>
          <w:ilvl w:val="0"/>
          <w:numId w:val="1"/>
        </w:numPr>
        <w:spacing w:after="160" w:line="312" w:lineRule="auto"/>
        <w:rPr>
          <w:rFonts w:ascii="Arial" w:hAnsi="Arial" w:cs="Arial"/>
          <w:b/>
          <w:sz w:val="28"/>
          <w:szCs w:val="24"/>
        </w:rPr>
      </w:pPr>
      <w:r w:rsidRPr="00796039">
        <w:rPr>
          <w:rFonts w:ascii="Arial" w:hAnsi="Arial" w:cs="Arial"/>
          <w:b/>
          <w:sz w:val="28"/>
          <w:szCs w:val="24"/>
        </w:rPr>
        <w:t>Non-retrogression and protecting core elements of rights</w:t>
      </w:r>
    </w:p>
    <w:p w14:paraId="2B491C27" w14:textId="2EB0C702" w:rsidR="00334AC6" w:rsidRDefault="00334AC6" w:rsidP="0044514D">
      <w:pPr>
        <w:spacing w:after="160" w:line="312" w:lineRule="auto"/>
        <w:rPr>
          <w:rFonts w:ascii="Arial" w:hAnsi="Arial" w:cs="Arial"/>
          <w:sz w:val="24"/>
          <w:szCs w:val="24"/>
        </w:rPr>
      </w:pPr>
      <w:r w:rsidRPr="00C17390">
        <w:rPr>
          <w:rFonts w:ascii="Arial" w:hAnsi="Arial" w:cs="Arial"/>
          <w:sz w:val="24"/>
          <w:szCs w:val="24"/>
        </w:rPr>
        <w:t>The inquiry recommends that the UK Govern</w:t>
      </w:r>
      <w:r w:rsidR="009E4367">
        <w:rPr>
          <w:rFonts w:ascii="Arial" w:hAnsi="Arial" w:cs="Arial"/>
          <w:sz w:val="24"/>
          <w:szCs w:val="24"/>
        </w:rPr>
        <w:t>ment makes sure that ‘</w:t>
      </w:r>
      <w:r w:rsidRPr="00C17390">
        <w:rPr>
          <w:rFonts w:ascii="Arial" w:hAnsi="Arial" w:cs="Arial"/>
          <w:sz w:val="24"/>
          <w:szCs w:val="24"/>
        </w:rPr>
        <w:t>any intended legislation and/or policy measure respects the core elements of the rights</w:t>
      </w:r>
      <w:r w:rsidR="009E4367">
        <w:rPr>
          <w:rFonts w:ascii="Arial" w:hAnsi="Arial" w:cs="Arial"/>
          <w:sz w:val="24"/>
          <w:szCs w:val="24"/>
        </w:rPr>
        <w:t xml:space="preserve"> analysed in the present report’</w:t>
      </w:r>
      <w:r w:rsidRPr="00C17390">
        <w:rPr>
          <w:rFonts w:ascii="Arial" w:hAnsi="Arial" w:cs="Arial"/>
          <w:sz w:val="24"/>
          <w:szCs w:val="24"/>
        </w:rPr>
        <w:t>.</w:t>
      </w:r>
      <w:r w:rsidR="00BF7012">
        <w:rPr>
          <w:rStyle w:val="FootnoteReference"/>
          <w:rFonts w:ascii="Arial" w:hAnsi="Arial" w:cs="Arial"/>
          <w:sz w:val="24"/>
          <w:szCs w:val="24"/>
        </w:rPr>
        <w:footnoteReference w:id="13"/>
      </w:r>
    </w:p>
    <w:p w14:paraId="2EC9C2A9" w14:textId="6B241118" w:rsidR="00334AC6" w:rsidRDefault="00334AC6" w:rsidP="0044514D">
      <w:pPr>
        <w:spacing w:after="160" w:line="312" w:lineRule="auto"/>
        <w:rPr>
          <w:rFonts w:ascii="Arial" w:hAnsi="Arial" w:cs="Arial"/>
          <w:sz w:val="24"/>
          <w:szCs w:val="24"/>
        </w:rPr>
      </w:pPr>
      <w:r>
        <w:rPr>
          <w:rFonts w:ascii="Arial" w:hAnsi="Arial" w:cs="Arial"/>
          <w:sz w:val="24"/>
          <w:szCs w:val="24"/>
        </w:rPr>
        <w:t>While the UK Governm</w:t>
      </w:r>
      <w:r w:rsidR="009E4367">
        <w:rPr>
          <w:rFonts w:ascii="Arial" w:hAnsi="Arial" w:cs="Arial"/>
          <w:sz w:val="24"/>
          <w:szCs w:val="24"/>
        </w:rPr>
        <w:t>ent’s response states that its ‘</w:t>
      </w:r>
      <w:r>
        <w:rPr>
          <w:rFonts w:ascii="Arial" w:hAnsi="Arial" w:cs="Arial"/>
          <w:sz w:val="24"/>
          <w:szCs w:val="24"/>
        </w:rPr>
        <w:t>legislation and policies supp</w:t>
      </w:r>
      <w:r w:rsidR="009E4367">
        <w:rPr>
          <w:rFonts w:ascii="Arial" w:hAnsi="Arial" w:cs="Arial"/>
          <w:sz w:val="24"/>
          <w:szCs w:val="24"/>
        </w:rPr>
        <w:t>ort the core elements of rights’</w:t>
      </w:r>
      <w:r>
        <w:rPr>
          <w:rFonts w:ascii="Arial" w:hAnsi="Arial" w:cs="Arial"/>
          <w:sz w:val="24"/>
          <w:szCs w:val="24"/>
        </w:rPr>
        <w:t>,</w:t>
      </w:r>
      <w:r w:rsidR="00BF7012">
        <w:rPr>
          <w:rStyle w:val="FootnoteReference"/>
          <w:rFonts w:ascii="Arial" w:hAnsi="Arial" w:cs="Arial"/>
          <w:sz w:val="24"/>
          <w:szCs w:val="24"/>
        </w:rPr>
        <w:footnoteReference w:id="14"/>
      </w:r>
      <w:r>
        <w:rPr>
          <w:rFonts w:ascii="Arial" w:hAnsi="Arial" w:cs="Arial"/>
          <w:sz w:val="24"/>
          <w:szCs w:val="24"/>
        </w:rPr>
        <w:t xml:space="preserve"> UKIM considers that it is not possible to ascertain this in the absence of a human rights-based cumulative impact assessment. In addition, the UK Government has not justified the retrogressive measures in its reforms since 2010 with reference to the criteria established by the UN CESCR.</w:t>
      </w:r>
      <w:r>
        <w:rPr>
          <w:rStyle w:val="FootnoteReference"/>
          <w:rFonts w:ascii="Arial" w:hAnsi="Arial" w:cs="Arial"/>
          <w:sz w:val="24"/>
          <w:szCs w:val="24"/>
        </w:rPr>
        <w:footnoteReference w:id="15"/>
      </w:r>
      <w:r>
        <w:rPr>
          <w:rFonts w:ascii="Arial" w:hAnsi="Arial" w:cs="Arial"/>
          <w:sz w:val="24"/>
          <w:szCs w:val="24"/>
        </w:rPr>
        <w:t xml:space="preserve"> Namely, measures that could reduce the enjoyment of socio-economic rights should be temporary; necessary and proportionate; non-discriminatory; not disproportionately affect the rights of disadvantaged individuals and groups</w:t>
      </w:r>
      <w:r w:rsidR="00A43150">
        <w:rPr>
          <w:rFonts w:ascii="Arial" w:hAnsi="Arial" w:cs="Arial"/>
          <w:sz w:val="24"/>
          <w:szCs w:val="24"/>
        </w:rPr>
        <w:t>;</w:t>
      </w:r>
      <w:r>
        <w:rPr>
          <w:rFonts w:ascii="Arial" w:hAnsi="Arial" w:cs="Arial"/>
          <w:sz w:val="24"/>
          <w:szCs w:val="24"/>
        </w:rPr>
        <w:t xml:space="preserve"> and ensure a minimum core level of human rights protection.</w:t>
      </w:r>
      <w:r w:rsidRPr="005E4F78">
        <w:rPr>
          <w:rFonts w:ascii="Arial" w:hAnsi="Arial" w:cs="Arial"/>
          <w:sz w:val="24"/>
          <w:szCs w:val="24"/>
        </w:rPr>
        <w:t xml:space="preserve"> </w:t>
      </w:r>
      <w:r>
        <w:rPr>
          <w:rFonts w:ascii="Arial" w:hAnsi="Arial" w:cs="Arial"/>
          <w:sz w:val="24"/>
          <w:szCs w:val="24"/>
        </w:rPr>
        <w:t>As set out in a recent joint letter from the UN Special Rapporteurs on poverty, housing, disability and food,</w:t>
      </w:r>
      <w:r>
        <w:rPr>
          <w:rStyle w:val="FootnoteReference"/>
          <w:rFonts w:ascii="Arial" w:hAnsi="Arial" w:cs="Arial"/>
          <w:sz w:val="24"/>
          <w:szCs w:val="24"/>
        </w:rPr>
        <w:footnoteReference w:id="16"/>
      </w:r>
      <w:r>
        <w:rPr>
          <w:rFonts w:ascii="Arial" w:hAnsi="Arial" w:cs="Arial"/>
          <w:sz w:val="24"/>
          <w:szCs w:val="24"/>
        </w:rPr>
        <w:t xml:space="preserve"> it is not clear whether the UK Government has satisfied these criteria in its social security reforms.</w:t>
      </w:r>
    </w:p>
    <w:p w14:paraId="0D3D939B" w14:textId="77777777" w:rsidR="00983D74" w:rsidRDefault="00481099" w:rsidP="00983D74">
      <w:pPr>
        <w:spacing w:after="160" w:line="312" w:lineRule="auto"/>
        <w:rPr>
          <w:rFonts w:ascii="Arial" w:hAnsi="Arial" w:cs="Arial"/>
          <w:b/>
          <w:sz w:val="24"/>
          <w:szCs w:val="24"/>
        </w:rPr>
      </w:pPr>
      <w:r>
        <w:rPr>
          <w:rFonts w:ascii="Arial" w:hAnsi="Arial" w:cs="Arial"/>
          <w:b/>
          <w:sz w:val="24"/>
          <w:szCs w:val="24"/>
        </w:rPr>
        <w:t>When</w:t>
      </w:r>
      <w:r w:rsidRPr="00A826E5">
        <w:rPr>
          <w:rFonts w:ascii="Arial" w:hAnsi="Arial" w:cs="Arial"/>
          <w:b/>
          <w:sz w:val="24"/>
          <w:szCs w:val="24"/>
        </w:rPr>
        <w:t xml:space="preserve"> </w:t>
      </w:r>
      <w:r w:rsidR="00983D74">
        <w:rPr>
          <w:rFonts w:ascii="Arial" w:hAnsi="Arial" w:cs="Arial"/>
          <w:b/>
          <w:sz w:val="24"/>
          <w:szCs w:val="24"/>
        </w:rPr>
        <w:t xml:space="preserve">existing </w:t>
      </w:r>
      <w:r w:rsidRPr="00A826E5">
        <w:rPr>
          <w:rFonts w:ascii="Arial" w:hAnsi="Arial" w:cs="Arial"/>
          <w:b/>
          <w:sz w:val="24"/>
          <w:szCs w:val="24"/>
        </w:rPr>
        <w:t>measures have reduced</w:t>
      </w:r>
      <w:r w:rsidR="00983D74">
        <w:rPr>
          <w:rFonts w:ascii="Arial" w:hAnsi="Arial" w:cs="Arial"/>
          <w:b/>
          <w:sz w:val="24"/>
          <w:szCs w:val="24"/>
        </w:rPr>
        <w:t xml:space="preserve"> rights</w:t>
      </w:r>
      <w:r>
        <w:rPr>
          <w:rFonts w:ascii="Arial" w:hAnsi="Arial" w:cs="Arial"/>
          <w:b/>
          <w:sz w:val="24"/>
          <w:szCs w:val="24"/>
        </w:rPr>
        <w:t xml:space="preserve"> protections</w:t>
      </w:r>
      <w:r w:rsidR="00983D74">
        <w:rPr>
          <w:rFonts w:ascii="Arial" w:hAnsi="Arial" w:cs="Arial"/>
          <w:b/>
          <w:sz w:val="24"/>
          <w:szCs w:val="24"/>
        </w:rPr>
        <w:t xml:space="preserve"> for disabled people</w:t>
      </w:r>
      <w:r>
        <w:rPr>
          <w:rFonts w:ascii="Arial" w:hAnsi="Arial" w:cs="Arial"/>
          <w:b/>
          <w:sz w:val="24"/>
          <w:szCs w:val="24"/>
        </w:rPr>
        <w:t xml:space="preserve">, UKIM calls upon the UK Government and Northern Ireland Executive to </w:t>
      </w:r>
      <w:r>
        <w:rPr>
          <w:rFonts w:ascii="Arial" w:hAnsi="Arial" w:cs="Arial"/>
          <w:b/>
          <w:sz w:val="24"/>
          <w:szCs w:val="24"/>
        </w:rPr>
        <w:lastRenderedPageBreak/>
        <w:t>address the CESCR</w:t>
      </w:r>
      <w:r w:rsidR="00390395">
        <w:rPr>
          <w:rFonts w:ascii="Arial" w:hAnsi="Arial" w:cs="Arial"/>
          <w:b/>
          <w:sz w:val="24"/>
          <w:szCs w:val="24"/>
        </w:rPr>
        <w:t xml:space="preserve"> criteria for non-retrogression, </w:t>
      </w:r>
      <w:r w:rsidR="002C1C21">
        <w:rPr>
          <w:rFonts w:ascii="Arial" w:hAnsi="Arial" w:cs="Arial"/>
          <w:b/>
          <w:sz w:val="24"/>
          <w:szCs w:val="24"/>
        </w:rPr>
        <w:t>putting in place any mitigating measures required.</w:t>
      </w:r>
    </w:p>
    <w:p w14:paraId="0E545C5B" w14:textId="37472C92" w:rsidR="00481099" w:rsidRDefault="00390395" w:rsidP="0044514D">
      <w:pPr>
        <w:spacing w:after="160" w:line="312" w:lineRule="auto"/>
        <w:rPr>
          <w:rFonts w:ascii="Arial" w:hAnsi="Arial" w:cs="Arial"/>
          <w:b/>
          <w:sz w:val="24"/>
          <w:szCs w:val="24"/>
        </w:rPr>
      </w:pPr>
      <w:r>
        <w:rPr>
          <w:rFonts w:ascii="Arial" w:hAnsi="Arial" w:cs="Arial"/>
          <w:b/>
          <w:sz w:val="24"/>
          <w:szCs w:val="24"/>
        </w:rPr>
        <w:t>If</w:t>
      </w:r>
      <w:r w:rsidR="005F2443">
        <w:rPr>
          <w:rFonts w:ascii="Arial" w:hAnsi="Arial" w:cs="Arial"/>
          <w:b/>
          <w:sz w:val="24"/>
          <w:szCs w:val="24"/>
        </w:rPr>
        <w:t xml:space="preserve"> future</w:t>
      </w:r>
      <w:r>
        <w:rPr>
          <w:rFonts w:ascii="Arial" w:hAnsi="Arial" w:cs="Arial"/>
          <w:b/>
          <w:sz w:val="24"/>
          <w:szCs w:val="24"/>
        </w:rPr>
        <w:t xml:space="preserve"> </w:t>
      </w:r>
      <w:r w:rsidR="00A00CF1">
        <w:rPr>
          <w:rFonts w:ascii="Arial" w:hAnsi="Arial" w:cs="Arial"/>
          <w:b/>
          <w:sz w:val="24"/>
          <w:szCs w:val="24"/>
        </w:rPr>
        <w:t xml:space="preserve">impact assessments </w:t>
      </w:r>
      <w:r w:rsidR="005F2443">
        <w:rPr>
          <w:rFonts w:ascii="Arial" w:hAnsi="Arial" w:cs="Arial"/>
          <w:b/>
          <w:sz w:val="24"/>
          <w:szCs w:val="24"/>
        </w:rPr>
        <w:t>or monitoring exercises</w:t>
      </w:r>
      <w:r w:rsidR="00A00CF1">
        <w:rPr>
          <w:rFonts w:ascii="Arial" w:hAnsi="Arial" w:cs="Arial"/>
          <w:b/>
          <w:sz w:val="24"/>
          <w:szCs w:val="24"/>
        </w:rPr>
        <w:t xml:space="preserve"> </w:t>
      </w:r>
      <w:r w:rsidR="005F2443">
        <w:rPr>
          <w:rFonts w:ascii="Arial" w:hAnsi="Arial" w:cs="Arial"/>
          <w:b/>
          <w:sz w:val="24"/>
          <w:szCs w:val="24"/>
        </w:rPr>
        <w:t>project a</w:t>
      </w:r>
      <w:r w:rsidR="00983D74">
        <w:rPr>
          <w:rFonts w:ascii="Arial" w:hAnsi="Arial" w:cs="Arial"/>
          <w:b/>
          <w:sz w:val="24"/>
          <w:szCs w:val="24"/>
        </w:rPr>
        <w:t xml:space="preserve"> disproportionate impact</w:t>
      </w:r>
      <w:r w:rsidR="00A00CF1">
        <w:rPr>
          <w:rFonts w:ascii="Arial" w:hAnsi="Arial" w:cs="Arial"/>
          <w:b/>
          <w:sz w:val="24"/>
          <w:szCs w:val="24"/>
        </w:rPr>
        <w:t xml:space="preserve"> </w:t>
      </w:r>
      <w:r w:rsidR="00983D74">
        <w:rPr>
          <w:rFonts w:ascii="Arial" w:hAnsi="Arial" w:cs="Arial"/>
          <w:b/>
          <w:sz w:val="24"/>
          <w:szCs w:val="24"/>
        </w:rPr>
        <w:t xml:space="preserve">on disabled people, UKIM calls upon </w:t>
      </w:r>
      <w:r>
        <w:rPr>
          <w:rFonts w:ascii="Arial" w:hAnsi="Arial" w:cs="Arial"/>
          <w:b/>
          <w:sz w:val="24"/>
          <w:szCs w:val="24"/>
        </w:rPr>
        <w:t xml:space="preserve">the UK and devolved </w:t>
      </w:r>
      <w:r w:rsidR="00A43150">
        <w:rPr>
          <w:rFonts w:ascii="Arial" w:hAnsi="Arial" w:cs="Arial"/>
          <w:b/>
          <w:sz w:val="24"/>
          <w:szCs w:val="24"/>
        </w:rPr>
        <w:t>g</w:t>
      </w:r>
      <w:r>
        <w:rPr>
          <w:rFonts w:ascii="Arial" w:hAnsi="Arial" w:cs="Arial"/>
          <w:b/>
          <w:sz w:val="24"/>
          <w:szCs w:val="24"/>
        </w:rPr>
        <w:t xml:space="preserve">overnments to address the CESCR criteria for non-retrogression, </w:t>
      </w:r>
      <w:r w:rsidR="0076404B">
        <w:rPr>
          <w:rFonts w:ascii="Arial" w:hAnsi="Arial" w:cs="Arial"/>
          <w:b/>
          <w:sz w:val="24"/>
          <w:szCs w:val="24"/>
        </w:rPr>
        <w:t>putting in place any mitigating measures required.</w:t>
      </w:r>
    </w:p>
    <w:p w14:paraId="3DD3DC65" w14:textId="77777777" w:rsidR="00C73958" w:rsidRDefault="00C73958" w:rsidP="0044514D">
      <w:pPr>
        <w:spacing w:after="160" w:line="312" w:lineRule="auto"/>
        <w:rPr>
          <w:rFonts w:ascii="Arial" w:hAnsi="Arial" w:cs="Arial"/>
          <w:b/>
          <w:sz w:val="24"/>
          <w:szCs w:val="24"/>
        </w:rPr>
      </w:pPr>
    </w:p>
    <w:p w14:paraId="5567C7A1" w14:textId="77777777" w:rsidR="00334AC6" w:rsidRPr="00ED6FCA" w:rsidRDefault="00334AC6" w:rsidP="00ED6FCA">
      <w:pPr>
        <w:pStyle w:val="ListParagraph"/>
        <w:numPr>
          <w:ilvl w:val="0"/>
          <w:numId w:val="1"/>
        </w:numPr>
        <w:spacing w:after="160" w:line="312" w:lineRule="auto"/>
        <w:rPr>
          <w:rFonts w:ascii="Arial" w:hAnsi="Arial" w:cs="Arial"/>
          <w:b/>
          <w:sz w:val="28"/>
          <w:szCs w:val="24"/>
        </w:rPr>
      </w:pPr>
      <w:r w:rsidRPr="00ED6FCA">
        <w:rPr>
          <w:rFonts w:ascii="Arial" w:hAnsi="Arial" w:cs="Arial"/>
          <w:b/>
          <w:sz w:val="28"/>
          <w:szCs w:val="24"/>
        </w:rPr>
        <w:t>Independent Living Fund closure</w:t>
      </w:r>
    </w:p>
    <w:p w14:paraId="09624AA7" w14:textId="72676A93" w:rsidR="00334AC6" w:rsidRPr="00C146D1" w:rsidRDefault="00334AC6" w:rsidP="0044514D">
      <w:pPr>
        <w:pStyle w:val="Title-subsections"/>
        <w:spacing w:after="160"/>
        <w:rPr>
          <w:b w:val="0"/>
          <w:color w:val="000000"/>
        </w:rPr>
      </w:pPr>
      <w:r w:rsidRPr="00C146D1">
        <w:rPr>
          <w:b w:val="0"/>
          <w:color w:val="000000"/>
        </w:rPr>
        <w:t xml:space="preserve">UKIM shares the inquiry team’s concerns about the </w:t>
      </w:r>
      <w:r>
        <w:rPr>
          <w:b w:val="0"/>
          <w:color w:val="000000"/>
        </w:rPr>
        <w:t xml:space="preserve">closure of the </w:t>
      </w:r>
      <w:r w:rsidRPr="00C146D1">
        <w:rPr>
          <w:b w:val="0"/>
          <w:color w:val="000000"/>
        </w:rPr>
        <w:t>Independent Living Fund</w:t>
      </w:r>
      <w:r w:rsidRPr="00C146D1">
        <w:rPr>
          <w:lang w:eastAsia="en-GB"/>
        </w:rPr>
        <w:t xml:space="preserve"> </w:t>
      </w:r>
      <w:r w:rsidRPr="00C146D1">
        <w:rPr>
          <w:b w:val="0"/>
          <w:lang w:eastAsia="en-GB"/>
        </w:rPr>
        <w:t>(ILF)</w:t>
      </w:r>
      <w:r>
        <w:rPr>
          <w:b w:val="0"/>
        </w:rPr>
        <w:t xml:space="preserve"> </w:t>
      </w:r>
      <w:r w:rsidRPr="00C146D1">
        <w:rPr>
          <w:b w:val="0"/>
        </w:rPr>
        <w:t>on 30 June 2015</w:t>
      </w:r>
      <w:r w:rsidRPr="00C146D1">
        <w:rPr>
          <w:b w:val="0"/>
          <w:lang w:eastAsia="en-GB"/>
        </w:rPr>
        <w:t xml:space="preserve">, </w:t>
      </w:r>
      <w:r>
        <w:rPr>
          <w:b w:val="0"/>
        </w:rPr>
        <w:t>whereby</w:t>
      </w:r>
      <w:r w:rsidRPr="00C146D1">
        <w:rPr>
          <w:b w:val="0"/>
        </w:rPr>
        <w:t xml:space="preserve"> continued support of ILF users </w:t>
      </w:r>
      <w:r>
        <w:rPr>
          <w:b w:val="0"/>
        </w:rPr>
        <w:t xml:space="preserve">was </w:t>
      </w:r>
      <w:r w:rsidRPr="00C146D1">
        <w:rPr>
          <w:b w:val="0"/>
        </w:rPr>
        <w:t>devolv</w:t>
      </w:r>
      <w:r w:rsidR="009E4367">
        <w:rPr>
          <w:b w:val="0"/>
        </w:rPr>
        <w:t>ed to local authorities (LAs) in</w:t>
      </w:r>
      <w:r w:rsidRPr="00C146D1">
        <w:rPr>
          <w:b w:val="0"/>
        </w:rPr>
        <w:t xml:space="preserve"> England and the devolved administrations.</w:t>
      </w:r>
      <w:r w:rsidRPr="00C146D1">
        <w:rPr>
          <w:rStyle w:val="FootnoteReference"/>
          <w:b w:val="0"/>
        </w:rPr>
        <w:footnoteReference w:id="17"/>
      </w:r>
      <w:r w:rsidRPr="00C146D1">
        <w:t xml:space="preserve">  </w:t>
      </w:r>
    </w:p>
    <w:p w14:paraId="1AD69002" w14:textId="77777777" w:rsidR="00334AC6" w:rsidRPr="00C146D1" w:rsidRDefault="00334AC6" w:rsidP="0044514D">
      <w:pPr>
        <w:pStyle w:val="Parabeforeanother"/>
        <w:rPr>
          <w:lang w:eastAsia="en-GB"/>
        </w:rPr>
      </w:pPr>
      <w:r w:rsidRPr="00C146D1">
        <w:rPr>
          <w:lang w:eastAsia="ja-JP"/>
        </w:rPr>
        <w:t xml:space="preserve">In particular, </w:t>
      </w:r>
      <w:r w:rsidRPr="00C146D1">
        <w:rPr>
          <w:lang w:eastAsia="en-GB"/>
        </w:rPr>
        <w:t>the ILF’s closure could force some disabled people</w:t>
      </w:r>
      <w:r>
        <w:rPr>
          <w:lang w:eastAsia="en-GB"/>
        </w:rPr>
        <w:t xml:space="preserve"> in England</w:t>
      </w:r>
      <w:r w:rsidRPr="00C146D1">
        <w:rPr>
          <w:lang w:eastAsia="en-GB"/>
        </w:rPr>
        <w:t xml:space="preserve"> into residential care, as LAs may not be able to cover independent living costs.</w:t>
      </w:r>
      <w:r w:rsidRPr="00C146D1">
        <w:rPr>
          <w:rStyle w:val="FootnoteReference"/>
          <w:lang w:eastAsia="en-GB"/>
        </w:rPr>
        <w:footnoteReference w:id="18"/>
      </w:r>
      <w:r w:rsidRPr="00C146D1">
        <w:rPr>
          <w:lang w:eastAsia="en-GB"/>
        </w:rPr>
        <w:t xml:space="preserve"> </w:t>
      </w:r>
      <w:r w:rsidRPr="00C146D1">
        <w:rPr>
          <w:rStyle w:val="FootnoteReference"/>
          <w:lang w:eastAsia="en-GB"/>
        </w:rPr>
        <w:footnoteReference w:id="19"/>
      </w:r>
      <w:r w:rsidRPr="00C146D1">
        <w:rPr>
          <w:lang w:eastAsia="en-GB"/>
        </w:rPr>
        <w:t xml:space="preserve"> </w:t>
      </w:r>
      <w:r w:rsidRPr="00C146D1">
        <w:rPr>
          <w:lang w:eastAsia="ja-JP"/>
        </w:rPr>
        <w:t>The monetary transfer to LAs is not ring-fenced,</w:t>
      </w:r>
      <w:r w:rsidRPr="00C146D1">
        <w:rPr>
          <w:rStyle w:val="FootnoteReference"/>
          <w:lang w:eastAsia="ja-JP"/>
        </w:rPr>
        <w:footnoteReference w:id="20"/>
      </w:r>
      <w:r w:rsidRPr="00C146D1">
        <w:rPr>
          <w:lang w:eastAsia="en-GB"/>
        </w:rPr>
        <w:t xml:space="preserve">  and there is no mechanism to monitor how LAs in England are supporting independent living.</w:t>
      </w:r>
    </w:p>
    <w:p w14:paraId="345F5E11" w14:textId="32EE514D" w:rsidR="00334AC6" w:rsidRPr="0044514D" w:rsidRDefault="00334AC6" w:rsidP="0044514D">
      <w:pPr>
        <w:pStyle w:val="Parabeforeanother"/>
      </w:pPr>
      <w:r w:rsidRPr="00C146D1">
        <w:t xml:space="preserve">In Northern Ireland the ILF is administered by the </w:t>
      </w:r>
      <w:r w:rsidR="00F52A4F">
        <w:t>Independent Living Fund Scotland</w:t>
      </w:r>
      <w:r w:rsidRPr="00C146D1">
        <w:rPr>
          <w:rStyle w:val="FootnoteReference"/>
        </w:rPr>
        <w:footnoteReference w:id="21"/>
      </w:r>
      <w:r w:rsidRPr="00C146D1">
        <w:t xml:space="preserve"> but restricted to existing users leading to its eventual de facto closure, with no clear indication of future arrangements.</w:t>
      </w:r>
      <w:r w:rsidRPr="00C146D1">
        <w:rPr>
          <w:rStyle w:val="FootnoteReference"/>
        </w:rPr>
        <w:footnoteReference w:id="22"/>
      </w:r>
    </w:p>
    <w:p w14:paraId="49A874A3" w14:textId="5CE0BD78" w:rsidR="00334AC6" w:rsidRPr="00C146D1" w:rsidRDefault="00334AC6" w:rsidP="0044514D">
      <w:pPr>
        <w:pStyle w:val="Title-subsections"/>
        <w:spacing w:after="160"/>
        <w:rPr>
          <w:b w:val="0"/>
        </w:rPr>
      </w:pPr>
      <w:r w:rsidRPr="00C146D1">
        <w:rPr>
          <w:b w:val="0"/>
        </w:rPr>
        <w:lastRenderedPageBreak/>
        <w:t>UKIM welcomes the UK Gov</w:t>
      </w:r>
      <w:r w:rsidR="009E4367">
        <w:rPr>
          <w:b w:val="0"/>
        </w:rPr>
        <w:t xml:space="preserve">ernment’s stated commitment </w:t>
      </w:r>
      <w:r w:rsidR="00A406FB">
        <w:rPr>
          <w:b w:val="0"/>
        </w:rPr>
        <w:t xml:space="preserve">in its response to the inquiry </w:t>
      </w:r>
      <w:r w:rsidR="009E4367">
        <w:rPr>
          <w:b w:val="0"/>
        </w:rPr>
        <w:t>to ‘</w:t>
      </w:r>
      <w:r w:rsidRPr="00C146D1">
        <w:rPr>
          <w:b w:val="0"/>
        </w:rPr>
        <w:t xml:space="preserve">researching the impact of the ILF </w:t>
      </w:r>
      <w:r w:rsidR="009E4367">
        <w:rPr>
          <w:b w:val="0"/>
        </w:rPr>
        <w:t>closure</w:t>
      </w:r>
      <w:r w:rsidR="00B3699D">
        <w:rPr>
          <w:b w:val="0"/>
        </w:rPr>
        <w:t xml:space="preserve">’, expected to </w:t>
      </w:r>
      <w:r w:rsidR="001663F8">
        <w:rPr>
          <w:b w:val="0"/>
        </w:rPr>
        <w:t>reach completion</w:t>
      </w:r>
      <w:r w:rsidR="00B3699D">
        <w:rPr>
          <w:b w:val="0"/>
        </w:rPr>
        <w:t xml:space="preserve"> ‘by the end of this year’</w:t>
      </w:r>
      <w:r w:rsidR="00A406FB">
        <w:rPr>
          <w:b w:val="0"/>
        </w:rPr>
        <w:t>.</w:t>
      </w:r>
      <w:r w:rsidR="00B3699D">
        <w:rPr>
          <w:rStyle w:val="FootnoteReference"/>
          <w:b w:val="0"/>
        </w:rPr>
        <w:footnoteReference w:id="23"/>
      </w:r>
      <w:r w:rsidRPr="00C146D1">
        <w:rPr>
          <w:b w:val="0"/>
        </w:rPr>
        <w:t xml:space="preserve"> However, we note that urgent steps are needed to ensure compliance with Article 19 of the CRPD.</w:t>
      </w:r>
    </w:p>
    <w:p w14:paraId="5E8F6F79" w14:textId="77777777" w:rsidR="00334AC6" w:rsidRPr="00C146D1" w:rsidRDefault="00334AC6" w:rsidP="0044514D">
      <w:pPr>
        <w:pStyle w:val="Title-subsections"/>
        <w:spacing w:after="160"/>
      </w:pPr>
      <w:r w:rsidRPr="00C146D1">
        <w:t>Where it has delegated responsibility for inde</w:t>
      </w:r>
      <w:r>
        <w:t>pendent living funding to LAs</w:t>
      </w:r>
      <w:r w:rsidRPr="00C146D1">
        <w:t xml:space="preserve"> in England, UKIM calls on the UK Government to:</w:t>
      </w:r>
    </w:p>
    <w:p w14:paraId="3FB46221" w14:textId="6F682FF3" w:rsidR="00334AC6" w:rsidRPr="00C146D1" w:rsidRDefault="00A43150" w:rsidP="0044514D">
      <w:pPr>
        <w:pStyle w:val="Title-subsections"/>
        <w:numPr>
          <w:ilvl w:val="0"/>
          <w:numId w:val="2"/>
        </w:numPr>
        <w:spacing w:after="160"/>
        <w:rPr>
          <w:b w:val="0"/>
        </w:rPr>
      </w:pPr>
      <w:r>
        <w:t>p</w:t>
      </w:r>
      <w:r w:rsidR="00334AC6" w:rsidRPr="00C146D1">
        <w:t>rovide sufficient independent livin</w:t>
      </w:r>
      <w:r w:rsidR="00334AC6">
        <w:t>g funding to each LA</w:t>
      </w:r>
      <w:r w:rsidR="00334AC6" w:rsidRPr="00C146D1">
        <w:t xml:space="preserve"> to meet the needs of disabled people in their area </w:t>
      </w:r>
    </w:p>
    <w:p w14:paraId="0625586B" w14:textId="41F91B5A" w:rsidR="00334AC6" w:rsidRPr="00C146D1" w:rsidRDefault="00A43150" w:rsidP="0044514D">
      <w:pPr>
        <w:pStyle w:val="Title-subsections"/>
        <w:numPr>
          <w:ilvl w:val="0"/>
          <w:numId w:val="2"/>
        </w:numPr>
        <w:spacing w:after="160"/>
        <w:rPr>
          <w:b w:val="0"/>
        </w:rPr>
      </w:pPr>
      <w:r>
        <w:t>p</w:t>
      </w:r>
      <w:r w:rsidR="00334AC6" w:rsidRPr="00C146D1">
        <w:t xml:space="preserve">rovide </w:t>
      </w:r>
      <w:r w:rsidR="00334AC6">
        <w:t>guidance to LAs</w:t>
      </w:r>
      <w:r w:rsidR="00334AC6" w:rsidRPr="00C146D1">
        <w:t xml:space="preserve"> to clarify what they must do to meet the minimum req</w:t>
      </w:r>
      <w:r w:rsidR="00334AC6">
        <w:t xml:space="preserve">uirements of Article 19, and </w:t>
      </w:r>
      <w:r w:rsidR="00334AC6" w:rsidRPr="00C146D1">
        <w:t>provide examples of best practice</w:t>
      </w:r>
      <w:r>
        <w:t>, and</w:t>
      </w:r>
    </w:p>
    <w:p w14:paraId="61BDBED6" w14:textId="7074A738" w:rsidR="00334AC6" w:rsidRPr="0044514D" w:rsidRDefault="00A43150" w:rsidP="0044514D">
      <w:pPr>
        <w:pStyle w:val="Title-subsections"/>
        <w:numPr>
          <w:ilvl w:val="0"/>
          <w:numId w:val="2"/>
        </w:numPr>
        <w:spacing w:after="160"/>
        <w:rPr>
          <w:b w:val="0"/>
        </w:rPr>
      </w:pPr>
      <w:r>
        <w:t>p</w:t>
      </w:r>
      <w:r w:rsidR="00334AC6" w:rsidRPr="00C146D1">
        <w:t>ut in place a monitoring mechan</w:t>
      </w:r>
      <w:r w:rsidR="00334AC6">
        <w:t>ism so that each LA</w:t>
      </w:r>
      <w:r w:rsidR="00334AC6" w:rsidRPr="00C146D1">
        <w:t xml:space="preserve"> reports on independent living funding </w:t>
      </w:r>
      <w:r w:rsidR="00334AC6">
        <w:t>and activities, enabling</w:t>
      </w:r>
      <w:r w:rsidR="00EF2457">
        <w:t xml:space="preserve"> the State to</w:t>
      </w:r>
      <w:r w:rsidR="00334AC6" w:rsidRPr="00C146D1">
        <w:t xml:space="preserve"> assure itself that it is complying with Article 19.</w:t>
      </w:r>
    </w:p>
    <w:p w14:paraId="474EF9E6" w14:textId="77777777" w:rsidR="00334AC6" w:rsidRDefault="00334AC6" w:rsidP="0044514D">
      <w:pPr>
        <w:pStyle w:val="Title-subsections"/>
        <w:spacing w:after="160"/>
      </w:pPr>
      <w:r w:rsidRPr="00C146D1">
        <w:t xml:space="preserve">In light of the closure of the ILF to new applicants in Northern Ireland, we recommend that the UK Government and Northern Ireland Executive urgently review how the health and social care needs of disabled people no longer eligible for funding are being met. </w:t>
      </w:r>
    </w:p>
    <w:p w14:paraId="03BADCD8" w14:textId="77777777" w:rsidR="00C73958" w:rsidRDefault="00C73958" w:rsidP="0044514D">
      <w:pPr>
        <w:pStyle w:val="Title-subsections"/>
        <w:spacing w:after="160"/>
      </w:pPr>
    </w:p>
    <w:p w14:paraId="3BD5C472" w14:textId="77777777" w:rsidR="00334AC6" w:rsidRPr="00796039" w:rsidRDefault="00334AC6" w:rsidP="0044514D">
      <w:pPr>
        <w:pStyle w:val="ListParagraph"/>
        <w:numPr>
          <w:ilvl w:val="0"/>
          <w:numId w:val="1"/>
        </w:numPr>
        <w:spacing w:after="160" w:line="312" w:lineRule="auto"/>
        <w:rPr>
          <w:rFonts w:ascii="Arial" w:hAnsi="Arial" w:cs="Arial"/>
          <w:b/>
          <w:sz w:val="28"/>
          <w:szCs w:val="24"/>
        </w:rPr>
      </w:pPr>
      <w:r w:rsidRPr="00796039">
        <w:rPr>
          <w:rFonts w:ascii="Arial" w:hAnsi="Arial" w:cs="Arial"/>
          <w:b/>
          <w:sz w:val="28"/>
          <w:szCs w:val="24"/>
        </w:rPr>
        <w:t>Access to justice</w:t>
      </w:r>
    </w:p>
    <w:p w14:paraId="48DDB7FC" w14:textId="6468861B" w:rsidR="001D0316" w:rsidRDefault="00334AC6" w:rsidP="0044514D">
      <w:pPr>
        <w:spacing w:after="160" w:line="312" w:lineRule="auto"/>
        <w:rPr>
          <w:rFonts w:ascii="Arial" w:hAnsi="Arial" w:cs="Arial"/>
          <w:sz w:val="24"/>
          <w:szCs w:val="24"/>
        </w:rPr>
      </w:pPr>
      <w:r w:rsidRPr="00C17390">
        <w:rPr>
          <w:rFonts w:ascii="Arial" w:hAnsi="Arial" w:cs="Arial"/>
          <w:sz w:val="24"/>
          <w:szCs w:val="24"/>
        </w:rPr>
        <w:t>UK</w:t>
      </w:r>
      <w:r w:rsidR="00F668E6">
        <w:rPr>
          <w:rFonts w:ascii="Arial" w:hAnsi="Arial" w:cs="Arial"/>
          <w:sz w:val="24"/>
          <w:szCs w:val="24"/>
        </w:rPr>
        <w:t>IM welcomes the</w:t>
      </w:r>
      <w:r w:rsidRPr="00C17390">
        <w:rPr>
          <w:rFonts w:ascii="Arial" w:hAnsi="Arial" w:cs="Arial"/>
          <w:sz w:val="24"/>
          <w:szCs w:val="24"/>
        </w:rPr>
        <w:t xml:space="preserve"> recommendation that the UK ensure access to justice for disabled people seeking redress and reparation for the violation of rights covered by the inquiry report.</w:t>
      </w:r>
      <w:r w:rsidR="001D0316">
        <w:rPr>
          <w:rStyle w:val="FootnoteReference"/>
          <w:rFonts w:ascii="Arial" w:hAnsi="Arial" w:cs="Arial"/>
          <w:sz w:val="24"/>
          <w:szCs w:val="24"/>
        </w:rPr>
        <w:footnoteReference w:id="24"/>
      </w:r>
      <w:r w:rsidRPr="00C17390">
        <w:rPr>
          <w:rFonts w:ascii="Arial" w:hAnsi="Arial" w:cs="Arial"/>
          <w:sz w:val="24"/>
          <w:szCs w:val="24"/>
        </w:rPr>
        <w:t xml:space="preserve"> We note with concern that the UK Government’s response does not acknowledge the adverse impacts on disabled people</w:t>
      </w:r>
      <w:r>
        <w:rPr>
          <w:rFonts w:ascii="Arial" w:hAnsi="Arial" w:cs="Arial"/>
          <w:sz w:val="24"/>
          <w:szCs w:val="24"/>
        </w:rPr>
        <w:t xml:space="preserve">. </w:t>
      </w:r>
    </w:p>
    <w:p w14:paraId="12DE25BB" w14:textId="7CE81D07" w:rsidR="00334AC6" w:rsidRPr="0044514D" w:rsidRDefault="00334AC6" w:rsidP="0044514D">
      <w:pPr>
        <w:spacing w:after="160" w:line="312" w:lineRule="auto"/>
        <w:rPr>
          <w:rFonts w:ascii="Arial" w:hAnsi="Arial" w:cs="Arial"/>
          <w:b/>
          <w:sz w:val="24"/>
          <w:szCs w:val="24"/>
        </w:rPr>
      </w:pPr>
      <w:r>
        <w:rPr>
          <w:rFonts w:ascii="Arial" w:hAnsi="Arial" w:cs="Arial"/>
          <w:sz w:val="24"/>
          <w:szCs w:val="24"/>
        </w:rPr>
        <w:t xml:space="preserve">The EHRC has outlined evidence and analysis of the impact of a range of changes on disabled people’s rights to access justice, including the reduction in scope of </w:t>
      </w:r>
      <w:r w:rsidR="00A43150">
        <w:rPr>
          <w:rFonts w:ascii="Arial" w:hAnsi="Arial" w:cs="Arial"/>
          <w:sz w:val="24"/>
          <w:szCs w:val="24"/>
        </w:rPr>
        <w:t>l</w:t>
      </w:r>
      <w:r>
        <w:rPr>
          <w:rFonts w:ascii="Arial" w:hAnsi="Arial" w:cs="Arial"/>
          <w:sz w:val="24"/>
          <w:szCs w:val="24"/>
        </w:rPr>
        <w:t>egal</w:t>
      </w:r>
      <w:r w:rsidR="00EE0B1D">
        <w:rPr>
          <w:rFonts w:ascii="Arial" w:hAnsi="Arial" w:cs="Arial"/>
          <w:sz w:val="24"/>
          <w:szCs w:val="24"/>
        </w:rPr>
        <w:t xml:space="preserve"> </w:t>
      </w:r>
      <w:r w:rsidR="00A43150">
        <w:rPr>
          <w:rFonts w:ascii="Arial" w:hAnsi="Arial" w:cs="Arial"/>
          <w:sz w:val="24"/>
          <w:szCs w:val="24"/>
        </w:rPr>
        <w:t>a</w:t>
      </w:r>
      <w:r>
        <w:rPr>
          <w:rFonts w:ascii="Arial" w:hAnsi="Arial" w:cs="Arial"/>
          <w:sz w:val="24"/>
          <w:szCs w:val="24"/>
        </w:rPr>
        <w:t>id and the introduction of a mandatory telephone gateway service in England and Wales, as well as the introduction of employment tribunal fees in Britain.</w:t>
      </w:r>
      <w:r>
        <w:rPr>
          <w:rStyle w:val="FootnoteReference"/>
          <w:rFonts w:ascii="Arial" w:hAnsi="Arial" w:cs="Arial"/>
          <w:sz w:val="24"/>
          <w:szCs w:val="24"/>
        </w:rPr>
        <w:footnoteReference w:id="25"/>
      </w:r>
      <w:r>
        <w:rPr>
          <w:rFonts w:ascii="Arial" w:hAnsi="Arial" w:cs="Arial"/>
          <w:sz w:val="24"/>
          <w:szCs w:val="24"/>
        </w:rPr>
        <w:t xml:space="preserve"> These </w:t>
      </w:r>
      <w:r>
        <w:rPr>
          <w:rFonts w:ascii="Arial" w:hAnsi="Arial" w:cs="Arial"/>
          <w:sz w:val="24"/>
          <w:szCs w:val="24"/>
        </w:rPr>
        <w:lastRenderedPageBreak/>
        <w:t>concerns have been shared by every treaty body that has examined the UK’s human rights record since 2012.</w:t>
      </w:r>
      <w:r>
        <w:rPr>
          <w:rStyle w:val="FootnoteReference"/>
          <w:rFonts w:ascii="Arial" w:hAnsi="Arial" w:cs="Arial"/>
          <w:sz w:val="24"/>
          <w:szCs w:val="24"/>
        </w:rPr>
        <w:footnoteReference w:id="26"/>
      </w:r>
    </w:p>
    <w:p w14:paraId="6F5A2204" w14:textId="6CE9DED5" w:rsidR="00334AC6" w:rsidRPr="00292360" w:rsidRDefault="00334AC6" w:rsidP="0044514D">
      <w:pPr>
        <w:pStyle w:val="Parabeforeanother"/>
        <w:rPr>
          <w:b/>
        </w:rPr>
      </w:pPr>
      <w:r w:rsidRPr="00292360">
        <w:rPr>
          <w:b/>
        </w:rPr>
        <w:t xml:space="preserve">In </w:t>
      </w:r>
      <w:r w:rsidR="00A43150">
        <w:rPr>
          <w:b/>
        </w:rPr>
        <w:t>r</w:t>
      </w:r>
      <w:r w:rsidRPr="00292360">
        <w:rPr>
          <w:b/>
        </w:rPr>
        <w:t>elation to England and Wales, UKIM urges the UK Government to</w:t>
      </w:r>
      <w:r w:rsidR="0049284D">
        <w:rPr>
          <w:b/>
        </w:rPr>
        <w:t>:</w:t>
      </w:r>
    </w:p>
    <w:p w14:paraId="6FD7DE4C" w14:textId="16C1B017" w:rsidR="00334AC6" w:rsidRPr="00292360" w:rsidRDefault="00334AC6" w:rsidP="0044514D">
      <w:pPr>
        <w:pStyle w:val="Parabeforeanother"/>
        <w:numPr>
          <w:ilvl w:val="0"/>
          <w:numId w:val="2"/>
        </w:numPr>
        <w:rPr>
          <w:b/>
        </w:rPr>
      </w:pPr>
      <w:r>
        <w:rPr>
          <w:b/>
        </w:rPr>
        <w:t>Review</w:t>
      </w:r>
      <w:r w:rsidRPr="003B4DA9">
        <w:rPr>
          <w:b/>
        </w:rPr>
        <w:t xml:space="preserve"> the impact of </w:t>
      </w:r>
      <w:r>
        <w:rPr>
          <w:b/>
        </w:rPr>
        <w:t xml:space="preserve">the </w:t>
      </w:r>
      <w:r w:rsidR="00F668E6" w:rsidRPr="00F668E6">
        <w:rPr>
          <w:b/>
        </w:rPr>
        <w:t>Legal Aid, Sentencing and Punishment of Offenders Act 2012</w:t>
      </w:r>
      <w:r w:rsidRPr="00F668E6">
        <w:rPr>
          <w:b/>
        </w:rPr>
        <w:t xml:space="preserve"> </w:t>
      </w:r>
      <w:r w:rsidRPr="003B4DA9">
        <w:rPr>
          <w:b/>
        </w:rPr>
        <w:t>on access to justice</w:t>
      </w:r>
      <w:r>
        <w:rPr>
          <w:b/>
        </w:rPr>
        <w:t xml:space="preserve"> and other CRPD rights for disabled people. It should ensure the review includes the commissioning of independent research on the impacts of legal aid reforms on disabled people, and take concrete steps to mitigate any adverse impacts identified.</w:t>
      </w:r>
    </w:p>
    <w:p w14:paraId="47780AB6" w14:textId="39C35C88" w:rsidR="00334AC6" w:rsidRPr="0044514D" w:rsidRDefault="00334AC6" w:rsidP="0044514D">
      <w:pPr>
        <w:pStyle w:val="Parabeforeanother"/>
        <w:numPr>
          <w:ilvl w:val="0"/>
          <w:numId w:val="2"/>
        </w:numPr>
        <w:rPr>
          <w:b/>
        </w:rPr>
      </w:pPr>
      <w:r>
        <w:rPr>
          <w:b/>
        </w:rPr>
        <w:t>Furth</w:t>
      </w:r>
      <w:r w:rsidR="001D0316">
        <w:rPr>
          <w:b/>
        </w:rPr>
        <w:t>er review the operation of the telephone g</w:t>
      </w:r>
      <w:r>
        <w:rPr>
          <w:b/>
        </w:rPr>
        <w:t>atew</w:t>
      </w:r>
      <w:r w:rsidR="006E72A9">
        <w:rPr>
          <w:b/>
        </w:rPr>
        <w:t xml:space="preserve">ay service </w:t>
      </w:r>
      <w:r>
        <w:rPr>
          <w:b/>
        </w:rPr>
        <w:t>with regard to its accessibility and effectiveness for disabled people, a</w:t>
      </w:r>
      <w:r w:rsidR="0044514D">
        <w:rPr>
          <w:b/>
        </w:rPr>
        <w:t>nd mitigate any adverse impacts</w:t>
      </w:r>
      <w:r w:rsidR="0049284D">
        <w:rPr>
          <w:b/>
        </w:rPr>
        <w:t xml:space="preserve"> iden</w:t>
      </w:r>
      <w:r w:rsidR="00A43150">
        <w:rPr>
          <w:b/>
        </w:rPr>
        <w:t>tif</w:t>
      </w:r>
      <w:r w:rsidR="0049284D">
        <w:rPr>
          <w:b/>
        </w:rPr>
        <w:t>ied.</w:t>
      </w:r>
    </w:p>
    <w:p w14:paraId="6F7A18FC" w14:textId="647C3DE7" w:rsidR="00430260" w:rsidRPr="001367BE" w:rsidRDefault="00334AC6" w:rsidP="001367BE">
      <w:pPr>
        <w:pStyle w:val="Parabeforeanother"/>
        <w:rPr>
          <w:b/>
        </w:rPr>
      </w:pPr>
      <w:r w:rsidRPr="00292360">
        <w:rPr>
          <w:b/>
        </w:rPr>
        <w:t>In light of the introduction of T</w:t>
      </w:r>
      <w:r>
        <w:rPr>
          <w:b/>
        </w:rPr>
        <w:t>ribunal fees in Great Britain, UKIM calls on the UK Government to p</w:t>
      </w:r>
      <w:r w:rsidRPr="00292360">
        <w:rPr>
          <w:b/>
        </w:rPr>
        <w:t>ublish the findings of its post-implementation review of Employment Tribunal fees, and address any disproportionate impacts on disabled people.</w:t>
      </w:r>
    </w:p>
    <w:sectPr w:rsidR="00430260" w:rsidRPr="001367BE">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790DB5" w15:done="0"/>
  <w15:commentEx w15:paraId="6D0F9824" w15:done="0"/>
  <w15:commentEx w15:paraId="0A4C90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DE4DB" w14:textId="77777777" w:rsidR="005F0033" w:rsidRDefault="005F0033" w:rsidP="00334AC6">
      <w:pPr>
        <w:spacing w:after="0" w:line="240" w:lineRule="auto"/>
      </w:pPr>
      <w:r>
        <w:separator/>
      </w:r>
    </w:p>
  </w:endnote>
  <w:endnote w:type="continuationSeparator" w:id="0">
    <w:p w14:paraId="3F6EDE7D" w14:textId="77777777" w:rsidR="005F0033" w:rsidRDefault="005F0033" w:rsidP="0033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764984"/>
      <w:docPartObj>
        <w:docPartGallery w:val="Page Numbers (Bottom of Page)"/>
        <w:docPartUnique/>
      </w:docPartObj>
    </w:sdtPr>
    <w:sdtEndPr>
      <w:rPr>
        <w:noProof/>
      </w:rPr>
    </w:sdtEndPr>
    <w:sdtContent>
      <w:p w14:paraId="1F0415D4" w14:textId="2189D1DF" w:rsidR="00957B81" w:rsidRDefault="00957B81">
        <w:pPr>
          <w:pStyle w:val="Footer"/>
          <w:jc w:val="right"/>
        </w:pPr>
        <w:r>
          <w:fldChar w:fldCharType="begin"/>
        </w:r>
        <w:r>
          <w:instrText xml:space="preserve"> PAGE   \* MERGEFORMAT </w:instrText>
        </w:r>
        <w:r>
          <w:fldChar w:fldCharType="separate"/>
        </w:r>
        <w:r w:rsidR="001048C0">
          <w:rPr>
            <w:noProof/>
          </w:rPr>
          <w:t>1</w:t>
        </w:r>
        <w:r>
          <w:rPr>
            <w:noProof/>
          </w:rPr>
          <w:fldChar w:fldCharType="end"/>
        </w:r>
      </w:p>
    </w:sdtContent>
  </w:sdt>
  <w:p w14:paraId="751B2443" w14:textId="77777777" w:rsidR="00957B81" w:rsidRDefault="00957B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1104D" w14:textId="77777777" w:rsidR="005F0033" w:rsidRDefault="005F0033" w:rsidP="00334AC6">
      <w:pPr>
        <w:spacing w:after="0" w:line="240" w:lineRule="auto"/>
      </w:pPr>
      <w:r>
        <w:separator/>
      </w:r>
    </w:p>
  </w:footnote>
  <w:footnote w:type="continuationSeparator" w:id="0">
    <w:p w14:paraId="56C3D713" w14:textId="77777777" w:rsidR="005F0033" w:rsidRDefault="005F0033" w:rsidP="00334AC6">
      <w:pPr>
        <w:spacing w:after="0" w:line="240" w:lineRule="auto"/>
      </w:pPr>
      <w:r>
        <w:continuationSeparator/>
      </w:r>
    </w:p>
  </w:footnote>
  <w:footnote w:id="1">
    <w:p w14:paraId="49F4205F" w14:textId="20A584A2" w:rsidR="00A06359" w:rsidRPr="002C2E6A" w:rsidRDefault="00A06359">
      <w:pPr>
        <w:pStyle w:val="FootnoteText"/>
        <w:rPr>
          <w:rFonts w:ascii="Arial" w:hAnsi="Arial" w:cs="Arial"/>
        </w:rPr>
      </w:pPr>
      <w:r w:rsidRPr="00A06359">
        <w:rPr>
          <w:rStyle w:val="FootnoteReference"/>
          <w:rFonts w:ascii="Arial" w:hAnsi="Arial" w:cs="Arial"/>
        </w:rPr>
        <w:footnoteRef/>
      </w:r>
      <w:r w:rsidRPr="00A06359">
        <w:rPr>
          <w:rFonts w:ascii="Arial" w:hAnsi="Arial" w:cs="Arial"/>
        </w:rPr>
        <w:t xml:space="preserve"> CRPD Committee (2016) Inquiry concerning the </w:t>
      </w:r>
      <w:r w:rsidR="002C2E6A">
        <w:rPr>
          <w:rFonts w:ascii="Arial" w:hAnsi="Arial" w:cs="Arial"/>
        </w:rPr>
        <w:t>UK</w:t>
      </w:r>
      <w:r w:rsidRPr="00A06359">
        <w:rPr>
          <w:rFonts w:ascii="Arial" w:hAnsi="Arial" w:cs="Arial"/>
        </w:rPr>
        <w:t xml:space="preserve"> carried out by the Committee under article 6 of the Optional Protocol to the Con</w:t>
      </w:r>
      <w:r w:rsidR="00C73958">
        <w:rPr>
          <w:rFonts w:ascii="Arial" w:hAnsi="Arial" w:cs="Arial"/>
        </w:rPr>
        <w:t>vention, Report</w:t>
      </w:r>
      <w:r w:rsidRPr="00A06359">
        <w:rPr>
          <w:rFonts w:ascii="Arial" w:hAnsi="Arial" w:cs="Arial"/>
        </w:rPr>
        <w:t xml:space="preserve">, p. 21, available </w:t>
      </w:r>
      <w:hyperlink r:id="rId1" w:history="1">
        <w:r w:rsidRPr="00A06359">
          <w:rPr>
            <w:rStyle w:val="Hyperlink"/>
            <w:rFonts w:ascii="Arial" w:hAnsi="Arial" w:cs="Arial"/>
          </w:rPr>
          <w:t>here</w:t>
        </w:r>
      </w:hyperlink>
      <w:r w:rsidRPr="00A06359">
        <w:rPr>
          <w:rFonts w:ascii="Arial" w:hAnsi="Arial" w:cs="Arial"/>
        </w:rPr>
        <w:t xml:space="preserve"> [accessed 10 </w:t>
      </w:r>
      <w:r w:rsidRPr="002C2E6A">
        <w:rPr>
          <w:rFonts w:ascii="Arial" w:hAnsi="Arial" w:cs="Arial"/>
        </w:rPr>
        <w:t xml:space="preserve">November 2016]. </w:t>
      </w:r>
    </w:p>
  </w:footnote>
  <w:footnote w:id="2">
    <w:p w14:paraId="4AA33B5B" w14:textId="69C4CC05" w:rsidR="002C2E6A" w:rsidRDefault="002C2E6A">
      <w:pPr>
        <w:pStyle w:val="FootnoteText"/>
      </w:pPr>
      <w:r w:rsidRPr="002C2E6A">
        <w:rPr>
          <w:rStyle w:val="FootnoteReference"/>
          <w:rFonts w:ascii="Arial" w:hAnsi="Arial" w:cs="Arial"/>
        </w:rPr>
        <w:footnoteRef/>
      </w:r>
      <w:r w:rsidRPr="002C2E6A">
        <w:rPr>
          <w:rFonts w:ascii="Arial" w:hAnsi="Arial" w:cs="Arial"/>
        </w:rPr>
        <w:t xml:space="preserve"> UK Government (2016) Response to t</w:t>
      </w:r>
      <w:r w:rsidR="00C73958">
        <w:rPr>
          <w:rFonts w:ascii="Arial" w:hAnsi="Arial" w:cs="Arial"/>
        </w:rPr>
        <w:t>he Report by the UN</w:t>
      </w:r>
      <w:r w:rsidRPr="002C2E6A">
        <w:rPr>
          <w:rFonts w:ascii="Arial" w:hAnsi="Arial" w:cs="Arial"/>
        </w:rPr>
        <w:t xml:space="preserve"> Committee on the Rights of Persons with Disabilities under article 6 of the Optional Protocol to the Convention, </w:t>
      </w:r>
      <w:r w:rsidR="00292716">
        <w:rPr>
          <w:rFonts w:ascii="Arial" w:hAnsi="Arial" w:cs="Arial"/>
        </w:rPr>
        <w:t xml:space="preserve">p. 26, </w:t>
      </w:r>
      <w:r w:rsidRPr="002C2E6A">
        <w:rPr>
          <w:rFonts w:ascii="Arial" w:hAnsi="Arial" w:cs="Arial"/>
        </w:rPr>
        <w:t xml:space="preserve">available </w:t>
      </w:r>
      <w:hyperlink r:id="rId2" w:history="1">
        <w:r w:rsidRPr="002C2E6A">
          <w:rPr>
            <w:rStyle w:val="Hyperlink"/>
            <w:rFonts w:ascii="Arial" w:hAnsi="Arial" w:cs="Arial"/>
          </w:rPr>
          <w:t>here</w:t>
        </w:r>
      </w:hyperlink>
      <w:r w:rsidRPr="002C2E6A">
        <w:rPr>
          <w:rFonts w:ascii="Arial" w:hAnsi="Arial" w:cs="Arial"/>
        </w:rPr>
        <w:t xml:space="preserve"> [accessed 20 November 2016].</w:t>
      </w:r>
    </w:p>
  </w:footnote>
  <w:footnote w:id="3">
    <w:p w14:paraId="0468AF40" w14:textId="77777777" w:rsidR="00334AC6" w:rsidRPr="00C25164" w:rsidRDefault="00334AC6" w:rsidP="00334AC6">
      <w:pPr>
        <w:pStyle w:val="FootnoteText"/>
        <w:rPr>
          <w:rFonts w:ascii="Arial" w:hAnsi="Arial" w:cs="Arial"/>
        </w:rPr>
      </w:pPr>
      <w:r w:rsidRPr="00A06359">
        <w:rPr>
          <w:rStyle w:val="FootnoteReference"/>
          <w:rFonts w:ascii="Arial" w:hAnsi="Arial" w:cs="Arial"/>
        </w:rPr>
        <w:footnoteRef/>
      </w:r>
      <w:r w:rsidRPr="00A06359">
        <w:rPr>
          <w:rFonts w:ascii="Arial" w:hAnsi="Arial" w:cs="Arial"/>
        </w:rPr>
        <w:t xml:space="preserve"> Neither a statutory requirement nor a non-statutory commitment. However, note that case law has established there is a need to be aware of CRPD in executive decision-making processes. See </w:t>
      </w:r>
      <w:r w:rsidRPr="00A06359">
        <w:rPr>
          <w:rStyle w:val="fncaseChar"/>
          <w:rFonts w:eastAsia="Calibri" w:cs="Arial"/>
        </w:rPr>
        <w:t>R (on the Application of Bracking and Others) v Secretary of State for Work and Pensions</w:t>
      </w:r>
      <w:r w:rsidRPr="00A06359">
        <w:rPr>
          <w:rFonts w:ascii="Arial" w:hAnsi="Arial" w:cs="Arial"/>
        </w:rPr>
        <w:t xml:space="preserve"> [2013] EWHC 897 (Admin), </w:t>
      </w:r>
      <w:r w:rsidRPr="00A06359">
        <w:rPr>
          <w:rStyle w:val="fncaseChar"/>
          <w:rFonts w:eastAsia="Calibri" w:cs="Arial"/>
        </w:rPr>
        <w:t>Bracking</w:t>
      </w:r>
      <w:r w:rsidRPr="00C25164">
        <w:rPr>
          <w:rStyle w:val="fncaseChar"/>
          <w:rFonts w:eastAsia="Calibri" w:cs="Arial"/>
        </w:rPr>
        <w:t xml:space="preserve"> and others v Secretary of State for Work and Pensions</w:t>
      </w:r>
      <w:r w:rsidRPr="00C25164">
        <w:rPr>
          <w:rFonts w:ascii="Arial" w:hAnsi="Arial" w:cs="Arial"/>
        </w:rPr>
        <w:t xml:space="preserve"> [2013] EWCA Civ 1345, and </w:t>
      </w:r>
      <w:r w:rsidRPr="00C25164">
        <w:rPr>
          <w:rStyle w:val="fncaseChar"/>
          <w:rFonts w:eastAsia="Calibri" w:cs="Arial"/>
        </w:rPr>
        <w:t>R (on the application of Aspinall, Pepper and others) v Secretary of State for Work and Pensions</w:t>
      </w:r>
      <w:r w:rsidRPr="00C25164">
        <w:rPr>
          <w:rFonts w:ascii="Arial" w:hAnsi="Arial" w:cs="Arial"/>
        </w:rPr>
        <w:t xml:space="preserve"> [2014] EWHC 4134 (Admin).</w:t>
      </w:r>
    </w:p>
  </w:footnote>
  <w:footnote w:id="4">
    <w:p w14:paraId="3F17DA94" w14:textId="3786DFB7" w:rsidR="00334AC6" w:rsidRPr="00847062" w:rsidRDefault="00334AC6" w:rsidP="00334AC6">
      <w:pPr>
        <w:shd w:val="clear" w:color="auto" w:fill="FFFFFF"/>
        <w:spacing w:after="0" w:line="240" w:lineRule="auto"/>
        <w:rPr>
          <w:rFonts w:ascii="Arial" w:hAnsi="Arial" w:cs="Arial"/>
          <w:color w:val="000000" w:themeColor="text1"/>
          <w:sz w:val="20"/>
          <w:szCs w:val="20"/>
        </w:rPr>
      </w:pPr>
      <w:r w:rsidRPr="00C25164">
        <w:rPr>
          <w:rStyle w:val="FootnoteReference"/>
          <w:rFonts w:ascii="Arial" w:hAnsi="Arial" w:cs="Arial"/>
          <w:sz w:val="20"/>
          <w:szCs w:val="20"/>
        </w:rPr>
        <w:footnoteRef/>
      </w:r>
      <w:r w:rsidRPr="00C25164">
        <w:rPr>
          <w:rFonts w:ascii="Arial" w:hAnsi="Arial" w:cs="Arial"/>
          <w:sz w:val="20"/>
          <w:szCs w:val="20"/>
        </w:rPr>
        <w:t xml:space="preserve"> Approaches that have enhanced the status of the Convention of the Rights of the Child (CRC) in domestic law include UK Government non-binding guidelines to give due consideration to the CRC when developing new policy or legislation. There are mixed results from this non-statutory approach. More effective mechanisms for incorporating the CRC include statutory instruments in Wales and Scotland, which place duties on Ministers. Early evidence suggests that these have made concrete differences to how legislation and policy is developed. See </w:t>
      </w:r>
      <w:hyperlink r:id="rId3" w:history="1">
        <w:r w:rsidRPr="00C25164">
          <w:rPr>
            <w:rStyle w:val="Hyperlink"/>
            <w:rFonts w:ascii="Arial" w:hAnsi="Arial" w:cs="Arial"/>
            <w:sz w:val="20"/>
            <w:szCs w:val="20"/>
          </w:rPr>
          <w:t>here</w:t>
        </w:r>
      </w:hyperlink>
      <w:r w:rsidR="00847062">
        <w:rPr>
          <w:rStyle w:val="Hyperlink"/>
          <w:rFonts w:ascii="Arial" w:hAnsi="Arial" w:cs="Arial"/>
          <w:sz w:val="20"/>
          <w:szCs w:val="20"/>
          <w:u w:val="none"/>
        </w:rPr>
        <w:t xml:space="preserve"> </w:t>
      </w:r>
      <w:r w:rsidR="00847062">
        <w:rPr>
          <w:rStyle w:val="Hyperlink"/>
          <w:rFonts w:ascii="Arial" w:hAnsi="Arial" w:cs="Arial"/>
          <w:color w:val="000000" w:themeColor="text1"/>
          <w:sz w:val="20"/>
          <w:szCs w:val="20"/>
          <w:u w:val="none"/>
        </w:rPr>
        <w:t>[accessed 29 November 2016].</w:t>
      </w:r>
    </w:p>
  </w:footnote>
  <w:footnote w:id="5">
    <w:p w14:paraId="11293FAD" w14:textId="3613F54D" w:rsidR="00334AC6" w:rsidRPr="00C25164" w:rsidRDefault="00334AC6" w:rsidP="00334AC6">
      <w:pPr>
        <w:pStyle w:val="FootnoteText"/>
        <w:rPr>
          <w:rFonts w:ascii="Arial" w:hAnsi="Arial" w:cs="Arial"/>
        </w:rPr>
      </w:pPr>
      <w:r w:rsidRPr="00C25164">
        <w:rPr>
          <w:rStyle w:val="FootnoteReference"/>
          <w:rFonts w:ascii="Arial" w:hAnsi="Arial" w:cs="Arial"/>
        </w:rPr>
        <w:footnoteRef/>
      </w:r>
      <w:r w:rsidRPr="00C25164">
        <w:rPr>
          <w:rFonts w:ascii="Arial" w:hAnsi="Arial" w:cs="Arial"/>
        </w:rPr>
        <w:t xml:space="preserve"> EHRC (April 2016) </w:t>
      </w:r>
      <w:r w:rsidR="00A43150">
        <w:rPr>
          <w:rFonts w:ascii="Arial" w:hAnsi="Arial" w:cs="Arial"/>
        </w:rPr>
        <w:t>‘</w:t>
      </w:r>
      <w:r w:rsidRPr="00C25164">
        <w:rPr>
          <w:rFonts w:ascii="Arial" w:hAnsi="Arial" w:cs="Arial"/>
        </w:rPr>
        <w:t>Socio-economic rights in the UK: updated submission to the UN CESCR in advance of the public examination e</w:t>
      </w:r>
      <w:r w:rsidR="00287180">
        <w:rPr>
          <w:rFonts w:ascii="Arial" w:hAnsi="Arial" w:cs="Arial"/>
        </w:rPr>
        <w:t>ntation of ICESCR</w:t>
      </w:r>
      <w:r w:rsidR="00A43150">
        <w:rPr>
          <w:rFonts w:ascii="Arial" w:hAnsi="Arial" w:cs="Arial"/>
        </w:rPr>
        <w:t>’</w:t>
      </w:r>
      <w:r w:rsidR="00287180">
        <w:rPr>
          <w:rFonts w:ascii="Arial" w:hAnsi="Arial" w:cs="Arial"/>
        </w:rPr>
        <w:t xml:space="preserve">, available </w:t>
      </w:r>
      <w:hyperlink r:id="rId4" w:history="1">
        <w:r w:rsidR="00287180" w:rsidRPr="00847062">
          <w:rPr>
            <w:rStyle w:val="Hyperlink"/>
            <w:rFonts w:ascii="Arial" w:hAnsi="Arial" w:cs="Arial"/>
          </w:rPr>
          <w:t>here</w:t>
        </w:r>
      </w:hyperlink>
      <w:r w:rsidR="00847062">
        <w:rPr>
          <w:rFonts w:ascii="Arial" w:hAnsi="Arial" w:cs="Arial"/>
        </w:rPr>
        <w:t xml:space="preserve"> </w:t>
      </w:r>
      <w:r w:rsidR="00847062">
        <w:rPr>
          <w:rStyle w:val="Hyperlink"/>
          <w:rFonts w:ascii="Arial" w:hAnsi="Arial" w:cs="Arial"/>
          <w:color w:val="000000" w:themeColor="text1"/>
          <w:u w:val="none"/>
        </w:rPr>
        <w:t>[accessed 29 November 2016].</w:t>
      </w:r>
      <w:r w:rsidRPr="00C25164">
        <w:rPr>
          <w:rFonts w:ascii="Arial" w:hAnsi="Arial" w:cs="Arial"/>
        </w:rPr>
        <w:t xml:space="preserve"> </w:t>
      </w:r>
    </w:p>
    <w:p w14:paraId="767C9681" w14:textId="1373AE4C" w:rsidR="00334AC6" w:rsidRPr="00C25164" w:rsidRDefault="00334AC6" w:rsidP="00334AC6">
      <w:pPr>
        <w:pStyle w:val="FootnoteText"/>
        <w:rPr>
          <w:rFonts w:ascii="Arial" w:hAnsi="Arial" w:cs="Arial"/>
        </w:rPr>
      </w:pPr>
      <w:r w:rsidRPr="00C25164">
        <w:rPr>
          <w:rFonts w:ascii="Arial" w:hAnsi="Arial" w:cs="Arial"/>
        </w:rPr>
        <w:t>See also the EHRC’s letter to the Secretary for Work and Pensions on the Welfare Reform and Work Bill, 1</w:t>
      </w:r>
      <w:r w:rsidR="00287180">
        <w:rPr>
          <w:rFonts w:ascii="Arial" w:hAnsi="Arial" w:cs="Arial"/>
        </w:rPr>
        <w:t xml:space="preserve">6 September 2015, available </w:t>
      </w:r>
      <w:hyperlink r:id="rId5" w:history="1">
        <w:r w:rsidR="00287180" w:rsidRPr="00287180">
          <w:rPr>
            <w:rStyle w:val="Hyperlink"/>
            <w:rFonts w:ascii="Arial" w:hAnsi="Arial" w:cs="Arial"/>
          </w:rPr>
          <w:t>here</w:t>
        </w:r>
      </w:hyperlink>
      <w:r w:rsidR="00B53C28">
        <w:rPr>
          <w:rStyle w:val="Hyperlink"/>
          <w:rFonts w:ascii="Arial" w:hAnsi="Arial" w:cs="Arial"/>
          <w:u w:val="none"/>
        </w:rPr>
        <w:t xml:space="preserve"> </w:t>
      </w:r>
      <w:r w:rsidR="00B53C28">
        <w:rPr>
          <w:rStyle w:val="Hyperlink"/>
          <w:rFonts w:ascii="Arial" w:hAnsi="Arial" w:cs="Arial"/>
          <w:color w:val="000000" w:themeColor="text1"/>
          <w:u w:val="none"/>
        </w:rPr>
        <w:t>[accessed 29 November 2016].</w:t>
      </w:r>
      <w:r w:rsidRPr="00C25164">
        <w:rPr>
          <w:rFonts w:ascii="Arial" w:hAnsi="Arial" w:cs="Arial"/>
        </w:rPr>
        <w:t xml:space="preserve"> </w:t>
      </w:r>
    </w:p>
  </w:footnote>
  <w:footnote w:id="6">
    <w:p w14:paraId="24A6B7B8" w14:textId="2A05B23E" w:rsidR="00334AC6" w:rsidRPr="00592B1A" w:rsidRDefault="00334AC6" w:rsidP="00334AC6">
      <w:pPr>
        <w:pStyle w:val="FootnoteText"/>
        <w:rPr>
          <w:rFonts w:ascii="Arial" w:hAnsi="Arial" w:cs="Arial"/>
        </w:rPr>
      </w:pPr>
      <w:r w:rsidRPr="00C25164">
        <w:rPr>
          <w:rStyle w:val="FootnoteReference"/>
          <w:rFonts w:ascii="Arial" w:hAnsi="Arial" w:cs="Arial"/>
        </w:rPr>
        <w:footnoteRef/>
      </w:r>
      <w:r w:rsidRPr="00C25164">
        <w:rPr>
          <w:rFonts w:ascii="Arial" w:hAnsi="Arial" w:cs="Arial"/>
        </w:rPr>
        <w:t xml:space="preserve"> Special Rapporteurs’ Joint communication to the UK Government on the Welfare Reform and Work Act, Ref: AL GBR 1/2016, </w:t>
      </w:r>
      <w:r w:rsidR="00287180">
        <w:rPr>
          <w:rFonts w:ascii="Arial" w:hAnsi="Arial" w:cs="Arial"/>
        </w:rPr>
        <w:t xml:space="preserve">08/04/2016, p. 39, available </w:t>
      </w:r>
      <w:hyperlink r:id="rId6" w:history="1">
        <w:r w:rsidR="00287180" w:rsidRPr="00287180">
          <w:rPr>
            <w:rStyle w:val="Hyperlink"/>
            <w:rFonts w:ascii="Arial" w:hAnsi="Arial" w:cs="Arial"/>
          </w:rPr>
          <w:t>here</w:t>
        </w:r>
      </w:hyperlink>
      <w:r w:rsidR="007D45BE">
        <w:rPr>
          <w:rFonts w:ascii="Arial" w:hAnsi="Arial" w:cs="Arial"/>
        </w:rPr>
        <w:t xml:space="preserve"> </w:t>
      </w:r>
      <w:r w:rsidR="007D45BE">
        <w:rPr>
          <w:rStyle w:val="Hyperlink"/>
          <w:rFonts w:ascii="Arial" w:hAnsi="Arial" w:cs="Arial"/>
          <w:color w:val="000000" w:themeColor="text1"/>
          <w:u w:val="none"/>
        </w:rPr>
        <w:t>[accessed 29 November 2016].</w:t>
      </w:r>
      <w:r w:rsidRPr="00C25164">
        <w:rPr>
          <w:rFonts w:ascii="Arial" w:hAnsi="Arial" w:cs="Arial"/>
        </w:rPr>
        <w:t xml:space="preserve"> </w:t>
      </w:r>
    </w:p>
  </w:footnote>
  <w:footnote w:id="7">
    <w:p w14:paraId="32F5E734" w14:textId="2299B623" w:rsidR="00292716" w:rsidRDefault="00292716">
      <w:pPr>
        <w:pStyle w:val="FootnoteText"/>
      </w:pPr>
      <w:r>
        <w:rPr>
          <w:rStyle w:val="FootnoteReference"/>
        </w:rPr>
        <w:footnoteRef/>
      </w:r>
      <w:r>
        <w:t xml:space="preserve"> </w:t>
      </w:r>
      <w:r w:rsidRPr="00A06359">
        <w:rPr>
          <w:rFonts w:ascii="Arial" w:hAnsi="Arial" w:cs="Arial"/>
        </w:rPr>
        <w:t xml:space="preserve">CRPD Committee (2016) Inquiry concerning the </w:t>
      </w:r>
      <w:r>
        <w:rPr>
          <w:rFonts w:ascii="Arial" w:hAnsi="Arial" w:cs="Arial"/>
        </w:rPr>
        <w:t>UK</w:t>
      </w:r>
      <w:r w:rsidRPr="00A06359">
        <w:rPr>
          <w:rFonts w:ascii="Arial" w:hAnsi="Arial" w:cs="Arial"/>
        </w:rPr>
        <w:t xml:space="preserve"> carried out by the Committee under article 6 of the Optional Protocol to the Con</w:t>
      </w:r>
      <w:r w:rsidR="00C73958">
        <w:rPr>
          <w:rFonts w:ascii="Arial" w:hAnsi="Arial" w:cs="Arial"/>
        </w:rPr>
        <w:t>vention, Report</w:t>
      </w:r>
      <w:r w:rsidRPr="00A06359">
        <w:rPr>
          <w:rFonts w:ascii="Arial" w:hAnsi="Arial" w:cs="Arial"/>
        </w:rPr>
        <w:t xml:space="preserve">, p. 21, available </w:t>
      </w:r>
      <w:hyperlink r:id="rId7" w:history="1">
        <w:r w:rsidRPr="00A06359">
          <w:rPr>
            <w:rStyle w:val="Hyperlink"/>
            <w:rFonts w:ascii="Arial" w:hAnsi="Arial" w:cs="Arial"/>
          </w:rPr>
          <w:t>here</w:t>
        </w:r>
      </w:hyperlink>
      <w:r w:rsidRPr="00A06359">
        <w:rPr>
          <w:rFonts w:ascii="Arial" w:hAnsi="Arial" w:cs="Arial"/>
        </w:rPr>
        <w:t xml:space="preserve"> [accessed 10 </w:t>
      </w:r>
      <w:r w:rsidRPr="002C2E6A">
        <w:rPr>
          <w:rFonts w:ascii="Arial" w:hAnsi="Arial" w:cs="Arial"/>
        </w:rPr>
        <w:t>November 2016].</w:t>
      </w:r>
    </w:p>
  </w:footnote>
  <w:footnote w:id="8">
    <w:p w14:paraId="289A56FB" w14:textId="0DBA3FA2" w:rsidR="00292716" w:rsidRDefault="00292716">
      <w:pPr>
        <w:pStyle w:val="FootnoteText"/>
      </w:pPr>
      <w:r>
        <w:rPr>
          <w:rStyle w:val="FootnoteReference"/>
        </w:rPr>
        <w:footnoteRef/>
      </w:r>
      <w:r>
        <w:t xml:space="preserve"> </w:t>
      </w:r>
      <w:r w:rsidRPr="002C2E6A">
        <w:rPr>
          <w:rFonts w:ascii="Arial" w:hAnsi="Arial" w:cs="Arial"/>
        </w:rPr>
        <w:t xml:space="preserve">UK Government (2016) Response to </w:t>
      </w:r>
      <w:r w:rsidR="00C73958">
        <w:rPr>
          <w:rFonts w:ascii="Arial" w:hAnsi="Arial" w:cs="Arial"/>
        </w:rPr>
        <w:t>the Report by the UN</w:t>
      </w:r>
      <w:r w:rsidRPr="002C2E6A">
        <w:rPr>
          <w:rFonts w:ascii="Arial" w:hAnsi="Arial" w:cs="Arial"/>
        </w:rPr>
        <w:t xml:space="preserve"> Committee on the Rights of Persons with Disabilities under article 6 of the Optional Protocol to the Convention, </w:t>
      </w:r>
      <w:r>
        <w:rPr>
          <w:rFonts w:ascii="Arial" w:hAnsi="Arial" w:cs="Arial"/>
        </w:rPr>
        <w:t xml:space="preserve">p. 25, </w:t>
      </w:r>
      <w:r w:rsidRPr="002C2E6A">
        <w:rPr>
          <w:rFonts w:ascii="Arial" w:hAnsi="Arial" w:cs="Arial"/>
        </w:rPr>
        <w:t xml:space="preserve">available </w:t>
      </w:r>
      <w:hyperlink r:id="rId8" w:history="1">
        <w:r w:rsidRPr="002C2E6A">
          <w:rPr>
            <w:rStyle w:val="Hyperlink"/>
            <w:rFonts w:ascii="Arial" w:hAnsi="Arial" w:cs="Arial"/>
          </w:rPr>
          <w:t>here</w:t>
        </w:r>
      </w:hyperlink>
      <w:r w:rsidRPr="002C2E6A">
        <w:rPr>
          <w:rFonts w:ascii="Arial" w:hAnsi="Arial" w:cs="Arial"/>
        </w:rPr>
        <w:t xml:space="preserve"> [accessed 20 November 2016].</w:t>
      </w:r>
    </w:p>
  </w:footnote>
  <w:footnote w:id="9">
    <w:p w14:paraId="2AE2D434" w14:textId="67F7617E" w:rsidR="00334AC6" w:rsidRPr="000E0D4B" w:rsidRDefault="00334AC6" w:rsidP="00334AC6">
      <w:pPr>
        <w:pStyle w:val="FootnoteText"/>
        <w:rPr>
          <w:rFonts w:ascii="Arial" w:hAnsi="Arial" w:cs="Arial"/>
          <w:color w:val="000000" w:themeColor="text1"/>
        </w:rPr>
      </w:pPr>
      <w:r w:rsidRPr="00B00B21">
        <w:rPr>
          <w:rStyle w:val="FootnoteReference"/>
          <w:rFonts w:ascii="Arial" w:hAnsi="Arial" w:cs="Arial"/>
        </w:rPr>
        <w:footnoteRef/>
      </w:r>
      <w:r w:rsidRPr="00B00B21">
        <w:rPr>
          <w:rFonts w:ascii="Arial" w:hAnsi="Arial" w:cs="Arial"/>
        </w:rPr>
        <w:t xml:space="preserve"> Reed, H. and Portes, J. (2014)</w:t>
      </w:r>
      <w:r w:rsidR="00A43150">
        <w:rPr>
          <w:rFonts w:ascii="Arial" w:hAnsi="Arial" w:cs="Arial"/>
        </w:rPr>
        <w:t>,</w:t>
      </w:r>
      <w:r w:rsidRPr="00B00B21">
        <w:rPr>
          <w:rFonts w:ascii="Arial" w:hAnsi="Arial" w:cs="Arial"/>
        </w:rPr>
        <w:t xml:space="preserve"> </w:t>
      </w:r>
      <w:r w:rsidR="00A43150">
        <w:rPr>
          <w:rFonts w:ascii="Arial" w:hAnsi="Arial" w:cs="Arial"/>
        </w:rPr>
        <w:t>‘</w:t>
      </w:r>
      <w:r w:rsidRPr="000E0D4B">
        <w:rPr>
          <w:rFonts w:ascii="Arial" w:hAnsi="Arial" w:cs="Arial"/>
        </w:rPr>
        <w:t>Cumulative Impact Assessment: A Research Report by Landman Economics and NIESR for the Equality and Human Rights Commission</w:t>
      </w:r>
      <w:r w:rsidR="00A43150">
        <w:rPr>
          <w:rFonts w:ascii="Arial" w:hAnsi="Arial" w:cs="Arial"/>
        </w:rPr>
        <w:t>’,</w:t>
      </w:r>
      <w:r w:rsidRPr="00B00B21">
        <w:rPr>
          <w:rFonts w:ascii="Arial" w:hAnsi="Arial" w:cs="Arial"/>
          <w:i/>
        </w:rPr>
        <w:t xml:space="preserve"> </w:t>
      </w:r>
      <w:r w:rsidR="00287180">
        <w:rPr>
          <w:rFonts w:ascii="Arial" w:hAnsi="Arial" w:cs="Arial"/>
        </w:rPr>
        <w:t xml:space="preserve">available </w:t>
      </w:r>
      <w:hyperlink r:id="rId9" w:history="1">
        <w:r w:rsidR="00287180" w:rsidRPr="006A520E">
          <w:rPr>
            <w:rStyle w:val="Hyperlink"/>
            <w:rFonts w:ascii="Arial" w:hAnsi="Arial" w:cs="Arial"/>
          </w:rPr>
          <w:t>here</w:t>
        </w:r>
      </w:hyperlink>
      <w:r w:rsidR="000E0D4B">
        <w:rPr>
          <w:rStyle w:val="Hyperlink"/>
          <w:rFonts w:ascii="Arial" w:hAnsi="Arial" w:cs="Arial"/>
          <w:color w:val="000000" w:themeColor="text1"/>
          <w:u w:val="none"/>
        </w:rPr>
        <w:t xml:space="preserve"> [accessed 30 November 2016].</w:t>
      </w:r>
    </w:p>
  </w:footnote>
  <w:footnote w:id="10">
    <w:p w14:paraId="5AF397DF" w14:textId="77777777" w:rsidR="00334AC6" w:rsidRPr="00B00B21" w:rsidRDefault="00334AC6" w:rsidP="00334AC6">
      <w:pPr>
        <w:pStyle w:val="FootnoteText"/>
        <w:rPr>
          <w:rFonts w:ascii="Arial" w:hAnsi="Arial" w:cs="Arial"/>
        </w:rPr>
      </w:pPr>
      <w:r w:rsidRPr="00B00B21">
        <w:rPr>
          <w:rStyle w:val="FootnoteReference"/>
          <w:rFonts w:ascii="Arial" w:hAnsi="Arial" w:cs="Arial"/>
        </w:rPr>
        <w:footnoteRef/>
      </w:r>
      <w:r w:rsidRPr="00B00B21">
        <w:rPr>
          <w:rFonts w:ascii="Arial" w:hAnsi="Arial" w:cs="Arial"/>
        </w:rPr>
        <w:t xml:space="preserve"> The Public Sector Equality Duty in s149 of the Equality Act 2010 is applicable to public bodies in England, Scotland and Wales. The Statutory Duties under s75 of the Northern Ireland Act 1998 are applicable to Northern Ireland.</w:t>
      </w:r>
    </w:p>
  </w:footnote>
  <w:footnote w:id="11">
    <w:p w14:paraId="4E161CB4" w14:textId="50585666" w:rsidR="00334AC6" w:rsidRPr="00B00B21" w:rsidRDefault="00334AC6" w:rsidP="00334AC6">
      <w:pPr>
        <w:pStyle w:val="FootnoteText"/>
        <w:rPr>
          <w:rFonts w:ascii="Arial" w:hAnsi="Arial" w:cs="Arial"/>
        </w:rPr>
      </w:pPr>
      <w:r w:rsidRPr="00B00B21">
        <w:rPr>
          <w:rStyle w:val="FootnoteReference"/>
          <w:rFonts w:ascii="Arial" w:hAnsi="Arial" w:cs="Arial"/>
        </w:rPr>
        <w:footnoteRef/>
      </w:r>
      <w:r w:rsidRPr="00B00B21">
        <w:rPr>
          <w:rFonts w:ascii="Arial" w:hAnsi="Arial" w:cs="Arial"/>
        </w:rPr>
        <w:t xml:space="preserve"> Social Security Advisory Committee (April 2014)</w:t>
      </w:r>
      <w:r w:rsidR="00A43150">
        <w:rPr>
          <w:rFonts w:ascii="Arial" w:hAnsi="Arial" w:cs="Arial"/>
        </w:rPr>
        <w:t>,</w:t>
      </w:r>
      <w:r w:rsidRPr="00B00B21">
        <w:rPr>
          <w:rFonts w:ascii="Arial" w:hAnsi="Arial" w:cs="Arial"/>
        </w:rPr>
        <w:t xml:space="preserve"> </w:t>
      </w:r>
      <w:r w:rsidR="00A43150">
        <w:rPr>
          <w:rFonts w:ascii="Arial" w:hAnsi="Arial" w:cs="Arial"/>
        </w:rPr>
        <w:t>‘</w:t>
      </w:r>
      <w:r w:rsidRPr="000E0D4B">
        <w:rPr>
          <w:rFonts w:ascii="Arial" w:hAnsi="Arial" w:cs="Arial"/>
        </w:rPr>
        <w:t>The Cumulative Impact of Welfare Reform: a commentary, A study by the Social Security Advisory Committee</w:t>
      </w:r>
      <w:r w:rsidR="00A43150">
        <w:rPr>
          <w:rFonts w:ascii="Arial" w:hAnsi="Arial" w:cs="Arial"/>
        </w:rPr>
        <w:t>’</w:t>
      </w:r>
      <w:r w:rsidRPr="000E0D4B">
        <w:rPr>
          <w:rFonts w:ascii="Arial" w:hAnsi="Arial" w:cs="Arial"/>
        </w:rPr>
        <w:t>, Occasional Paper No.12</w:t>
      </w:r>
      <w:r w:rsidR="00287180">
        <w:rPr>
          <w:rFonts w:ascii="Arial" w:hAnsi="Arial" w:cs="Arial"/>
        </w:rPr>
        <w:t>, p</w:t>
      </w:r>
      <w:r w:rsidR="00A43150">
        <w:rPr>
          <w:rFonts w:ascii="Arial" w:hAnsi="Arial" w:cs="Arial"/>
        </w:rPr>
        <w:t xml:space="preserve">. </w:t>
      </w:r>
      <w:r w:rsidR="00287180">
        <w:rPr>
          <w:rFonts w:ascii="Arial" w:hAnsi="Arial" w:cs="Arial"/>
        </w:rPr>
        <w:t xml:space="preserve">27 available </w:t>
      </w:r>
      <w:hyperlink r:id="rId10" w:history="1">
        <w:r w:rsidR="00287180" w:rsidRPr="00287180">
          <w:rPr>
            <w:rStyle w:val="Hyperlink"/>
            <w:rFonts w:ascii="Arial" w:hAnsi="Arial" w:cs="Arial"/>
          </w:rPr>
          <w:t>here</w:t>
        </w:r>
      </w:hyperlink>
      <w:r w:rsidR="000E0D4B" w:rsidRPr="000E0D4B">
        <w:rPr>
          <w:rStyle w:val="Hyperlink"/>
          <w:rFonts w:ascii="Arial" w:hAnsi="Arial" w:cs="Arial"/>
          <w:u w:val="none"/>
        </w:rPr>
        <w:t xml:space="preserve"> </w:t>
      </w:r>
      <w:r w:rsidR="000E0D4B">
        <w:rPr>
          <w:rStyle w:val="Hyperlink"/>
          <w:rFonts w:ascii="Arial" w:hAnsi="Arial" w:cs="Arial"/>
          <w:color w:val="000000" w:themeColor="text1"/>
          <w:u w:val="none"/>
        </w:rPr>
        <w:t>[accessed 30 November 2016].</w:t>
      </w:r>
      <w:r w:rsidRPr="00B00B21">
        <w:rPr>
          <w:rFonts w:ascii="Arial" w:hAnsi="Arial" w:cs="Arial"/>
        </w:rPr>
        <w:t xml:space="preserve"> </w:t>
      </w:r>
    </w:p>
  </w:footnote>
  <w:footnote w:id="12">
    <w:p w14:paraId="6BDEFFB2" w14:textId="13DFA107" w:rsidR="006C6F59" w:rsidRPr="00FA5098" w:rsidRDefault="006C6F59" w:rsidP="006C6F59">
      <w:pPr>
        <w:pStyle w:val="FootnoteText"/>
        <w:rPr>
          <w:rFonts w:ascii="Arial" w:hAnsi="Arial" w:cs="Arial"/>
          <w:color w:val="000000" w:themeColor="text1"/>
        </w:rPr>
      </w:pPr>
      <w:r w:rsidRPr="00B00B21">
        <w:rPr>
          <w:rStyle w:val="FootnoteReference"/>
          <w:rFonts w:ascii="Arial" w:hAnsi="Arial" w:cs="Arial"/>
        </w:rPr>
        <w:footnoteRef/>
      </w:r>
      <w:r w:rsidRPr="00B00B21">
        <w:rPr>
          <w:rFonts w:ascii="Arial" w:hAnsi="Arial" w:cs="Arial"/>
        </w:rPr>
        <w:t xml:space="preserve"> CESCR (2016)</w:t>
      </w:r>
      <w:r>
        <w:rPr>
          <w:rFonts w:ascii="Arial" w:hAnsi="Arial" w:cs="Arial"/>
        </w:rPr>
        <w:t>,</w:t>
      </w:r>
      <w:r w:rsidRPr="00B00B21">
        <w:rPr>
          <w:rFonts w:ascii="Arial" w:hAnsi="Arial" w:cs="Arial"/>
        </w:rPr>
        <w:t xml:space="preserve"> </w:t>
      </w:r>
      <w:r>
        <w:rPr>
          <w:rFonts w:ascii="Arial" w:hAnsi="Arial" w:cs="Arial"/>
        </w:rPr>
        <w:t>‘</w:t>
      </w:r>
      <w:r w:rsidRPr="00B00B21">
        <w:rPr>
          <w:rFonts w:ascii="Arial" w:hAnsi="Arial" w:cs="Arial"/>
        </w:rPr>
        <w:t>Concluding observations on the sixth periodic report of the United Kingdom of Great Britain and Northern Ireland</w:t>
      </w:r>
      <w:r>
        <w:rPr>
          <w:rFonts w:ascii="Arial" w:hAnsi="Arial" w:cs="Arial"/>
        </w:rPr>
        <w:t>’</w:t>
      </w:r>
      <w:r w:rsidRPr="00B00B21">
        <w:rPr>
          <w:rFonts w:ascii="Arial" w:hAnsi="Arial" w:cs="Arial"/>
        </w:rPr>
        <w:t xml:space="preserve">, </w:t>
      </w:r>
      <w:r>
        <w:rPr>
          <w:rFonts w:ascii="Arial" w:hAnsi="Arial" w:cs="Arial"/>
        </w:rPr>
        <w:t xml:space="preserve">paras 18-19, </w:t>
      </w:r>
      <w:r w:rsidRPr="00B00B21">
        <w:rPr>
          <w:rFonts w:ascii="Arial" w:hAnsi="Arial" w:cs="Arial"/>
        </w:rPr>
        <w:t>avai</w:t>
      </w:r>
      <w:r>
        <w:rPr>
          <w:rFonts w:ascii="Arial" w:hAnsi="Arial" w:cs="Arial"/>
        </w:rPr>
        <w:t xml:space="preserve">lable </w:t>
      </w:r>
      <w:hyperlink r:id="rId11" w:history="1">
        <w:r w:rsidRPr="00287180">
          <w:rPr>
            <w:rStyle w:val="Hyperlink"/>
            <w:rFonts w:ascii="Arial" w:hAnsi="Arial" w:cs="Arial"/>
          </w:rPr>
          <w:t>here</w:t>
        </w:r>
      </w:hyperlink>
      <w:r>
        <w:rPr>
          <w:rStyle w:val="Hyperlink"/>
          <w:rFonts w:ascii="Arial" w:hAnsi="Arial" w:cs="Arial"/>
          <w:color w:val="000000" w:themeColor="text1"/>
          <w:u w:val="none"/>
        </w:rPr>
        <w:t xml:space="preserve"> [accessed 30 November 2016].</w:t>
      </w:r>
    </w:p>
  </w:footnote>
  <w:footnote w:id="13">
    <w:p w14:paraId="4ECF5C96" w14:textId="2E06E21F" w:rsidR="00BF7012" w:rsidRDefault="00BF7012">
      <w:pPr>
        <w:pStyle w:val="FootnoteText"/>
      </w:pPr>
      <w:r>
        <w:rPr>
          <w:rStyle w:val="FootnoteReference"/>
        </w:rPr>
        <w:footnoteRef/>
      </w:r>
      <w:r>
        <w:t xml:space="preserve"> </w:t>
      </w:r>
      <w:r w:rsidRPr="00A06359">
        <w:rPr>
          <w:rFonts w:ascii="Arial" w:hAnsi="Arial" w:cs="Arial"/>
        </w:rPr>
        <w:t xml:space="preserve">CRPD Committee (2016) Inquiry concerning the </w:t>
      </w:r>
      <w:r>
        <w:rPr>
          <w:rFonts w:ascii="Arial" w:hAnsi="Arial" w:cs="Arial"/>
        </w:rPr>
        <w:t>UK</w:t>
      </w:r>
      <w:r w:rsidRPr="00A06359">
        <w:rPr>
          <w:rFonts w:ascii="Arial" w:hAnsi="Arial" w:cs="Arial"/>
        </w:rPr>
        <w:t xml:space="preserve"> carried out by the Committee under article 6 of the Optional Protocol to the Co</w:t>
      </w:r>
      <w:r w:rsidR="00C73958">
        <w:rPr>
          <w:rFonts w:ascii="Arial" w:hAnsi="Arial" w:cs="Arial"/>
        </w:rPr>
        <w:t>nvention, Report</w:t>
      </w:r>
      <w:r w:rsidRPr="00A06359">
        <w:rPr>
          <w:rFonts w:ascii="Arial" w:hAnsi="Arial" w:cs="Arial"/>
        </w:rPr>
        <w:t xml:space="preserve">, p. 21, available </w:t>
      </w:r>
      <w:hyperlink r:id="rId12" w:history="1">
        <w:r w:rsidRPr="00A06359">
          <w:rPr>
            <w:rStyle w:val="Hyperlink"/>
            <w:rFonts w:ascii="Arial" w:hAnsi="Arial" w:cs="Arial"/>
          </w:rPr>
          <w:t>here</w:t>
        </w:r>
      </w:hyperlink>
      <w:r w:rsidRPr="00A06359">
        <w:rPr>
          <w:rFonts w:ascii="Arial" w:hAnsi="Arial" w:cs="Arial"/>
        </w:rPr>
        <w:t xml:space="preserve"> [accessed 10 </w:t>
      </w:r>
      <w:r w:rsidRPr="002C2E6A">
        <w:rPr>
          <w:rFonts w:ascii="Arial" w:hAnsi="Arial" w:cs="Arial"/>
        </w:rPr>
        <w:t>November 2016].</w:t>
      </w:r>
    </w:p>
  </w:footnote>
  <w:footnote w:id="14">
    <w:p w14:paraId="61B0A540" w14:textId="33FEA5EB" w:rsidR="00BF7012" w:rsidRDefault="00BF7012">
      <w:pPr>
        <w:pStyle w:val="FootnoteText"/>
      </w:pPr>
      <w:r>
        <w:rPr>
          <w:rStyle w:val="FootnoteReference"/>
        </w:rPr>
        <w:footnoteRef/>
      </w:r>
      <w:r>
        <w:t xml:space="preserve"> </w:t>
      </w:r>
      <w:r w:rsidRPr="002C2E6A">
        <w:rPr>
          <w:rFonts w:ascii="Arial" w:hAnsi="Arial" w:cs="Arial"/>
        </w:rPr>
        <w:t xml:space="preserve">UK Government (2016) Response to </w:t>
      </w:r>
      <w:r w:rsidR="00C73958">
        <w:rPr>
          <w:rFonts w:ascii="Arial" w:hAnsi="Arial" w:cs="Arial"/>
        </w:rPr>
        <w:t>the Report by the UN</w:t>
      </w:r>
      <w:r w:rsidRPr="002C2E6A">
        <w:rPr>
          <w:rFonts w:ascii="Arial" w:hAnsi="Arial" w:cs="Arial"/>
        </w:rPr>
        <w:t xml:space="preserve"> Committee on the Rights of Persons with Disabilities under article 6 of the Optional Protocol to the Convention, </w:t>
      </w:r>
      <w:r>
        <w:rPr>
          <w:rFonts w:ascii="Arial" w:hAnsi="Arial" w:cs="Arial"/>
        </w:rPr>
        <w:t xml:space="preserve">p. 26, </w:t>
      </w:r>
      <w:r w:rsidRPr="002C2E6A">
        <w:rPr>
          <w:rFonts w:ascii="Arial" w:hAnsi="Arial" w:cs="Arial"/>
        </w:rPr>
        <w:t xml:space="preserve">available </w:t>
      </w:r>
      <w:hyperlink r:id="rId13" w:history="1">
        <w:r w:rsidRPr="002C2E6A">
          <w:rPr>
            <w:rStyle w:val="Hyperlink"/>
            <w:rFonts w:ascii="Arial" w:hAnsi="Arial" w:cs="Arial"/>
          </w:rPr>
          <w:t>here</w:t>
        </w:r>
      </w:hyperlink>
      <w:r w:rsidRPr="002C2E6A">
        <w:rPr>
          <w:rFonts w:ascii="Arial" w:hAnsi="Arial" w:cs="Arial"/>
        </w:rPr>
        <w:t xml:space="preserve"> [accessed 20 November 2016].</w:t>
      </w:r>
    </w:p>
  </w:footnote>
  <w:footnote w:id="15">
    <w:p w14:paraId="68D021A1" w14:textId="77777777" w:rsidR="00334AC6" w:rsidRPr="007414F6" w:rsidRDefault="00334AC6" w:rsidP="00334AC6">
      <w:pPr>
        <w:pStyle w:val="FootnoteText"/>
        <w:rPr>
          <w:rFonts w:ascii="Arial" w:hAnsi="Arial" w:cs="Arial"/>
        </w:rPr>
      </w:pPr>
      <w:r w:rsidRPr="007414F6">
        <w:rPr>
          <w:rStyle w:val="FootnoteReference"/>
          <w:rFonts w:ascii="Arial" w:hAnsi="Arial" w:cs="Arial"/>
        </w:rPr>
        <w:footnoteRef/>
      </w:r>
      <w:r w:rsidRPr="007414F6">
        <w:rPr>
          <w:rFonts w:ascii="Arial" w:hAnsi="Arial" w:cs="Arial"/>
        </w:rPr>
        <w:t xml:space="preserve"> CESCR, General Comment No. 19: the right to social security (Article 9), para 9, available </w:t>
      </w:r>
      <w:hyperlink r:id="rId14" w:history="1">
        <w:r w:rsidR="00C54CA3" w:rsidRPr="00C54CA3">
          <w:rPr>
            <w:rStyle w:val="Hyperlink"/>
            <w:rFonts w:ascii="Arial" w:hAnsi="Arial" w:cs="Arial"/>
          </w:rPr>
          <w:t>here.</w:t>
        </w:r>
      </w:hyperlink>
    </w:p>
  </w:footnote>
  <w:footnote w:id="16">
    <w:p w14:paraId="13A70258" w14:textId="77777777" w:rsidR="00334AC6" w:rsidRDefault="00334AC6" w:rsidP="00334AC6">
      <w:pPr>
        <w:pStyle w:val="FootnoteText"/>
      </w:pPr>
      <w:r>
        <w:rPr>
          <w:rStyle w:val="FootnoteReference"/>
        </w:rPr>
        <w:footnoteRef/>
      </w:r>
      <w:r>
        <w:t xml:space="preserve"> </w:t>
      </w:r>
      <w:r>
        <w:rPr>
          <w:rFonts w:ascii="Arial" w:hAnsi="Arial" w:cs="Arial"/>
        </w:rPr>
        <w:t>Special Rapporteurs’</w:t>
      </w:r>
      <w:r w:rsidRPr="003034D9">
        <w:rPr>
          <w:rFonts w:ascii="Arial" w:hAnsi="Arial" w:cs="Arial"/>
        </w:rPr>
        <w:t xml:space="preserve"> Joint communication to the UK Government on the Welfare Reform and Work Act, Ref: AL GBR 1/2016, 08/04/2016, </w:t>
      </w:r>
      <w:r>
        <w:rPr>
          <w:rFonts w:ascii="Arial" w:hAnsi="Arial" w:cs="Arial"/>
        </w:rPr>
        <w:t xml:space="preserve">p. 39, </w:t>
      </w:r>
      <w:r w:rsidR="00C54CA3">
        <w:rPr>
          <w:rFonts w:ascii="Arial" w:hAnsi="Arial" w:cs="Arial"/>
        </w:rPr>
        <w:t xml:space="preserve">available </w:t>
      </w:r>
      <w:hyperlink r:id="rId15" w:history="1">
        <w:r w:rsidR="00C54CA3" w:rsidRPr="00C54CA3">
          <w:rPr>
            <w:rStyle w:val="Hyperlink"/>
            <w:rFonts w:ascii="Arial" w:hAnsi="Arial" w:cs="Arial"/>
          </w:rPr>
          <w:t>here.</w:t>
        </w:r>
      </w:hyperlink>
    </w:p>
  </w:footnote>
  <w:footnote w:id="17">
    <w:p w14:paraId="0911B02E" w14:textId="55728B18" w:rsidR="00334AC6" w:rsidRPr="00613B10" w:rsidRDefault="00334AC6" w:rsidP="00334AC6">
      <w:pPr>
        <w:pStyle w:val="FootnoteText"/>
        <w:rPr>
          <w:rFonts w:ascii="Arial" w:hAnsi="Arial" w:cs="Arial"/>
          <w:color w:val="000000" w:themeColor="text1"/>
        </w:rPr>
      </w:pPr>
      <w:r w:rsidRPr="00C840AF">
        <w:rPr>
          <w:rStyle w:val="FootnoteReference"/>
          <w:rFonts w:ascii="Arial" w:hAnsi="Arial" w:cs="Arial"/>
        </w:rPr>
        <w:footnoteRef/>
      </w:r>
      <w:r w:rsidRPr="00C840AF">
        <w:rPr>
          <w:rFonts w:ascii="Arial" w:hAnsi="Arial" w:cs="Arial"/>
        </w:rPr>
        <w:t xml:space="preserve"> D</w:t>
      </w:r>
      <w:r w:rsidR="00A43150">
        <w:rPr>
          <w:rFonts w:ascii="Arial" w:hAnsi="Arial" w:cs="Arial"/>
        </w:rPr>
        <w:t xml:space="preserve">epartment for Work and Pensions </w:t>
      </w:r>
      <w:r w:rsidRPr="00C840AF">
        <w:rPr>
          <w:rFonts w:ascii="Arial" w:hAnsi="Arial" w:cs="Arial"/>
        </w:rPr>
        <w:t xml:space="preserve">(2014) ‘Future </w:t>
      </w:r>
      <w:r w:rsidR="00F52A4F">
        <w:rPr>
          <w:rFonts w:ascii="Arial" w:hAnsi="Arial" w:cs="Arial"/>
        </w:rPr>
        <w:t>of the Independent Living Fund’,</w:t>
      </w:r>
      <w:r w:rsidR="00C54CA3">
        <w:rPr>
          <w:rFonts w:ascii="Arial" w:hAnsi="Arial" w:cs="Arial"/>
        </w:rPr>
        <w:t xml:space="preserve"> a</w:t>
      </w:r>
      <w:r w:rsidRPr="00C840AF">
        <w:rPr>
          <w:rFonts w:ascii="Arial" w:hAnsi="Arial" w:cs="Arial"/>
        </w:rPr>
        <w:t xml:space="preserve">vailable </w:t>
      </w:r>
      <w:hyperlink r:id="rId16" w:history="1">
        <w:r w:rsidR="00C54CA3" w:rsidRPr="00C54CA3">
          <w:rPr>
            <w:rStyle w:val="Hyperlink"/>
            <w:rFonts w:ascii="Arial" w:hAnsi="Arial" w:cs="Arial"/>
          </w:rPr>
          <w:t>here</w:t>
        </w:r>
      </w:hyperlink>
      <w:r w:rsidR="00F52A4F">
        <w:rPr>
          <w:rStyle w:val="Hyperlink"/>
          <w:rFonts w:ascii="Arial" w:hAnsi="Arial" w:cs="Arial"/>
          <w:color w:val="000000" w:themeColor="text1"/>
          <w:u w:val="none"/>
        </w:rPr>
        <w:t xml:space="preserve"> [accessed 30 November 2016].</w:t>
      </w:r>
      <w:r w:rsidRPr="00C840AF">
        <w:rPr>
          <w:rFonts w:ascii="Arial" w:hAnsi="Arial" w:cs="Arial"/>
        </w:rPr>
        <w:t xml:space="preserve"> In Scotland, the Scottish Government supports users through the Scottis</w:t>
      </w:r>
      <w:r w:rsidR="00336941">
        <w:rPr>
          <w:rFonts w:ascii="Arial" w:hAnsi="Arial" w:cs="Arial"/>
        </w:rPr>
        <w:t>h Independent Living Fund</w:t>
      </w:r>
      <w:r w:rsidRPr="00C840AF">
        <w:rPr>
          <w:rFonts w:ascii="Arial" w:hAnsi="Arial" w:cs="Arial"/>
        </w:rPr>
        <w:t xml:space="preserve"> and provides support to existing and new users. </w:t>
      </w:r>
      <w:r w:rsidRPr="00C840AF">
        <w:rPr>
          <w:rFonts w:ascii="Arial" w:hAnsi="Arial" w:cs="Arial"/>
          <w:lang w:eastAsia="en-GB"/>
        </w:rPr>
        <w:t xml:space="preserve">In Wales, </w:t>
      </w:r>
      <w:r w:rsidRPr="00C840AF">
        <w:rPr>
          <w:rFonts w:ascii="Arial" w:hAnsi="Arial" w:cs="Arial"/>
        </w:rPr>
        <w:t xml:space="preserve">the </w:t>
      </w:r>
      <w:r w:rsidRPr="00613B10">
        <w:rPr>
          <w:rFonts w:ascii="Arial" w:hAnsi="Arial" w:cs="Arial"/>
        </w:rPr>
        <w:t>Welsh Independent Living Fund or Grant will run until March 2017 and support previous ILF recipients. By 31 March 2019 all current ILF recipients will have their care and support needs met through normal social care provision. See</w:t>
      </w:r>
      <w:r w:rsidR="00C54CA3" w:rsidRPr="00613B10">
        <w:rPr>
          <w:rFonts w:ascii="Arial" w:hAnsi="Arial" w:cs="Arial"/>
        </w:rPr>
        <w:t xml:space="preserve"> </w:t>
      </w:r>
      <w:hyperlink r:id="rId17" w:history="1">
        <w:r w:rsidR="00C54CA3" w:rsidRPr="00613B10">
          <w:rPr>
            <w:rStyle w:val="Hyperlink"/>
            <w:rFonts w:ascii="Arial" w:hAnsi="Arial" w:cs="Arial"/>
          </w:rPr>
          <w:t>here</w:t>
        </w:r>
      </w:hyperlink>
      <w:r w:rsidRPr="00613B10">
        <w:rPr>
          <w:rFonts w:ascii="Arial" w:hAnsi="Arial" w:cs="Arial"/>
        </w:rPr>
        <w:t xml:space="preserve"> [accessed</w:t>
      </w:r>
      <w:r w:rsidR="00A43150" w:rsidRPr="00613B10">
        <w:rPr>
          <w:rFonts w:ascii="Arial" w:hAnsi="Arial" w:cs="Arial"/>
        </w:rPr>
        <w:t>:</w:t>
      </w:r>
      <w:r w:rsidR="00336941" w:rsidRPr="00613B10">
        <w:rPr>
          <w:rFonts w:ascii="Arial" w:hAnsi="Arial" w:cs="Arial"/>
        </w:rPr>
        <w:t xml:space="preserve"> 29</w:t>
      </w:r>
      <w:r w:rsidRPr="00613B10">
        <w:rPr>
          <w:rFonts w:ascii="Arial" w:hAnsi="Arial" w:cs="Arial"/>
        </w:rPr>
        <w:t xml:space="preserve"> November 2</w:t>
      </w:r>
      <w:r w:rsidR="00BD7714" w:rsidRPr="00613B10">
        <w:rPr>
          <w:rFonts w:ascii="Arial" w:hAnsi="Arial" w:cs="Arial"/>
        </w:rPr>
        <w:t xml:space="preserve">016]. See also </w:t>
      </w:r>
      <w:hyperlink r:id="rId18" w:history="1">
        <w:r w:rsidR="00BD7714" w:rsidRPr="00613B10">
          <w:rPr>
            <w:rStyle w:val="Hyperlink"/>
            <w:rFonts w:ascii="Arial" w:hAnsi="Arial" w:cs="Arial"/>
          </w:rPr>
          <w:t>here</w:t>
        </w:r>
      </w:hyperlink>
      <w:r w:rsidR="00336941" w:rsidRPr="00613B10">
        <w:rPr>
          <w:rStyle w:val="Hyperlink"/>
          <w:rFonts w:ascii="Arial" w:hAnsi="Arial" w:cs="Arial"/>
          <w:u w:val="none"/>
        </w:rPr>
        <w:t xml:space="preserve"> </w:t>
      </w:r>
      <w:r w:rsidR="00336941" w:rsidRPr="00613B10">
        <w:rPr>
          <w:rStyle w:val="Hyperlink"/>
          <w:rFonts w:ascii="Arial" w:hAnsi="Arial" w:cs="Arial"/>
          <w:color w:val="000000" w:themeColor="text1"/>
          <w:u w:val="none"/>
        </w:rPr>
        <w:t>[accessed 30 November 2016].</w:t>
      </w:r>
    </w:p>
  </w:footnote>
  <w:footnote w:id="18">
    <w:p w14:paraId="06A08FC2" w14:textId="510080B3" w:rsidR="00334AC6" w:rsidRPr="00613B10" w:rsidRDefault="00334AC6" w:rsidP="00334AC6">
      <w:pPr>
        <w:pStyle w:val="FootnoteText"/>
        <w:rPr>
          <w:rFonts w:ascii="Arial" w:hAnsi="Arial" w:cs="Arial"/>
        </w:rPr>
      </w:pPr>
      <w:r w:rsidRPr="00613B10">
        <w:rPr>
          <w:rStyle w:val="FootnoteReference"/>
          <w:rFonts w:ascii="Arial" w:hAnsi="Arial" w:cs="Arial"/>
        </w:rPr>
        <w:footnoteRef/>
      </w:r>
      <w:r w:rsidRPr="00613B10">
        <w:rPr>
          <w:rFonts w:ascii="Arial" w:hAnsi="Arial" w:cs="Arial"/>
        </w:rPr>
        <w:t xml:space="preserve"> The EHRC has intervened in two Judicial Review cases about the Independent Living Fund: </w:t>
      </w:r>
      <w:r w:rsidRPr="00613B10">
        <w:rPr>
          <w:rFonts w:ascii="Arial" w:hAnsi="Arial" w:cs="Arial"/>
          <w:i/>
        </w:rPr>
        <w:t>Stuart Bracking, Paris L'amour, Gabriel Pepper, Anne Pridmore, John Aspinall (by his mother and Litigation Friend Evonne Taylforth) (claimants) v SS for Work &amp; Pensions</w:t>
      </w:r>
      <w:r w:rsidRPr="00613B10">
        <w:rPr>
          <w:rFonts w:ascii="Arial" w:hAnsi="Arial" w:cs="Arial"/>
        </w:rPr>
        <w:t xml:space="preserve"> (defendant) and Equality and Human Rights Commission (Intervener) High Court (Administrative Court), and </w:t>
      </w:r>
      <w:r w:rsidRPr="00613B10">
        <w:rPr>
          <w:rFonts w:ascii="Arial" w:hAnsi="Arial" w:cs="Arial"/>
          <w:i/>
        </w:rPr>
        <w:t>Pepper and Aspinall v Secretary of State for Work and Pensions</w:t>
      </w:r>
      <w:r w:rsidR="006C6A38" w:rsidRPr="00613B10">
        <w:rPr>
          <w:rFonts w:ascii="Arial" w:hAnsi="Arial" w:cs="Arial"/>
        </w:rPr>
        <w:t>.</w:t>
      </w:r>
    </w:p>
  </w:footnote>
  <w:footnote w:id="19">
    <w:p w14:paraId="58B7BE0C" w14:textId="26A7CDE0" w:rsidR="00334AC6" w:rsidRPr="00613B10" w:rsidRDefault="00334AC6" w:rsidP="00334AC6">
      <w:pPr>
        <w:pStyle w:val="FootnoteText"/>
        <w:rPr>
          <w:rFonts w:ascii="Arial" w:hAnsi="Arial" w:cs="Arial"/>
          <w:color w:val="0000FF" w:themeColor="hyperlink"/>
          <w:u w:val="single"/>
        </w:rPr>
      </w:pPr>
      <w:r w:rsidRPr="00613B10">
        <w:rPr>
          <w:rStyle w:val="FootnoteReference"/>
          <w:rFonts w:ascii="Arial" w:hAnsi="Arial" w:cs="Arial"/>
        </w:rPr>
        <w:footnoteRef/>
      </w:r>
      <w:r w:rsidRPr="00613B10">
        <w:rPr>
          <w:rFonts w:ascii="Arial" w:hAnsi="Arial" w:cs="Arial"/>
        </w:rPr>
        <w:t xml:space="preserve"> </w:t>
      </w:r>
      <w:r w:rsidRPr="00613B10">
        <w:rPr>
          <w:rFonts w:ascii="Arial" w:hAnsi="Arial" w:cs="Arial"/>
          <w:lang w:eastAsia="ja-JP"/>
        </w:rPr>
        <w:t>Research in London revealed considerable inconsistency in how ILF recipients have been treated. Some local councils have maintained pre-ILF closure support levels, others have made “substantial cuts indicative of a systematic approach of ‘levelling down’ packages”. It suggests the national picture is similar, and concludes that this is a clear step back in terms of independe</w:t>
      </w:r>
      <w:r w:rsidR="00945571" w:rsidRPr="00613B10">
        <w:rPr>
          <w:rFonts w:ascii="Arial" w:hAnsi="Arial" w:cs="Arial"/>
          <w:lang w:eastAsia="ja-JP"/>
        </w:rPr>
        <w:t>nt living for disabled people, a</w:t>
      </w:r>
      <w:r w:rsidRPr="00613B10">
        <w:rPr>
          <w:rFonts w:ascii="Arial" w:hAnsi="Arial" w:cs="Arial"/>
        </w:rPr>
        <w:t xml:space="preserve">vailable </w:t>
      </w:r>
      <w:hyperlink r:id="rId19" w:history="1">
        <w:r w:rsidRPr="00613B10">
          <w:rPr>
            <w:rStyle w:val="Hyperlink"/>
            <w:rFonts w:ascii="Arial" w:hAnsi="Arial" w:cs="Arial"/>
          </w:rPr>
          <w:t>here</w:t>
        </w:r>
      </w:hyperlink>
      <w:r w:rsidR="00627F27" w:rsidRPr="00613B10">
        <w:rPr>
          <w:rStyle w:val="Hyperlink"/>
          <w:rFonts w:ascii="Arial" w:hAnsi="Arial" w:cs="Arial"/>
          <w:color w:val="000000" w:themeColor="text1"/>
          <w:u w:val="none"/>
        </w:rPr>
        <w:t xml:space="preserve"> [accessed 30 November 2016].</w:t>
      </w:r>
      <w:r w:rsidRPr="00613B10">
        <w:rPr>
          <w:rFonts w:ascii="Arial" w:hAnsi="Arial" w:cs="Arial"/>
        </w:rPr>
        <w:t xml:space="preserve"> </w:t>
      </w:r>
    </w:p>
  </w:footnote>
  <w:footnote w:id="20">
    <w:p w14:paraId="1C02B185" w14:textId="656E9395" w:rsidR="00334AC6" w:rsidRPr="00613B10" w:rsidRDefault="00334AC6" w:rsidP="00334AC6">
      <w:pPr>
        <w:pStyle w:val="FootnoteText"/>
        <w:rPr>
          <w:rFonts w:ascii="Arial" w:hAnsi="Arial" w:cs="Arial"/>
        </w:rPr>
      </w:pPr>
      <w:r w:rsidRPr="00613B10">
        <w:rPr>
          <w:rStyle w:val="FootnoteReference"/>
          <w:rFonts w:ascii="Arial" w:hAnsi="Arial" w:cs="Arial"/>
        </w:rPr>
        <w:footnoteRef/>
      </w:r>
      <w:r w:rsidRPr="00613B10">
        <w:rPr>
          <w:rFonts w:ascii="Arial" w:hAnsi="Arial" w:cs="Arial"/>
        </w:rPr>
        <w:t xml:space="preserve"> </w:t>
      </w:r>
      <w:r w:rsidRPr="00613B10">
        <w:rPr>
          <w:rFonts w:ascii="Arial" w:hAnsi="Arial" w:cs="Arial"/>
          <w:lang w:eastAsia="en-GB"/>
        </w:rPr>
        <w:t>Evidence from local authorities on transition arrangements indicated that most had not ring-fenced ILF funding and so</w:t>
      </w:r>
      <w:r w:rsidR="00126CA9" w:rsidRPr="00613B10">
        <w:rPr>
          <w:rFonts w:ascii="Arial" w:hAnsi="Arial" w:cs="Arial"/>
          <w:lang w:eastAsia="en-GB"/>
        </w:rPr>
        <w:t>me were not planning to do so, s</w:t>
      </w:r>
      <w:r w:rsidRPr="00613B10">
        <w:rPr>
          <w:rFonts w:ascii="Arial" w:hAnsi="Arial" w:cs="Arial"/>
          <w:lang w:eastAsia="en-GB"/>
        </w:rPr>
        <w:t xml:space="preserve">ee </w:t>
      </w:r>
      <w:hyperlink r:id="rId20" w:history="1">
        <w:r w:rsidRPr="00613B10">
          <w:rPr>
            <w:rStyle w:val="Hyperlink"/>
            <w:rFonts w:ascii="Arial" w:hAnsi="Arial" w:cs="Arial"/>
            <w:lang w:eastAsia="en-GB"/>
          </w:rPr>
          <w:t>her</w:t>
        </w:r>
        <w:r w:rsidR="00627F27" w:rsidRPr="00613B10">
          <w:rPr>
            <w:rStyle w:val="Hyperlink"/>
            <w:rFonts w:ascii="Arial" w:hAnsi="Arial" w:cs="Arial"/>
            <w:lang w:eastAsia="en-GB"/>
          </w:rPr>
          <w:t>e</w:t>
        </w:r>
        <w:r w:rsidR="00627F27" w:rsidRPr="00613B10">
          <w:rPr>
            <w:rStyle w:val="Hyperlink"/>
            <w:rFonts w:ascii="Arial" w:hAnsi="Arial" w:cs="Arial"/>
            <w:color w:val="000000" w:themeColor="text1"/>
            <w:u w:val="none"/>
            <w:lang w:eastAsia="en-GB"/>
          </w:rPr>
          <w:t xml:space="preserve"> </w:t>
        </w:r>
      </w:hyperlink>
      <w:r w:rsidR="006B63C4" w:rsidRPr="00613B10">
        <w:rPr>
          <w:rStyle w:val="Hyperlink"/>
          <w:rFonts w:ascii="Arial" w:hAnsi="Arial" w:cs="Arial"/>
          <w:color w:val="000000" w:themeColor="text1"/>
          <w:u w:val="none"/>
        </w:rPr>
        <w:t>[accessed 30 November 2016].</w:t>
      </w:r>
    </w:p>
  </w:footnote>
  <w:footnote w:id="21">
    <w:p w14:paraId="2E610905" w14:textId="10CEFDF4" w:rsidR="00334AC6" w:rsidRPr="00613B10" w:rsidRDefault="00334AC6" w:rsidP="00B964FB">
      <w:pPr>
        <w:pStyle w:val="FootnoteText"/>
        <w:rPr>
          <w:rFonts w:ascii="Arial" w:hAnsi="Arial" w:cs="Arial"/>
        </w:rPr>
      </w:pPr>
      <w:r w:rsidRPr="00613B10">
        <w:rPr>
          <w:rStyle w:val="FootnoteReference"/>
          <w:rFonts w:ascii="Arial" w:hAnsi="Arial" w:cs="Arial"/>
        </w:rPr>
        <w:footnoteRef/>
      </w:r>
      <w:r w:rsidRPr="00613B10">
        <w:rPr>
          <w:rFonts w:ascii="Arial" w:hAnsi="Arial" w:cs="Arial"/>
        </w:rPr>
        <w:t xml:space="preserve"> </w:t>
      </w:r>
      <w:r w:rsidRPr="00613B10">
        <w:rPr>
          <w:rFonts w:ascii="Arial" w:hAnsi="Arial" w:cs="Arial"/>
          <w:bCs/>
        </w:rPr>
        <w:t>Written statement, Health Minister Simon Hamilton MLA (19 May 2015): ‘New arrangements for the future support of Independent Living Fund users In Nort</w:t>
      </w:r>
      <w:r w:rsidR="00126CA9" w:rsidRPr="00613B10">
        <w:rPr>
          <w:rFonts w:ascii="Arial" w:hAnsi="Arial" w:cs="Arial"/>
          <w:bCs/>
        </w:rPr>
        <w:t>hern Ireland’, a</w:t>
      </w:r>
      <w:r w:rsidRPr="00613B10">
        <w:rPr>
          <w:rFonts w:ascii="Arial" w:hAnsi="Arial" w:cs="Arial"/>
          <w:bCs/>
        </w:rPr>
        <w:t xml:space="preserve">vailable </w:t>
      </w:r>
      <w:hyperlink r:id="rId21" w:history="1">
        <w:r w:rsidRPr="00613B10">
          <w:rPr>
            <w:rStyle w:val="Hyperlink"/>
            <w:rFonts w:ascii="Arial" w:hAnsi="Arial" w:cs="Arial"/>
            <w:bCs/>
          </w:rPr>
          <w:t>here</w:t>
        </w:r>
      </w:hyperlink>
      <w:r w:rsidR="00B964FB" w:rsidRPr="00613B10">
        <w:rPr>
          <w:rStyle w:val="Hyperlink"/>
          <w:rFonts w:ascii="Arial" w:hAnsi="Arial" w:cs="Arial"/>
          <w:bCs/>
          <w:color w:val="000000" w:themeColor="text1"/>
          <w:u w:val="none"/>
        </w:rPr>
        <w:t xml:space="preserve"> </w:t>
      </w:r>
      <w:r w:rsidR="00B964FB" w:rsidRPr="00613B10">
        <w:rPr>
          <w:rStyle w:val="Hyperlink"/>
          <w:rFonts w:ascii="Arial" w:hAnsi="Arial" w:cs="Arial"/>
          <w:color w:val="000000" w:themeColor="text1"/>
          <w:u w:val="none"/>
        </w:rPr>
        <w:t>[accessed 30 November 2016].</w:t>
      </w:r>
      <w:r w:rsidRPr="00613B10">
        <w:rPr>
          <w:rFonts w:ascii="Arial" w:hAnsi="Arial" w:cs="Arial"/>
          <w:b/>
          <w:bCs/>
        </w:rPr>
        <w:t xml:space="preserve"> </w:t>
      </w:r>
    </w:p>
  </w:footnote>
  <w:footnote w:id="22">
    <w:p w14:paraId="5BA3C627" w14:textId="0161FA52" w:rsidR="00334AC6" w:rsidRPr="00B3699D" w:rsidRDefault="00334AC6" w:rsidP="00334AC6">
      <w:pPr>
        <w:pStyle w:val="FootnoteText"/>
        <w:rPr>
          <w:rFonts w:ascii="Arial" w:hAnsi="Arial" w:cs="Arial"/>
        </w:rPr>
      </w:pPr>
      <w:r w:rsidRPr="00613B10">
        <w:rPr>
          <w:rStyle w:val="FootnoteReference"/>
          <w:rFonts w:ascii="Arial" w:hAnsi="Arial" w:cs="Arial"/>
        </w:rPr>
        <w:footnoteRef/>
      </w:r>
      <w:r w:rsidRPr="00613B10">
        <w:rPr>
          <w:rFonts w:ascii="Arial" w:hAnsi="Arial" w:cs="Arial"/>
        </w:rPr>
        <w:t xml:space="preserve"> Welfare Weekly (20 May 2015): ‘Northern Ireland Independent Living Fund T</w:t>
      </w:r>
      <w:r w:rsidR="00126CA9" w:rsidRPr="00613B10">
        <w:rPr>
          <w:rFonts w:ascii="Arial" w:hAnsi="Arial" w:cs="Arial"/>
        </w:rPr>
        <w:t>o Be Administered In Scotland’, a</w:t>
      </w:r>
      <w:r w:rsidRPr="00613B10">
        <w:rPr>
          <w:rFonts w:ascii="Arial" w:hAnsi="Arial" w:cs="Arial"/>
        </w:rPr>
        <w:t xml:space="preserve">vailable </w:t>
      </w:r>
      <w:hyperlink r:id="rId22" w:history="1">
        <w:r w:rsidRPr="00613B10">
          <w:rPr>
            <w:rStyle w:val="Hyperlink"/>
            <w:rFonts w:ascii="Arial" w:hAnsi="Arial" w:cs="Arial"/>
          </w:rPr>
          <w:t>here</w:t>
        </w:r>
      </w:hyperlink>
      <w:r w:rsidR="00B964FB" w:rsidRPr="00613B10">
        <w:rPr>
          <w:rStyle w:val="Hyperlink"/>
          <w:rFonts w:ascii="Arial" w:hAnsi="Arial" w:cs="Arial"/>
          <w:color w:val="000000" w:themeColor="text1"/>
          <w:u w:val="none"/>
        </w:rPr>
        <w:t xml:space="preserve"> [accessed 30 November 2016].</w:t>
      </w:r>
    </w:p>
  </w:footnote>
  <w:footnote w:id="23">
    <w:p w14:paraId="69ECE17C" w14:textId="2462A6C9" w:rsidR="00B3699D" w:rsidRDefault="00B3699D">
      <w:pPr>
        <w:pStyle w:val="FootnoteText"/>
      </w:pPr>
      <w:r>
        <w:rPr>
          <w:rStyle w:val="FootnoteReference"/>
        </w:rPr>
        <w:footnoteRef/>
      </w:r>
      <w:r>
        <w:t xml:space="preserve"> </w:t>
      </w:r>
      <w:r w:rsidRPr="002C2E6A">
        <w:rPr>
          <w:rFonts w:ascii="Arial" w:hAnsi="Arial" w:cs="Arial"/>
        </w:rPr>
        <w:t>UK Government (2016) Response to t</w:t>
      </w:r>
      <w:r w:rsidR="00C73958">
        <w:rPr>
          <w:rFonts w:ascii="Arial" w:hAnsi="Arial" w:cs="Arial"/>
        </w:rPr>
        <w:t>he Report by the UN</w:t>
      </w:r>
      <w:r w:rsidRPr="002C2E6A">
        <w:rPr>
          <w:rFonts w:ascii="Arial" w:hAnsi="Arial" w:cs="Arial"/>
        </w:rPr>
        <w:t xml:space="preserve"> Committee on the Rights of Persons with Disabilities under article 6 of the Optional Protocol to the Convention, </w:t>
      </w:r>
      <w:r>
        <w:rPr>
          <w:rFonts w:ascii="Arial" w:hAnsi="Arial" w:cs="Arial"/>
        </w:rPr>
        <w:t xml:space="preserve">p. 13, </w:t>
      </w:r>
      <w:r w:rsidRPr="002C2E6A">
        <w:rPr>
          <w:rFonts w:ascii="Arial" w:hAnsi="Arial" w:cs="Arial"/>
        </w:rPr>
        <w:t xml:space="preserve">available </w:t>
      </w:r>
      <w:hyperlink r:id="rId23" w:history="1">
        <w:r w:rsidRPr="002C2E6A">
          <w:rPr>
            <w:rStyle w:val="Hyperlink"/>
            <w:rFonts w:ascii="Arial" w:hAnsi="Arial" w:cs="Arial"/>
          </w:rPr>
          <w:t>here</w:t>
        </w:r>
      </w:hyperlink>
      <w:r w:rsidRPr="002C2E6A">
        <w:rPr>
          <w:rFonts w:ascii="Arial" w:hAnsi="Arial" w:cs="Arial"/>
        </w:rPr>
        <w:t xml:space="preserve"> [accessed 20 November 2016].</w:t>
      </w:r>
    </w:p>
  </w:footnote>
  <w:footnote w:id="24">
    <w:p w14:paraId="37876864" w14:textId="671A0211" w:rsidR="001D0316" w:rsidRDefault="001D0316">
      <w:pPr>
        <w:pStyle w:val="FootnoteText"/>
      </w:pPr>
      <w:r>
        <w:rPr>
          <w:rStyle w:val="FootnoteReference"/>
        </w:rPr>
        <w:footnoteRef/>
      </w:r>
      <w:r>
        <w:t xml:space="preserve"> </w:t>
      </w:r>
      <w:r w:rsidRPr="00A06359">
        <w:rPr>
          <w:rFonts w:ascii="Arial" w:hAnsi="Arial" w:cs="Arial"/>
        </w:rPr>
        <w:t xml:space="preserve">CRPD Committee (2016) Inquiry concerning the </w:t>
      </w:r>
      <w:r>
        <w:rPr>
          <w:rFonts w:ascii="Arial" w:hAnsi="Arial" w:cs="Arial"/>
        </w:rPr>
        <w:t>UK</w:t>
      </w:r>
      <w:r w:rsidRPr="00A06359">
        <w:rPr>
          <w:rFonts w:ascii="Arial" w:hAnsi="Arial" w:cs="Arial"/>
        </w:rPr>
        <w:t xml:space="preserve"> carried out by the Committee under article 6 of the Optional Protocol to the Con</w:t>
      </w:r>
      <w:r w:rsidR="00C73958">
        <w:rPr>
          <w:rFonts w:ascii="Arial" w:hAnsi="Arial" w:cs="Arial"/>
        </w:rPr>
        <w:t>vention, Report</w:t>
      </w:r>
      <w:r w:rsidRPr="00A06359">
        <w:rPr>
          <w:rFonts w:ascii="Arial" w:hAnsi="Arial" w:cs="Arial"/>
        </w:rPr>
        <w:t xml:space="preserve">, p. 21, available </w:t>
      </w:r>
      <w:hyperlink r:id="rId24" w:history="1">
        <w:r w:rsidRPr="00A06359">
          <w:rPr>
            <w:rStyle w:val="Hyperlink"/>
            <w:rFonts w:ascii="Arial" w:hAnsi="Arial" w:cs="Arial"/>
          </w:rPr>
          <w:t>here</w:t>
        </w:r>
      </w:hyperlink>
      <w:r w:rsidRPr="00A06359">
        <w:rPr>
          <w:rFonts w:ascii="Arial" w:hAnsi="Arial" w:cs="Arial"/>
        </w:rPr>
        <w:t xml:space="preserve"> [accessed 10 </w:t>
      </w:r>
      <w:r w:rsidRPr="002C2E6A">
        <w:rPr>
          <w:rFonts w:ascii="Arial" w:hAnsi="Arial" w:cs="Arial"/>
        </w:rPr>
        <w:t>November 2016].</w:t>
      </w:r>
    </w:p>
  </w:footnote>
  <w:footnote w:id="25">
    <w:p w14:paraId="34F5AEFE" w14:textId="2AF77604" w:rsidR="00334AC6" w:rsidRPr="00744903" w:rsidRDefault="00334AC6" w:rsidP="00334AC6">
      <w:pPr>
        <w:pStyle w:val="FootnoteText"/>
      </w:pPr>
      <w:r>
        <w:rPr>
          <w:rStyle w:val="FootnoteReference"/>
        </w:rPr>
        <w:footnoteRef/>
      </w:r>
      <w:r>
        <w:t xml:space="preserve"> </w:t>
      </w:r>
      <w:r w:rsidRPr="00991528">
        <w:rPr>
          <w:rFonts w:ascii="Arial" w:hAnsi="Arial" w:cs="Arial"/>
        </w:rPr>
        <w:t>EHRC (2015)</w:t>
      </w:r>
      <w:r w:rsidR="00EE0B1D">
        <w:rPr>
          <w:rFonts w:ascii="Arial" w:hAnsi="Arial" w:cs="Arial"/>
        </w:rPr>
        <w:t>,</w:t>
      </w:r>
      <w:r w:rsidRPr="00991528">
        <w:rPr>
          <w:rFonts w:ascii="Arial" w:hAnsi="Arial" w:cs="Arial"/>
        </w:rPr>
        <w:t xml:space="preserve"> </w:t>
      </w:r>
      <w:r w:rsidR="00EE0B1D">
        <w:rPr>
          <w:rFonts w:ascii="Arial" w:hAnsi="Arial" w:cs="Arial"/>
        </w:rPr>
        <w:t>‘</w:t>
      </w:r>
      <w:r w:rsidRPr="00991528">
        <w:rPr>
          <w:rFonts w:ascii="Arial" w:hAnsi="Arial" w:cs="Arial"/>
        </w:rPr>
        <w:t>Equality, human rights and access to civil law justice: a literature review</w:t>
      </w:r>
      <w:r w:rsidR="00EE0B1D">
        <w:rPr>
          <w:rFonts w:ascii="Arial" w:hAnsi="Arial" w:cs="Arial"/>
        </w:rPr>
        <w:t>’</w:t>
      </w:r>
      <w:r w:rsidRPr="00991528">
        <w:rPr>
          <w:rFonts w:ascii="Arial" w:hAnsi="Arial" w:cs="Arial"/>
        </w:rPr>
        <w:t xml:space="preserve">, available </w:t>
      </w:r>
      <w:hyperlink r:id="rId25" w:history="1">
        <w:r w:rsidR="00126CA9" w:rsidRPr="00126CA9">
          <w:rPr>
            <w:rStyle w:val="Hyperlink"/>
            <w:rFonts w:ascii="Arial" w:hAnsi="Arial" w:cs="Arial"/>
          </w:rPr>
          <w:t>here</w:t>
        </w:r>
      </w:hyperlink>
      <w:r w:rsidR="00B964FB">
        <w:rPr>
          <w:rStyle w:val="Hyperlink"/>
          <w:rFonts w:ascii="Arial" w:hAnsi="Arial" w:cs="Arial"/>
          <w:color w:val="000000" w:themeColor="text1"/>
          <w:u w:val="none"/>
        </w:rPr>
        <w:t xml:space="preserve"> [accessed 30 November 2016]</w:t>
      </w:r>
      <w:r>
        <w:rPr>
          <w:rFonts w:ascii="Arial" w:hAnsi="Arial" w:cs="Arial"/>
        </w:rPr>
        <w:t xml:space="preserve">. </w:t>
      </w:r>
      <w:r w:rsidR="00CC48FF">
        <w:rPr>
          <w:rFonts w:ascii="Arial" w:hAnsi="Arial" w:cs="Arial"/>
        </w:rPr>
        <w:t xml:space="preserve">Note that the literature review highlighted a number of shortcomings in the Ministry of Justice’s 2014 review of the telephone gateway service, see pp 62-64.  </w:t>
      </w:r>
      <w:r>
        <w:rPr>
          <w:rFonts w:ascii="Arial" w:hAnsi="Arial" w:cs="Arial"/>
        </w:rPr>
        <w:t>Recent research has also highlighted evidence of impact on disabled people. See: Amnesty International</w:t>
      </w:r>
      <w:r w:rsidRPr="00991528">
        <w:rPr>
          <w:rFonts w:ascii="Arial" w:hAnsi="Arial" w:cs="Arial"/>
        </w:rPr>
        <w:t xml:space="preserve"> (2016)</w:t>
      </w:r>
      <w:r w:rsidR="00EE0B1D">
        <w:rPr>
          <w:rFonts w:ascii="Arial" w:hAnsi="Arial" w:cs="Arial"/>
        </w:rPr>
        <w:t>,</w:t>
      </w:r>
      <w:r w:rsidRPr="00991528">
        <w:rPr>
          <w:rFonts w:ascii="Arial" w:hAnsi="Arial" w:cs="Arial"/>
        </w:rPr>
        <w:t xml:space="preserve"> </w:t>
      </w:r>
      <w:r w:rsidR="00EE0B1D">
        <w:rPr>
          <w:rFonts w:ascii="Arial" w:hAnsi="Arial" w:cs="Arial"/>
        </w:rPr>
        <w:t>‘</w:t>
      </w:r>
      <w:r w:rsidRPr="00991528">
        <w:rPr>
          <w:rFonts w:ascii="Arial" w:hAnsi="Arial" w:cs="Arial"/>
        </w:rPr>
        <w:t xml:space="preserve">Cuts that hurt: the impact of legal aid cuts in England on </w:t>
      </w:r>
      <w:r w:rsidR="00126CA9">
        <w:rPr>
          <w:rFonts w:ascii="Arial" w:hAnsi="Arial" w:cs="Arial"/>
        </w:rPr>
        <w:t>access to justice</w:t>
      </w:r>
      <w:r w:rsidR="00EE0B1D">
        <w:rPr>
          <w:rFonts w:ascii="Arial" w:hAnsi="Arial" w:cs="Arial"/>
        </w:rPr>
        <w:t>’</w:t>
      </w:r>
      <w:r w:rsidR="00126CA9">
        <w:rPr>
          <w:rFonts w:ascii="Arial" w:hAnsi="Arial" w:cs="Arial"/>
        </w:rPr>
        <w:t xml:space="preserve">, available </w:t>
      </w:r>
      <w:hyperlink r:id="rId26" w:history="1">
        <w:r w:rsidR="00126CA9" w:rsidRPr="00126CA9">
          <w:rPr>
            <w:rStyle w:val="Hyperlink"/>
            <w:rFonts w:ascii="Arial" w:hAnsi="Arial" w:cs="Arial"/>
          </w:rPr>
          <w:t>here</w:t>
        </w:r>
      </w:hyperlink>
      <w:r w:rsidR="00B964FB">
        <w:rPr>
          <w:rStyle w:val="Hyperlink"/>
          <w:rFonts w:ascii="Arial" w:hAnsi="Arial" w:cs="Arial"/>
          <w:color w:val="000000" w:themeColor="text1"/>
          <w:u w:val="none"/>
        </w:rPr>
        <w:t xml:space="preserve"> [accessed 30 November 2016].</w:t>
      </w:r>
      <w:r w:rsidRPr="00991528">
        <w:rPr>
          <w:rFonts w:ascii="Arial" w:hAnsi="Arial" w:cs="Arial"/>
        </w:rPr>
        <w:t xml:space="preserve"> </w:t>
      </w:r>
    </w:p>
  </w:footnote>
  <w:footnote w:id="26">
    <w:p w14:paraId="50472488" w14:textId="715C1A9E" w:rsidR="00334AC6" w:rsidRPr="00281143" w:rsidRDefault="00334AC6" w:rsidP="00334AC6">
      <w:pPr>
        <w:pStyle w:val="FootnoteText"/>
        <w:rPr>
          <w:rFonts w:ascii="Arial" w:hAnsi="Arial" w:cs="Arial"/>
        </w:rPr>
      </w:pPr>
      <w:r w:rsidRPr="00281143">
        <w:rPr>
          <w:rStyle w:val="FootnoteReference"/>
          <w:rFonts w:ascii="Arial" w:hAnsi="Arial" w:cs="Arial"/>
        </w:rPr>
        <w:footnoteRef/>
      </w:r>
      <w:r w:rsidRPr="00281143">
        <w:rPr>
          <w:rFonts w:ascii="Arial" w:hAnsi="Arial" w:cs="Arial"/>
        </w:rPr>
        <w:t xml:space="preserve"> </w:t>
      </w:r>
      <w:r w:rsidR="006B6527">
        <w:rPr>
          <w:rFonts w:ascii="Arial" w:hAnsi="Arial" w:cs="Arial"/>
        </w:rPr>
        <w:t xml:space="preserve">Including Committee on the Elimination Discrimination Against Women; the Human Rights Committee; the </w:t>
      </w:r>
      <w:r w:rsidRPr="00281143">
        <w:rPr>
          <w:rFonts w:ascii="Arial" w:hAnsi="Arial" w:cs="Arial"/>
        </w:rPr>
        <w:t>C</w:t>
      </w:r>
      <w:r w:rsidR="00BF79EC">
        <w:rPr>
          <w:rFonts w:ascii="Arial" w:hAnsi="Arial" w:cs="Arial"/>
        </w:rPr>
        <w:t>ommittee on Economic,</w:t>
      </w:r>
      <w:r w:rsidR="006B6527">
        <w:rPr>
          <w:rFonts w:ascii="Arial" w:hAnsi="Arial" w:cs="Arial"/>
        </w:rPr>
        <w:t xml:space="preserve"> Social and Cultural Rights; the </w:t>
      </w:r>
      <w:r w:rsidR="00BF79EC">
        <w:rPr>
          <w:rFonts w:ascii="Arial" w:hAnsi="Arial" w:cs="Arial"/>
        </w:rPr>
        <w:t xml:space="preserve">Committee on the Rights </w:t>
      </w:r>
      <w:r w:rsidR="006B6527">
        <w:rPr>
          <w:rFonts w:ascii="Arial" w:hAnsi="Arial" w:cs="Arial"/>
        </w:rPr>
        <w:t>of the Child</w:t>
      </w:r>
      <w:r w:rsidR="00BF79EC">
        <w:rPr>
          <w:rFonts w:ascii="Arial" w:hAnsi="Arial" w:cs="Arial"/>
        </w:rPr>
        <w:t xml:space="preserve">; </w:t>
      </w:r>
      <w:r w:rsidR="006B6527">
        <w:rPr>
          <w:rFonts w:ascii="Arial" w:hAnsi="Arial" w:cs="Arial"/>
        </w:rPr>
        <w:t xml:space="preserve">and the </w:t>
      </w:r>
      <w:r w:rsidR="00BF79EC">
        <w:rPr>
          <w:rFonts w:ascii="Arial" w:hAnsi="Arial" w:cs="Arial"/>
        </w:rPr>
        <w:t xml:space="preserve">Committee on the Elimination of Racial Discrimination, see </w:t>
      </w:r>
      <w:hyperlink r:id="rId27" w:history="1">
        <w:r w:rsidR="00BF79EC" w:rsidRPr="006B6527">
          <w:rPr>
            <w:rStyle w:val="Hyperlink"/>
            <w:rFonts w:ascii="Arial" w:hAnsi="Arial" w:cs="Arial"/>
          </w:rPr>
          <w:t>here</w:t>
        </w:r>
      </w:hyperlink>
      <w:r w:rsidR="006B6527">
        <w:rPr>
          <w:rFonts w:ascii="Arial" w:hAnsi="Arial" w:cs="Arial"/>
        </w:rPr>
        <w:t xml:space="preserve"> [accessed 30 November 2016].</w:t>
      </w:r>
      <w:r w:rsidRPr="00281143">
        <w:rPr>
          <w:rFonts w:ascii="Arial" w:hAnsi="Arial" w:cs="Aria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71463"/>
    <w:multiLevelType w:val="hybridMultilevel"/>
    <w:tmpl w:val="BDD89A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62B16533"/>
    <w:multiLevelType w:val="hybridMultilevel"/>
    <w:tmpl w:val="5964A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Grant">
    <w15:presenceInfo w15:providerId="None" w15:userId="Amy Gr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AFB"/>
    <w:rsid w:val="000D0F17"/>
    <w:rsid w:val="000E0D4B"/>
    <w:rsid w:val="001048C0"/>
    <w:rsid w:val="00105AB6"/>
    <w:rsid w:val="00126CA9"/>
    <w:rsid w:val="001367BE"/>
    <w:rsid w:val="001663F8"/>
    <w:rsid w:val="001D0316"/>
    <w:rsid w:val="001F1E6F"/>
    <w:rsid w:val="00287180"/>
    <w:rsid w:val="00292716"/>
    <w:rsid w:val="002C1C21"/>
    <w:rsid w:val="002C2E6A"/>
    <w:rsid w:val="002C4F84"/>
    <w:rsid w:val="00315218"/>
    <w:rsid w:val="00334AC6"/>
    <w:rsid w:val="00336941"/>
    <w:rsid w:val="00390395"/>
    <w:rsid w:val="00395D6A"/>
    <w:rsid w:val="003E7A0A"/>
    <w:rsid w:val="004027EF"/>
    <w:rsid w:val="00430260"/>
    <w:rsid w:val="0044514D"/>
    <w:rsid w:val="00450B93"/>
    <w:rsid w:val="00481099"/>
    <w:rsid w:val="0049284D"/>
    <w:rsid w:val="00510663"/>
    <w:rsid w:val="00595348"/>
    <w:rsid w:val="005C4AFB"/>
    <w:rsid w:val="005D2F32"/>
    <w:rsid w:val="005F0033"/>
    <w:rsid w:val="005F2443"/>
    <w:rsid w:val="00613B10"/>
    <w:rsid w:val="00627F27"/>
    <w:rsid w:val="00676137"/>
    <w:rsid w:val="006A520E"/>
    <w:rsid w:val="006B63C4"/>
    <w:rsid w:val="006B6527"/>
    <w:rsid w:val="006C6A38"/>
    <w:rsid w:val="006C6F59"/>
    <w:rsid w:val="006E72A9"/>
    <w:rsid w:val="00724DA1"/>
    <w:rsid w:val="0076404B"/>
    <w:rsid w:val="00775960"/>
    <w:rsid w:val="00796039"/>
    <w:rsid w:val="007A4C9C"/>
    <w:rsid w:val="007D45BE"/>
    <w:rsid w:val="00847062"/>
    <w:rsid w:val="0085244C"/>
    <w:rsid w:val="00927F8C"/>
    <w:rsid w:val="00945571"/>
    <w:rsid w:val="00957B81"/>
    <w:rsid w:val="00960F2A"/>
    <w:rsid w:val="00983D74"/>
    <w:rsid w:val="009E4367"/>
    <w:rsid w:val="009E476D"/>
    <w:rsid w:val="00A00CF1"/>
    <w:rsid w:val="00A06359"/>
    <w:rsid w:val="00A406FB"/>
    <w:rsid w:val="00A43150"/>
    <w:rsid w:val="00A8707D"/>
    <w:rsid w:val="00B3699D"/>
    <w:rsid w:val="00B53C28"/>
    <w:rsid w:val="00B679E0"/>
    <w:rsid w:val="00B964FB"/>
    <w:rsid w:val="00BA0378"/>
    <w:rsid w:val="00BD7714"/>
    <w:rsid w:val="00BF7012"/>
    <w:rsid w:val="00BF79EC"/>
    <w:rsid w:val="00C54CA3"/>
    <w:rsid w:val="00C73958"/>
    <w:rsid w:val="00CC48FF"/>
    <w:rsid w:val="00D34692"/>
    <w:rsid w:val="00E246EB"/>
    <w:rsid w:val="00ED6FCA"/>
    <w:rsid w:val="00EE0B1D"/>
    <w:rsid w:val="00EF2457"/>
    <w:rsid w:val="00F52A4F"/>
    <w:rsid w:val="00F668E6"/>
    <w:rsid w:val="00FA5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82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334AC6"/>
    <w:pPr>
      <w:ind w:left="720"/>
      <w:contextualSpacing/>
    </w:pPr>
  </w:style>
  <w:style w:type="paragraph" w:styleId="FootnoteText">
    <w:name w:val="footnote text"/>
    <w:aliases w:val="FA Fu,Footnote Text Char1,Footnote Text Char Char,Footnote Text Char1 Char Char,Footnote Text Char Char Char Char,Footnote Text Char1 Char Char Char Char,Footnote Char Char Char Char Char,Footnote Text Char Char Char Char Char Char, Char,f"/>
    <w:basedOn w:val="Normal"/>
    <w:link w:val="FootnoteTextChar"/>
    <w:uiPriority w:val="99"/>
    <w:unhideWhenUsed/>
    <w:qFormat/>
    <w:rsid w:val="00334AC6"/>
    <w:pPr>
      <w:spacing w:after="0" w:line="240" w:lineRule="auto"/>
    </w:pPr>
    <w:rPr>
      <w:sz w:val="20"/>
      <w:szCs w:val="20"/>
    </w:rPr>
  </w:style>
  <w:style w:type="character" w:customStyle="1" w:styleId="FootnoteTextChar">
    <w:name w:val="Footnote Text Char"/>
    <w:aliases w:val="FA Fu Char,Footnote Text Char1 Char,Footnote Text Char Char Char,Footnote Text Char1 Char Char Char,Footnote Text Char Char Char Char Char,Footnote Text Char1 Char Char Char Char Char,Footnote Char Char Char Char Char Char, Char Char"/>
    <w:basedOn w:val="DefaultParagraphFont"/>
    <w:link w:val="FootnoteText"/>
    <w:uiPriority w:val="99"/>
    <w:rsid w:val="00334AC6"/>
    <w:rPr>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basedOn w:val="DefaultParagraphFont"/>
    <w:link w:val="4GCharCharChar"/>
    <w:uiPriority w:val="99"/>
    <w:unhideWhenUsed/>
    <w:qFormat/>
    <w:rsid w:val="00334AC6"/>
    <w:rPr>
      <w:vertAlign w:val="superscript"/>
    </w:rPr>
  </w:style>
  <w:style w:type="character" w:styleId="Hyperlink">
    <w:name w:val="Hyperlink"/>
    <w:basedOn w:val="DefaultParagraphFont"/>
    <w:uiPriority w:val="99"/>
    <w:unhideWhenUsed/>
    <w:rsid w:val="00334AC6"/>
    <w:rPr>
      <w:color w:val="0000FF" w:themeColor="hyperlink"/>
      <w:u w:val="singl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334AC6"/>
    <w:pPr>
      <w:spacing w:after="160" w:line="240" w:lineRule="exact"/>
      <w:jc w:val="both"/>
    </w:pPr>
    <w:rPr>
      <w:vertAlign w:val="superscript"/>
    </w:rPr>
  </w:style>
  <w:style w:type="paragraph" w:customStyle="1" w:styleId="fncase">
    <w:name w:val="fn case"/>
    <w:basedOn w:val="Normal"/>
    <w:link w:val="fncaseChar"/>
    <w:qFormat/>
    <w:rsid w:val="00334AC6"/>
    <w:pPr>
      <w:shd w:val="clear" w:color="auto" w:fill="FFFFFF"/>
      <w:spacing w:before="100" w:beforeAutospacing="1" w:after="100" w:afterAutospacing="1" w:line="240" w:lineRule="auto"/>
      <w:textAlignment w:val="top"/>
    </w:pPr>
    <w:rPr>
      <w:rFonts w:ascii="Arial" w:eastAsia="Times New Roman" w:hAnsi="Arial"/>
      <w:i/>
      <w:sz w:val="20"/>
      <w:szCs w:val="20"/>
    </w:rPr>
  </w:style>
  <w:style w:type="character" w:customStyle="1" w:styleId="fncaseChar">
    <w:name w:val="fn case Char"/>
    <w:basedOn w:val="DefaultParagraphFont"/>
    <w:link w:val="fncase"/>
    <w:rsid w:val="00334AC6"/>
    <w:rPr>
      <w:rFonts w:ascii="Arial" w:eastAsia="Times New Roman" w:hAnsi="Arial"/>
      <w:i/>
      <w:sz w:val="20"/>
      <w:szCs w:val="20"/>
      <w:shd w:val="clear" w:color="auto" w:fill="FFFFF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qFormat/>
    <w:locked/>
    <w:rsid w:val="00334AC6"/>
  </w:style>
  <w:style w:type="paragraph" w:customStyle="1" w:styleId="Default">
    <w:name w:val="Default"/>
    <w:link w:val="DefaultChar"/>
    <w:rsid w:val="00334A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DefaultChar">
    <w:name w:val="Default Char"/>
    <w:link w:val="Default"/>
    <w:rsid w:val="00334AC6"/>
    <w:rPr>
      <w:rFonts w:ascii="Arial" w:eastAsia="Times New Roman" w:hAnsi="Arial" w:cs="Arial"/>
      <w:color w:val="000000"/>
      <w:sz w:val="24"/>
      <w:szCs w:val="24"/>
      <w:lang w:eastAsia="en-GB"/>
    </w:rPr>
  </w:style>
  <w:style w:type="paragraph" w:customStyle="1" w:styleId="Parabeforeanother">
    <w:name w:val="&gt; Para before another"/>
    <w:basedOn w:val="Normal"/>
    <w:qFormat/>
    <w:rsid w:val="00334AC6"/>
    <w:pPr>
      <w:spacing w:after="160" w:line="312" w:lineRule="auto"/>
    </w:pPr>
    <w:rPr>
      <w:rFonts w:ascii="Arial" w:eastAsia="Calibri" w:hAnsi="Arial" w:cs="Arial"/>
      <w:sz w:val="24"/>
      <w:szCs w:val="24"/>
    </w:rPr>
  </w:style>
  <w:style w:type="paragraph" w:customStyle="1" w:styleId="Title-subsections">
    <w:name w:val="&gt; Title - subsections"/>
    <w:basedOn w:val="Parabeforeanother"/>
    <w:qFormat/>
    <w:rsid w:val="00334AC6"/>
    <w:pPr>
      <w:spacing w:after="100"/>
    </w:pPr>
    <w:rPr>
      <w:b/>
    </w:rPr>
  </w:style>
  <w:style w:type="paragraph" w:styleId="BalloonText">
    <w:name w:val="Balloon Text"/>
    <w:basedOn w:val="Normal"/>
    <w:link w:val="BalloonTextChar"/>
    <w:uiPriority w:val="99"/>
    <w:semiHidden/>
    <w:unhideWhenUsed/>
    <w:rsid w:val="00BA0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8"/>
    <w:rPr>
      <w:rFonts w:ascii="Tahoma" w:hAnsi="Tahoma" w:cs="Tahoma"/>
      <w:sz w:val="16"/>
      <w:szCs w:val="16"/>
    </w:rPr>
  </w:style>
  <w:style w:type="paragraph" w:customStyle="1" w:styleId="Title-chaptergrey">
    <w:name w:val="&gt; Title - chapter grey"/>
    <w:basedOn w:val="Normal"/>
    <w:qFormat/>
    <w:rsid w:val="00BA0378"/>
    <w:pPr>
      <w:keepNext/>
      <w:keepLines/>
      <w:spacing w:after="1920" w:line="288" w:lineRule="auto"/>
      <w:outlineLvl w:val="0"/>
    </w:pPr>
    <w:rPr>
      <w:rFonts w:ascii="Georgia" w:eastAsia="Times New Roman" w:hAnsi="Georgia" w:cs="Times New Roman"/>
      <w:bCs/>
      <w:color w:val="505759"/>
      <w:sz w:val="48"/>
      <w:szCs w:val="48"/>
    </w:rPr>
  </w:style>
  <w:style w:type="character" w:styleId="FollowedHyperlink">
    <w:name w:val="FollowedHyperlink"/>
    <w:basedOn w:val="DefaultParagraphFont"/>
    <w:uiPriority w:val="99"/>
    <w:semiHidden/>
    <w:unhideWhenUsed/>
    <w:rsid w:val="006A520E"/>
    <w:rPr>
      <w:color w:val="800080" w:themeColor="followedHyperlink"/>
      <w:u w:val="single"/>
    </w:rPr>
  </w:style>
  <w:style w:type="character" w:styleId="CommentReference">
    <w:name w:val="annotation reference"/>
    <w:basedOn w:val="DefaultParagraphFont"/>
    <w:uiPriority w:val="99"/>
    <w:semiHidden/>
    <w:unhideWhenUsed/>
    <w:rsid w:val="00A43150"/>
    <w:rPr>
      <w:sz w:val="16"/>
      <w:szCs w:val="16"/>
    </w:rPr>
  </w:style>
  <w:style w:type="paragraph" w:styleId="CommentText">
    <w:name w:val="annotation text"/>
    <w:basedOn w:val="Normal"/>
    <w:link w:val="CommentTextChar"/>
    <w:uiPriority w:val="99"/>
    <w:semiHidden/>
    <w:unhideWhenUsed/>
    <w:rsid w:val="00A43150"/>
    <w:pPr>
      <w:spacing w:line="240" w:lineRule="auto"/>
    </w:pPr>
    <w:rPr>
      <w:sz w:val="20"/>
      <w:szCs w:val="20"/>
    </w:rPr>
  </w:style>
  <w:style w:type="character" w:customStyle="1" w:styleId="CommentTextChar">
    <w:name w:val="Comment Text Char"/>
    <w:basedOn w:val="DefaultParagraphFont"/>
    <w:link w:val="CommentText"/>
    <w:uiPriority w:val="99"/>
    <w:semiHidden/>
    <w:rsid w:val="00A43150"/>
    <w:rPr>
      <w:sz w:val="20"/>
      <w:szCs w:val="20"/>
    </w:rPr>
  </w:style>
  <w:style w:type="paragraph" w:styleId="CommentSubject">
    <w:name w:val="annotation subject"/>
    <w:basedOn w:val="CommentText"/>
    <w:next w:val="CommentText"/>
    <w:link w:val="CommentSubjectChar"/>
    <w:uiPriority w:val="99"/>
    <w:semiHidden/>
    <w:unhideWhenUsed/>
    <w:rsid w:val="00A43150"/>
    <w:rPr>
      <w:b/>
      <w:bCs/>
    </w:rPr>
  </w:style>
  <w:style w:type="character" w:customStyle="1" w:styleId="CommentSubjectChar">
    <w:name w:val="Comment Subject Char"/>
    <w:basedOn w:val="CommentTextChar"/>
    <w:link w:val="CommentSubject"/>
    <w:uiPriority w:val="99"/>
    <w:semiHidden/>
    <w:rsid w:val="00A43150"/>
    <w:rPr>
      <w:b/>
      <w:bCs/>
      <w:sz w:val="20"/>
      <w:szCs w:val="20"/>
    </w:rPr>
  </w:style>
  <w:style w:type="paragraph" w:styleId="Header">
    <w:name w:val="header"/>
    <w:basedOn w:val="Normal"/>
    <w:link w:val="HeaderChar"/>
    <w:uiPriority w:val="99"/>
    <w:unhideWhenUsed/>
    <w:rsid w:val="00957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B81"/>
  </w:style>
  <w:style w:type="paragraph" w:styleId="Footer">
    <w:name w:val="footer"/>
    <w:basedOn w:val="Normal"/>
    <w:link w:val="FooterChar"/>
    <w:uiPriority w:val="99"/>
    <w:unhideWhenUsed/>
    <w:rsid w:val="00957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334AC6"/>
    <w:pPr>
      <w:ind w:left="720"/>
      <w:contextualSpacing/>
    </w:pPr>
  </w:style>
  <w:style w:type="paragraph" w:styleId="FootnoteText">
    <w:name w:val="footnote text"/>
    <w:aliases w:val="FA Fu,Footnote Text Char1,Footnote Text Char Char,Footnote Text Char1 Char Char,Footnote Text Char Char Char Char,Footnote Text Char1 Char Char Char Char,Footnote Char Char Char Char Char,Footnote Text Char Char Char Char Char Char, Char,f"/>
    <w:basedOn w:val="Normal"/>
    <w:link w:val="FootnoteTextChar"/>
    <w:uiPriority w:val="99"/>
    <w:unhideWhenUsed/>
    <w:qFormat/>
    <w:rsid w:val="00334AC6"/>
    <w:pPr>
      <w:spacing w:after="0" w:line="240" w:lineRule="auto"/>
    </w:pPr>
    <w:rPr>
      <w:sz w:val="20"/>
      <w:szCs w:val="20"/>
    </w:rPr>
  </w:style>
  <w:style w:type="character" w:customStyle="1" w:styleId="FootnoteTextChar">
    <w:name w:val="Footnote Text Char"/>
    <w:aliases w:val="FA Fu Char,Footnote Text Char1 Char,Footnote Text Char Char Char,Footnote Text Char1 Char Char Char,Footnote Text Char Char Char Char Char,Footnote Text Char1 Char Char Char Char Char,Footnote Char Char Char Char Char Char, Char Char"/>
    <w:basedOn w:val="DefaultParagraphFont"/>
    <w:link w:val="FootnoteText"/>
    <w:uiPriority w:val="99"/>
    <w:rsid w:val="00334AC6"/>
    <w:rPr>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basedOn w:val="DefaultParagraphFont"/>
    <w:link w:val="4GCharCharChar"/>
    <w:uiPriority w:val="99"/>
    <w:unhideWhenUsed/>
    <w:qFormat/>
    <w:rsid w:val="00334AC6"/>
    <w:rPr>
      <w:vertAlign w:val="superscript"/>
    </w:rPr>
  </w:style>
  <w:style w:type="character" w:styleId="Hyperlink">
    <w:name w:val="Hyperlink"/>
    <w:basedOn w:val="DefaultParagraphFont"/>
    <w:uiPriority w:val="99"/>
    <w:unhideWhenUsed/>
    <w:rsid w:val="00334AC6"/>
    <w:rPr>
      <w:color w:val="0000FF" w:themeColor="hyperlink"/>
      <w:u w:val="singl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334AC6"/>
    <w:pPr>
      <w:spacing w:after="160" w:line="240" w:lineRule="exact"/>
      <w:jc w:val="both"/>
    </w:pPr>
    <w:rPr>
      <w:vertAlign w:val="superscript"/>
    </w:rPr>
  </w:style>
  <w:style w:type="paragraph" w:customStyle="1" w:styleId="fncase">
    <w:name w:val="fn case"/>
    <w:basedOn w:val="Normal"/>
    <w:link w:val="fncaseChar"/>
    <w:qFormat/>
    <w:rsid w:val="00334AC6"/>
    <w:pPr>
      <w:shd w:val="clear" w:color="auto" w:fill="FFFFFF"/>
      <w:spacing w:before="100" w:beforeAutospacing="1" w:after="100" w:afterAutospacing="1" w:line="240" w:lineRule="auto"/>
      <w:textAlignment w:val="top"/>
    </w:pPr>
    <w:rPr>
      <w:rFonts w:ascii="Arial" w:eastAsia="Times New Roman" w:hAnsi="Arial"/>
      <w:i/>
      <w:sz w:val="20"/>
      <w:szCs w:val="20"/>
    </w:rPr>
  </w:style>
  <w:style w:type="character" w:customStyle="1" w:styleId="fncaseChar">
    <w:name w:val="fn case Char"/>
    <w:basedOn w:val="DefaultParagraphFont"/>
    <w:link w:val="fncase"/>
    <w:rsid w:val="00334AC6"/>
    <w:rPr>
      <w:rFonts w:ascii="Arial" w:eastAsia="Times New Roman" w:hAnsi="Arial"/>
      <w:i/>
      <w:sz w:val="20"/>
      <w:szCs w:val="20"/>
      <w:shd w:val="clear" w:color="auto" w:fill="FFFFF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qFormat/>
    <w:locked/>
    <w:rsid w:val="00334AC6"/>
  </w:style>
  <w:style w:type="paragraph" w:customStyle="1" w:styleId="Default">
    <w:name w:val="Default"/>
    <w:link w:val="DefaultChar"/>
    <w:rsid w:val="00334A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DefaultChar">
    <w:name w:val="Default Char"/>
    <w:link w:val="Default"/>
    <w:rsid w:val="00334AC6"/>
    <w:rPr>
      <w:rFonts w:ascii="Arial" w:eastAsia="Times New Roman" w:hAnsi="Arial" w:cs="Arial"/>
      <w:color w:val="000000"/>
      <w:sz w:val="24"/>
      <w:szCs w:val="24"/>
      <w:lang w:eastAsia="en-GB"/>
    </w:rPr>
  </w:style>
  <w:style w:type="paragraph" w:customStyle="1" w:styleId="Parabeforeanother">
    <w:name w:val="&gt; Para before another"/>
    <w:basedOn w:val="Normal"/>
    <w:qFormat/>
    <w:rsid w:val="00334AC6"/>
    <w:pPr>
      <w:spacing w:after="160" w:line="312" w:lineRule="auto"/>
    </w:pPr>
    <w:rPr>
      <w:rFonts w:ascii="Arial" w:eastAsia="Calibri" w:hAnsi="Arial" w:cs="Arial"/>
      <w:sz w:val="24"/>
      <w:szCs w:val="24"/>
    </w:rPr>
  </w:style>
  <w:style w:type="paragraph" w:customStyle="1" w:styleId="Title-subsections">
    <w:name w:val="&gt; Title - subsections"/>
    <w:basedOn w:val="Parabeforeanother"/>
    <w:qFormat/>
    <w:rsid w:val="00334AC6"/>
    <w:pPr>
      <w:spacing w:after="100"/>
    </w:pPr>
    <w:rPr>
      <w:b/>
    </w:rPr>
  </w:style>
  <w:style w:type="paragraph" w:styleId="BalloonText">
    <w:name w:val="Balloon Text"/>
    <w:basedOn w:val="Normal"/>
    <w:link w:val="BalloonTextChar"/>
    <w:uiPriority w:val="99"/>
    <w:semiHidden/>
    <w:unhideWhenUsed/>
    <w:rsid w:val="00BA0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8"/>
    <w:rPr>
      <w:rFonts w:ascii="Tahoma" w:hAnsi="Tahoma" w:cs="Tahoma"/>
      <w:sz w:val="16"/>
      <w:szCs w:val="16"/>
    </w:rPr>
  </w:style>
  <w:style w:type="paragraph" w:customStyle="1" w:styleId="Title-chaptergrey">
    <w:name w:val="&gt; Title - chapter grey"/>
    <w:basedOn w:val="Normal"/>
    <w:qFormat/>
    <w:rsid w:val="00BA0378"/>
    <w:pPr>
      <w:keepNext/>
      <w:keepLines/>
      <w:spacing w:after="1920" w:line="288" w:lineRule="auto"/>
      <w:outlineLvl w:val="0"/>
    </w:pPr>
    <w:rPr>
      <w:rFonts w:ascii="Georgia" w:eastAsia="Times New Roman" w:hAnsi="Georgia" w:cs="Times New Roman"/>
      <w:bCs/>
      <w:color w:val="505759"/>
      <w:sz w:val="48"/>
      <w:szCs w:val="48"/>
    </w:rPr>
  </w:style>
  <w:style w:type="character" w:styleId="FollowedHyperlink">
    <w:name w:val="FollowedHyperlink"/>
    <w:basedOn w:val="DefaultParagraphFont"/>
    <w:uiPriority w:val="99"/>
    <w:semiHidden/>
    <w:unhideWhenUsed/>
    <w:rsid w:val="006A520E"/>
    <w:rPr>
      <w:color w:val="800080" w:themeColor="followedHyperlink"/>
      <w:u w:val="single"/>
    </w:rPr>
  </w:style>
  <w:style w:type="character" w:styleId="CommentReference">
    <w:name w:val="annotation reference"/>
    <w:basedOn w:val="DefaultParagraphFont"/>
    <w:uiPriority w:val="99"/>
    <w:semiHidden/>
    <w:unhideWhenUsed/>
    <w:rsid w:val="00A43150"/>
    <w:rPr>
      <w:sz w:val="16"/>
      <w:szCs w:val="16"/>
    </w:rPr>
  </w:style>
  <w:style w:type="paragraph" w:styleId="CommentText">
    <w:name w:val="annotation text"/>
    <w:basedOn w:val="Normal"/>
    <w:link w:val="CommentTextChar"/>
    <w:uiPriority w:val="99"/>
    <w:semiHidden/>
    <w:unhideWhenUsed/>
    <w:rsid w:val="00A43150"/>
    <w:pPr>
      <w:spacing w:line="240" w:lineRule="auto"/>
    </w:pPr>
    <w:rPr>
      <w:sz w:val="20"/>
      <w:szCs w:val="20"/>
    </w:rPr>
  </w:style>
  <w:style w:type="character" w:customStyle="1" w:styleId="CommentTextChar">
    <w:name w:val="Comment Text Char"/>
    <w:basedOn w:val="DefaultParagraphFont"/>
    <w:link w:val="CommentText"/>
    <w:uiPriority w:val="99"/>
    <w:semiHidden/>
    <w:rsid w:val="00A43150"/>
    <w:rPr>
      <w:sz w:val="20"/>
      <w:szCs w:val="20"/>
    </w:rPr>
  </w:style>
  <w:style w:type="paragraph" w:styleId="CommentSubject">
    <w:name w:val="annotation subject"/>
    <w:basedOn w:val="CommentText"/>
    <w:next w:val="CommentText"/>
    <w:link w:val="CommentSubjectChar"/>
    <w:uiPriority w:val="99"/>
    <w:semiHidden/>
    <w:unhideWhenUsed/>
    <w:rsid w:val="00A43150"/>
    <w:rPr>
      <w:b/>
      <w:bCs/>
    </w:rPr>
  </w:style>
  <w:style w:type="character" w:customStyle="1" w:styleId="CommentSubjectChar">
    <w:name w:val="Comment Subject Char"/>
    <w:basedOn w:val="CommentTextChar"/>
    <w:link w:val="CommentSubject"/>
    <w:uiPriority w:val="99"/>
    <w:semiHidden/>
    <w:rsid w:val="00A43150"/>
    <w:rPr>
      <w:b/>
      <w:bCs/>
      <w:sz w:val="20"/>
      <w:szCs w:val="20"/>
    </w:rPr>
  </w:style>
  <w:style w:type="paragraph" w:styleId="Header">
    <w:name w:val="header"/>
    <w:basedOn w:val="Normal"/>
    <w:link w:val="HeaderChar"/>
    <w:uiPriority w:val="99"/>
    <w:unhideWhenUsed/>
    <w:rsid w:val="00957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B81"/>
  </w:style>
  <w:style w:type="paragraph" w:styleId="Footer">
    <w:name w:val="footer"/>
    <w:basedOn w:val="Normal"/>
    <w:link w:val="FooterChar"/>
    <w:uiPriority w:val="99"/>
    <w:unhideWhenUsed/>
    <w:rsid w:val="00957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s>
</file>

<file path=word/_rels/footnotes.xml.rels><?xml version="1.0" encoding="UTF-8" standalone="yes"?>
<Relationships xmlns="http://schemas.openxmlformats.org/package/2006/relationships"><Relationship Id="rId8" Type="http://schemas.openxmlformats.org/officeDocument/2006/relationships/hyperlink" Target="http://tbinternet.ohchr.org/_layouts/treatybodyexternal/Download.aspx?symbolno=CRPD%2fC%2f17%2fR.3&amp;Lang=en" TargetMode="External"/><Relationship Id="rId13" Type="http://schemas.openxmlformats.org/officeDocument/2006/relationships/hyperlink" Target="http://tbinternet.ohchr.org/_layouts/treatybodyexternal/Download.aspx?symbolno=CRPD%2fC%2f17%2fR.3&amp;Lang=en" TargetMode="External"/><Relationship Id="rId18" Type="http://schemas.openxmlformats.org/officeDocument/2006/relationships/hyperlink" Target="http://gov.wales/topics/health/socialcare/wilg/?lang=en" TargetMode="External"/><Relationship Id="rId26" Type="http://schemas.openxmlformats.org/officeDocument/2006/relationships/hyperlink" Target="https://www.amnesty.org/en/documents/eur45/4936/2016/en/" TargetMode="External"/><Relationship Id="rId3" Type="http://schemas.openxmlformats.org/officeDocument/2006/relationships/hyperlink" Target="https://www.equalityhumanrights.com/en/file/20346/download?token=c1Fe1QWx" TargetMode="External"/><Relationship Id="rId21" Type="http://schemas.openxmlformats.org/officeDocument/2006/relationships/hyperlink" Target="https://www.health-ni.gov.uk/publications/dhssps-ministerial-announcements-and-statements-2015" TargetMode="External"/><Relationship Id="rId7" Type="http://schemas.openxmlformats.org/officeDocument/2006/relationships/hyperlink" Target="http://tbinternet.ohchr.org/_layouts/treatybodyexternal/Download.aspx?symbolno=CRPD%2fC%2f15%2fR.2%2fRev.1&amp;Lang=en" TargetMode="External"/><Relationship Id="rId12" Type="http://schemas.openxmlformats.org/officeDocument/2006/relationships/hyperlink" Target="http://tbinternet.ohchr.org/_layouts/treatybodyexternal/Download.aspx?symbolno=CRPD%2fC%2f15%2fR.2%2fRev.1&amp;Lang=en" TargetMode="External"/><Relationship Id="rId17" Type="http://schemas.openxmlformats.org/officeDocument/2006/relationships/hyperlink" Target="http://gov.wales/about/cabinet/cabinetstatements/2016-new/ilf/?lang=en" TargetMode="External"/><Relationship Id="rId25" Type="http://schemas.openxmlformats.org/officeDocument/2006/relationships/hyperlink" Target="https://www.equalityhumanrights.com/sites/default/files/research-report-99-equality-human-rights-and-access-to-civil-law-justice.pdf" TargetMode="External"/><Relationship Id="rId2" Type="http://schemas.openxmlformats.org/officeDocument/2006/relationships/hyperlink" Target="http://tbinternet.ohchr.org/_layouts/treatybodyexternal/Download.aspx?symbolno=CRPD%2fC%2f17%2fR.3&amp;Lang=en" TargetMode="External"/><Relationship Id="rId16" Type="http://schemas.openxmlformats.org/officeDocument/2006/relationships/hyperlink" Target="https://www.gov.uk/government/news/future-of-the-independent-living-fund" TargetMode="External"/><Relationship Id="rId20" Type="http://schemas.openxmlformats.org/officeDocument/2006/relationships/hyperlink" Target="http://www.disabilityrightsuk.org/news/2015/april/most-councils-will-not-ring-fence-ilf-resources" TargetMode="External"/><Relationship Id="rId1" Type="http://schemas.openxmlformats.org/officeDocument/2006/relationships/hyperlink" Target="http://tbinternet.ohchr.org/_layouts/treatybodyexternal/Download.aspx?symbolno=CRPD%2fC%2f15%2fR.2%2fRev.1&amp;Lang=en" TargetMode="External"/><Relationship Id="rId6" Type="http://schemas.openxmlformats.org/officeDocument/2006/relationships/hyperlink" Target="http://daccess-ods.un.org/access.nsf/Get?Open&amp;DS=A/HRC/33/32&amp;Lang=E" TargetMode="External"/><Relationship Id="rId11" Type="http://schemas.openxmlformats.org/officeDocument/2006/relationships/hyperlink" Target="http://docstore.ohchr.org/SelfServices/FilesHandler.ashx?enc=4slQ6QSmlBEDzFEovLCuW3XRinAE8KCBFoqOHNz%2fvuCC%2bTxEKAI18bzE0UtfQhJkxxOSGuoMUxHGypYLjNFkwxnMR6GmqogLJF8BzscMe9wTU5WoZkAmPGYS31G%2bn4iJ" TargetMode="External"/><Relationship Id="rId24" Type="http://schemas.openxmlformats.org/officeDocument/2006/relationships/hyperlink" Target="http://tbinternet.ohchr.org/_layouts/treatybodyexternal/Download.aspx?symbolno=CRPD%2fC%2f15%2fR.2%2fRev.1&amp;Lang=en" TargetMode="External"/><Relationship Id="rId5" Type="http://schemas.openxmlformats.org/officeDocument/2006/relationships/hyperlink" Target="https://www.equalityhumanrights.com/cy/node/1141" TargetMode="External"/><Relationship Id="rId15" Type="http://schemas.openxmlformats.org/officeDocument/2006/relationships/hyperlink" Target="http://daccess-ods.un.org/access.nsf/Get?Open&amp;DS=A/HRC/33/32&amp;Lang=E" TargetMode="External"/><Relationship Id="rId23" Type="http://schemas.openxmlformats.org/officeDocument/2006/relationships/hyperlink" Target="http://tbinternet.ohchr.org/_layouts/treatybodyexternal/Download.aspx?symbolno=CRPD%2fC%2f17%2fR.3&amp;Lang=en" TargetMode="External"/><Relationship Id="rId10" Type="http://schemas.openxmlformats.org/officeDocument/2006/relationships/hyperlink" Target="https://www.gov.uk/government/uploads/system/uploads/attachment_data/file/324059/ssac_occasional_paper_12_report.pdf" TargetMode="External"/><Relationship Id="rId19" Type="http://schemas.openxmlformats.org/officeDocument/2006/relationships/hyperlink" Target="https://www.inclusionlondon.org.uk/campaigns-and-policy/facts-and-information/independent-living-social-care-and-health/ilf-one-year-on/?utm_source=General+list&amp;utm_campaign=d0c46bff2e-June_Newsletter_2016&amp;utm_medium=email&amp;utm_term=0_4da980cbc9-d0c46bff2e-149716677" TargetMode="External"/><Relationship Id="rId4" Type="http://schemas.openxmlformats.org/officeDocument/2006/relationships/hyperlink" Target="https://www.google.co.uk/url?sa=t&amp;rct=j&amp;q=&amp;esrc=s&amp;source=web&amp;cd=3&amp;cad=rja&amp;uact=8&amp;ved=0ahUKEwjG8Y2m6dLQAhXkD8AKHZDCAb8QFggpMAI&amp;url=http%3A%2F%2Ftbinternet.ohchr.org%2FTreaties%2FCESCR%2FShared%2520Documents%2FGBR%2FINT_CESCR_IFN_GBR_23989_E.pdf&amp;usg=AFQjCNFwi3K3QLNaCCwDRbd1BBq8h52dYg&amp;sig2=HHXogGgErbA_3VNRmeQWWQ" TargetMode="External"/><Relationship Id="rId9" Type="http://schemas.openxmlformats.org/officeDocument/2006/relationships/hyperlink" Target="https://www.equalityhumanrights.com/sites/default/files/research-report-94-cumulative-impact-assessment.pdf" TargetMode="External"/><Relationship Id="rId14" Type="http://schemas.openxmlformats.org/officeDocument/2006/relationships/hyperlink" Target="http://tbinternet.ohchr.org/_layouts/treatybodyexternal/TBSearch.aspx?Lang=en&amp;TreatyID=9&amp;DocTypeID=11" TargetMode="External"/><Relationship Id="rId22" Type="http://schemas.openxmlformats.org/officeDocument/2006/relationships/hyperlink" Target="http://www.welfareweekly.com/northern-ireland-independent-living-fund-to-be-administered-in-scotland/" TargetMode="External"/><Relationship Id="rId27" Type="http://schemas.openxmlformats.org/officeDocument/2006/relationships/hyperlink" Target="http://www.ohchr.org/EN/Countries/ENACARegion/Pages/GB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61705-1E16-4EAC-A17B-26789746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1462</Words>
  <Characters>8340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Fox</dc:creator>
  <cp:lastModifiedBy>Rachel Longstaff</cp:lastModifiedBy>
  <cp:revision>2</cp:revision>
  <cp:lastPrinted>2016-12-01T16:20:00Z</cp:lastPrinted>
  <dcterms:created xsi:type="dcterms:W3CDTF">2016-12-02T12:58:00Z</dcterms:created>
  <dcterms:modified xsi:type="dcterms:W3CDTF">2016-12-02T12:58:00Z</dcterms:modified>
</cp:coreProperties>
</file>