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CCBBA" w14:textId="77777777" w:rsidR="00752E4D" w:rsidRPr="00415442" w:rsidRDefault="00752E4D" w:rsidP="00752E4D">
      <w:pPr>
        <w:pStyle w:val="Title"/>
        <w:rPr>
          <w:b w:val="0"/>
        </w:rPr>
      </w:pPr>
      <w:r w:rsidRPr="00415442">
        <w:t>Equality and Human Rights Commission</w:t>
      </w:r>
    </w:p>
    <w:p w14:paraId="7BDDE62E" w14:textId="4EAAEE1B" w:rsidR="00031062" w:rsidRDefault="00752E4D" w:rsidP="00752E4D">
      <w:r w:rsidRPr="00031062">
        <w:t>Minutes</w:t>
      </w:r>
      <w:r>
        <w:t xml:space="preserve"> of the ninth meeting of the Disability Advisory Committee </w:t>
      </w:r>
      <w:r w:rsidR="00697556">
        <w:t>Wednesday 17</w:t>
      </w:r>
      <w:r w:rsidR="000A7515">
        <w:t xml:space="preserve"> </w:t>
      </w:r>
      <w:r w:rsidR="00697556">
        <w:t>July</w:t>
      </w:r>
      <w:r w:rsidR="00381062">
        <w:t xml:space="preserve"> </w:t>
      </w:r>
      <w:r w:rsidR="00660E57">
        <w:t>201</w:t>
      </w:r>
      <w:r w:rsidR="0093627C">
        <w:t>9</w:t>
      </w:r>
      <w:r w:rsidR="00CC36DB">
        <w:t>,</w:t>
      </w:r>
      <w:r w:rsidR="00660E57">
        <w:t xml:space="preserve"> </w:t>
      </w:r>
      <w:r w:rsidR="00031062">
        <w:t>1</w:t>
      </w:r>
      <w:r w:rsidR="0074503D">
        <w:t>0</w:t>
      </w:r>
      <w:r w:rsidR="00031062">
        <w:t>:</w:t>
      </w:r>
      <w:r w:rsidR="00A6063C">
        <w:t>30</w:t>
      </w:r>
      <w:r w:rsidR="00031062">
        <w:t xml:space="preserve">am to </w:t>
      </w:r>
      <w:r w:rsidR="00A6063C">
        <w:t>3</w:t>
      </w:r>
      <w:r w:rsidR="00AF3BAD">
        <w:t>:</w:t>
      </w:r>
      <w:r w:rsidR="000A7515">
        <w:t>15</w:t>
      </w:r>
      <w:r w:rsidR="00031062">
        <w:t>pm</w:t>
      </w:r>
    </w:p>
    <w:p w14:paraId="0AD46E6C" w14:textId="77777777" w:rsidR="00031062" w:rsidRDefault="00031062" w:rsidP="00031062"/>
    <w:p w14:paraId="129CD484" w14:textId="77777777" w:rsidR="00031062" w:rsidRDefault="00031062" w:rsidP="00D070A9">
      <w:pPr>
        <w:pStyle w:val="Heading2"/>
      </w:pPr>
      <w:r>
        <w:t>Present</w:t>
      </w:r>
    </w:p>
    <w:p w14:paraId="25919709" w14:textId="77777777" w:rsidR="00031062" w:rsidRDefault="00031062" w:rsidP="00031062"/>
    <w:p w14:paraId="5D5BE7E5" w14:textId="77777777" w:rsidR="00031062" w:rsidRPr="00D070A9" w:rsidRDefault="00031062" w:rsidP="00D070A9">
      <w:pPr>
        <w:pStyle w:val="Heading3"/>
      </w:pPr>
      <w:r w:rsidRPr="00D070A9">
        <w:t>Committee Members</w:t>
      </w:r>
    </w:p>
    <w:p w14:paraId="29DC1BCD" w14:textId="69BBB103" w:rsidR="00031062" w:rsidRDefault="00031062" w:rsidP="00031062">
      <w:r>
        <w:t>Rachel Perkins – Chair</w:t>
      </w:r>
    </w:p>
    <w:p w14:paraId="6082BB7F" w14:textId="72438466" w:rsidR="00697556" w:rsidRDefault="00697556" w:rsidP="00031062">
      <w:r>
        <w:t>Sarah Coleman – Deputy Chair</w:t>
      </w:r>
    </w:p>
    <w:p w14:paraId="730B9ABC" w14:textId="62C4EB03" w:rsidR="0074503D" w:rsidRDefault="0074503D" w:rsidP="00031062">
      <w:r>
        <w:t>Simone Aspis</w:t>
      </w:r>
    </w:p>
    <w:p w14:paraId="3778BBBD" w14:textId="3DD8651E" w:rsidR="00EC4371" w:rsidRDefault="00EC4371" w:rsidP="00031062">
      <w:r>
        <w:t>Helen Chipchase</w:t>
      </w:r>
    </w:p>
    <w:p w14:paraId="5D460A75" w14:textId="014DE774" w:rsidR="005F5BFB" w:rsidRDefault="005F5BFB" w:rsidP="005F5BFB">
      <w:r>
        <w:t>Marsali Craig - Scotland Committee Representative</w:t>
      </w:r>
      <w:r w:rsidR="00697556">
        <w:t>; by telephone</w:t>
      </w:r>
    </w:p>
    <w:p w14:paraId="1C3DF6FB" w14:textId="06471B95" w:rsidR="00697556" w:rsidRDefault="00697556" w:rsidP="005F5BFB">
      <w:r>
        <w:t>Miro Griffiths; by videoconference</w:t>
      </w:r>
    </w:p>
    <w:p w14:paraId="52C3F984" w14:textId="171C6FBE" w:rsidR="00697556" w:rsidRDefault="00697556" w:rsidP="005F5BFB">
      <w:r>
        <w:t>Martyn Jones - Wales Committee Representative</w:t>
      </w:r>
    </w:p>
    <w:p w14:paraId="38F795C1" w14:textId="27AC0868" w:rsidR="00F143F5" w:rsidRDefault="00F143F5" w:rsidP="005F5BFB">
      <w:r>
        <w:t>Anna Lawson</w:t>
      </w:r>
    </w:p>
    <w:p w14:paraId="0688DF8B" w14:textId="5991EE35" w:rsidR="00697556" w:rsidRDefault="00697556" w:rsidP="005F5BFB">
      <w:r>
        <w:t>Colin Low</w:t>
      </w:r>
    </w:p>
    <w:p w14:paraId="1937CB98" w14:textId="20805F71" w:rsidR="00FB49E7" w:rsidRDefault="00FB49E7" w:rsidP="00FB49E7">
      <w:r>
        <w:t>Mich</w:t>
      </w:r>
      <w:r w:rsidR="0093627C">
        <w:rPr>
          <w:rFonts w:cs="Arial"/>
        </w:rPr>
        <w:t>è</w:t>
      </w:r>
      <w:r>
        <w:t>le Scattergood</w:t>
      </w:r>
      <w:r w:rsidR="00697556">
        <w:t>;</w:t>
      </w:r>
      <w:r>
        <w:t xml:space="preserve"> by videoconference</w:t>
      </w:r>
    </w:p>
    <w:p w14:paraId="1DDB2325" w14:textId="2707765E" w:rsidR="0093627C" w:rsidRDefault="0093627C" w:rsidP="00FB49E7">
      <w:r>
        <w:t>Nick Watson</w:t>
      </w:r>
      <w:r w:rsidR="00697556">
        <w:t>; by telephone</w:t>
      </w:r>
    </w:p>
    <w:p w14:paraId="0A63CBB0" w14:textId="4593313A" w:rsidR="00D954E6" w:rsidRDefault="00D954E6" w:rsidP="00031062">
      <w:pPr>
        <w:rPr>
          <w:rFonts w:cs="Arial"/>
        </w:rPr>
      </w:pPr>
    </w:p>
    <w:p w14:paraId="5A4C658B" w14:textId="33BBF642" w:rsidR="007C3B57" w:rsidRPr="00D070A9" w:rsidRDefault="007C3B57" w:rsidP="00D070A9">
      <w:pPr>
        <w:pStyle w:val="Heading3"/>
      </w:pPr>
      <w:r w:rsidRPr="00D070A9">
        <w:t>Commissioners</w:t>
      </w:r>
    </w:p>
    <w:p w14:paraId="3FE0651B" w14:textId="77777777" w:rsidR="007C3B57" w:rsidRDefault="007C3B57" w:rsidP="007C3B57">
      <w:pPr>
        <w:rPr>
          <w:rFonts w:cs="Arial"/>
        </w:rPr>
      </w:pPr>
      <w:r>
        <w:t>Caroline Waters – EHRC Deputy Chair</w:t>
      </w:r>
    </w:p>
    <w:p w14:paraId="3AD44D6C" w14:textId="77777777" w:rsidR="007C3B57" w:rsidRDefault="007C3B57" w:rsidP="00031062">
      <w:pPr>
        <w:rPr>
          <w:rFonts w:cs="Arial"/>
        </w:rPr>
      </w:pPr>
    </w:p>
    <w:p w14:paraId="3189CB25" w14:textId="08F407DD" w:rsidR="00031062" w:rsidRDefault="0068444C" w:rsidP="00D070A9">
      <w:pPr>
        <w:pStyle w:val="Heading3"/>
      </w:pPr>
      <w:r>
        <w:t>Officers</w:t>
      </w:r>
    </w:p>
    <w:p w14:paraId="14DE592B" w14:textId="34C4CC11" w:rsidR="00D34B2D" w:rsidRDefault="00D34B2D" w:rsidP="00D34B2D">
      <w:r>
        <w:t>Christina Barnes: Senior Principal, Inquiries and Intelligence (Item 6 and 7)</w:t>
      </w:r>
    </w:p>
    <w:p w14:paraId="7CD58023" w14:textId="0A1E0C5B" w:rsidR="00D267D7" w:rsidRPr="00D34B2D" w:rsidRDefault="00D267D7" w:rsidP="00D34B2D">
      <w:r>
        <w:t>Angus Cleary: Principal, Inquiries and Intelligence (Item 7) by videoconference</w:t>
      </w:r>
    </w:p>
    <w:p w14:paraId="0A42C21B" w14:textId="5911FCF0" w:rsidR="0093627C" w:rsidRDefault="0093627C" w:rsidP="000A3E6A">
      <w:r>
        <w:t>Melanie Field</w:t>
      </w:r>
      <w:r w:rsidR="00AF3F63">
        <w:t>:</w:t>
      </w:r>
      <w:r>
        <w:t xml:space="preserve"> Executive Director, Wales, </w:t>
      </w:r>
      <w:r w:rsidR="00AF3F63">
        <w:t>Corporate</w:t>
      </w:r>
      <w:r>
        <w:t xml:space="preserve"> </w:t>
      </w:r>
      <w:r w:rsidR="00AF3F63">
        <w:t>Strategy</w:t>
      </w:r>
      <w:r>
        <w:t xml:space="preserve"> and Policy</w:t>
      </w:r>
    </w:p>
    <w:p w14:paraId="61F97F35" w14:textId="0FB4594C" w:rsidR="00D34B2D" w:rsidRDefault="00D34B2D" w:rsidP="00D34B2D">
      <w:r>
        <w:t xml:space="preserve">Rachel Fox: Senior Associate, </w:t>
      </w:r>
      <w:r w:rsidR="00D267D7">
        <w:t>Human Rights</w:t>
      </w:r>
      <w:r>
        <w:t xml:space="preserve"> Monitoring and Disability Protected Characteristic Lead (Item 3-12)</w:t>
      </w:r>
    </w:p>
    <w:p w14:paraId="078963CB" w14:textId="3456AC8D" w:rsidR="00D34B2D" w:rsidRDefault="00D34B2D" w:rsidP="00D34B2D">
      <w:r>
        <w:t>Laura Lucking: Director, Compliance (Item 6 and 7)</w:t>
      </w:r>
    </w:p>
    <w:p w14:paraId="7C266334" w14:textId="718A621F" w:rsidR="009B33D6" w:rsidRDefault="009B33D6" w:rsidP="00D34B2D">
      <w:r>
        <w:t>Laura Mingins: Principal, Stakeholder Engagement (Item 9)</w:t>
      </w:r>
    </w:p>
    <w:p w14:paraId="28B0E324" w14:textId="1E1F8C9D" w:rsidR="001F0BA4" w:rsidRDefault="001F0BA4" w:rsidP="000A3E6A">
      <w:r>
        <w:t>Joanna Owen</w:t>
      </w:r>
      <w:r w:rsidR="00D267D7">
        <w:t>: Principal, Advisory and Litigation</w:t>
      </w:r>
      <w:r>
        <w:t xml:space="preserve"> (Item 4)</w:t>
      </w:r>
    </w:p>
    <w:p w14:paraId="3B62251F" w14:textId="27D82A0D" w:rsidR="00D267D7" w:rsidRDefault="00D267D7" w:rsidP="000A3E6A">
      <w:r>
        <w:t>Rachel Robinson: Principal, Policy (Item 7) by videoconference</w:t>
      </w:r>
    </w:p>
    <w:p w14:paraId="510AF11D" w14:textId="33338359" w:rsidR="00D34B2D" w:rsidRDefault="00D34B2D" w:rsidP="000A3E6A">
      <w:r>
        <w:t>Kay Sharkey: Principal, Inquiries and Intelligence (Item 6)</w:t>
      </w:r>
      <w:r w:rsidR="00D267D7">
        <w:t xml:space="preserve"> by videoconference</w:t>
      </w:r>
    </w:p>
    <w:p w14:paraId="2373E5B1" w14:textId="77777777" w:rsidR="00C8511D" w:rsidRDefault="00C8511D" w:rsidP="00C8511D">
      <w:r>
        <w:t>Graham Wheaton: Senior Associate, Corporate Governance (DAC Secretary)</w:t>
      </w:r>
    </w:p>
    <w:p w14:paraId="303F8082" w14:textId="57CB9A5F" w:rsidR="00C8511D" w:rsidRDefault="00C8511D" w:rsidP="00C8511D">
      <w:r>
        <w:t>Eleanor Williams: Principal, Legal</w:t>
      </w:r>
      <w:r w:rsidR="00D267D7">
        <w:t>, Intelligence and Impact</w:t>
      </w:r>
      <w:r w:rsidR="00EE7C88">
        <w:t xml:space="preserve"> (Item 9)</w:t>
      </w:r>
      <w:r w:rsidR="00697556">
        <w:t>;</w:t>
      </w:r>
      <w:r w:rsidR="00CA736F">
        <w:t xml:space="preserve"> by videoconference</w:t>
      </w:r>
    </w:p>
    <w:p w14:paraId="3895D51B" w14:textId="77777777" w:rsidR="000C198D" w:rsidRDefault="000C198D" w:rsidP="00D070A9">
      <w:pPr>
        <w:pStyle w:val="Heading2"/>
      </w:pPr>
      <w:r>
        <w:t>1</w:t>
      </w:r>
      <w:r>
        <w:tab/>
        <w:t>Welcome and apologies for absence</w:t>
      </w:r>
    </w:p>
    <w:p w14:paraId="671D4AD7" w14:textId="77777777" w:rsidR="000C198D" w:rsidRDefault="000C198D" w:rsidP="000C198D"/>
    <w:p w14:paraId="69CD18BB" w14:textId="4EC1E0EC" w:rsidR="000C198D" w:rsidRDefault="000C198D" w:rsidP="000A3E6A">
      <w:pPr>
        <w:ind w:left="720" w:hanging="720"/>
      </w:pPr>
      <w:r>
        <w:lastRenderedPageBreak/>
        <w:t>1.1</w:t>
      </w:r>
      <w:r>
        <w:tab/>
        <w:t>Rachel Perkins welcomed everyone</w:t>
      </w:r>
      <w:r w:rsidR="00D954E6">
        <w:t xml:space="preserve"> </w:t>
      </w:r>
      <w:r>
        <w:t xml:space="preserve">to the </w:t>
      </w:r>
      <w:r w:rsidR="00F143F5">
        <w:t>ninth</w:t>
      </w:r>
      <w:r>
        <w:t xml:space="preserve"> meeting of the Disability Advisory Committee</w:t>
      </w:r>
      <w:r w:rsidR="00CC36DB">
        <w:t>.</w:t>
      </w:r>
    </w:p>
    <w:p w14:paraId="7C3ABD15" w14:textId="77777777" w:rsidR="000A3E6A" w:rsidRDefault="000A3E6A" w:rsidP="000A3E6A">
      <w:pPr>
        <w:ind w:left="720" w:hanging="720"/>
      </w:pPr>
    </w:p>
    <w:p w14:paraId="4196E2E3" w14:textId="167D905E" w:rsidR="00993DAD" w:rsidRDefault="000A3E6A" w:rsidP="00CC36DB">
      <w:pPr>
        <w:ind w:left="720" w:hanging="720"/>
      </w:pPr>
      <w:r>
        <w:t>1.2</w:t>
      </w:r>
      <w:r>
        <w:tab/>
        <w:t xml:space="preserve">Apologies had been received from </w:t>
      </w:r>
      <w:r w:rsidR="000A7515">
        <w:t xml:space="preserve">Marc Bush, </w:t>
      </w:r>
      <w:r w:rsidR="00F143F5">
        <w:t>Fazile</w:t>
      </w:r>
      <w:r w:rsidR="007C3B57">
        <w:t>t</w:t>
      </w:r>
      <w:r w:rsidR="00F143F5">
        <w:t xml:space="preserve"> Hadi</w:t>
      </w:r>
      <w:r w:rsidR="00AB581F">
        <w:t xml:space="preserve"> and</w:t>
      </w:r>
      <w:r w:rsidR="000A7515">
        <w:t xml:space="preserve"> </w:t>
      </w:r>
      <w:r w:rsidR="00F143F5">
        <w:t>Liz Sayce</w:t>
      </w:r>
      <w:r w:rsidR="001E01C4">
        <w:t>.</w:t>
      </w:r>
    </w:p>
    <w:p w14:paraId="7C64D7C7" w14:textId="77777777" w:rsidR="000A3E6A" w:rsidRDefault="000A3E6A" w:rsidP="000A3E6A">
      <w:pPr>
        <w:ind w:left="720" w:hanging="720"/>
      </w:pPr>
    </w:p>
    <w:p w14:paraId="43B6D598" w14:textId="77777777" w:rsidR="000A3E6A" w:rsidRDefault="000A3E6A" w:rsidP="00D070A9">
      <w:pPr>
        <w:pStyle w:val="Heading2"/>
      </w:pPr>
      <w:r>
        <w:t>2</w:t>
      </w:r>
      <w:r>
        <w:tab/>
        <w:t>Declarations of interest</w:t>
      </w:r>
    </w:p>
    <w:p w14:paraId="582CFC10" w14:textId="77777777" w:rsidR="000A3E6A" w:rsidRDefault="000A3E6A" w:rsidP="000A3E6A"/>
    <w:p w14:paraId="29E02666" w14:textId="36044029" w:rsidR="000A3E6A" w:rsidRDefault="000A3E6A" w:rsidP="00175516">
      <w:pPr>
        <w:ind w:left="720" w:hanging="720"/>
      </w:pPr>
      <w:r>
        <w:t>2.1</w:t>
      </w:r>
      <w:r>
        <w:tab/>
      </w:r>
      <w:r w:rsidR="000A7515">
        <w:t>There were no declarations of interest additional to those already declared.</w:t>
      </w:r>
    </w:p>
    <w:p w14:paraId="172DEDAD" w14:textId="77777777" w:rsidR="00823F14" w:rsidRDefault="00823F14" w:rsidP="000A3E6A"/>
    <w:p w14:paraId="5803B86C" w14:textId="77777777" w:rsidR="00993DAD" w:rsidRDefault="00993DAD" w:rsidP="00D070A9">
      <w:pPr>
        <w:pStyle w:val="Heading1"/>
      </w:pPr>
      <w:r w:rsidRPr="00993DAD">
        <w:t>Governance Matters</w:t>
      </w:r>
    </w:p>
    <w:p w14:paraId="21C6F861" w14:textId="77777777" w:rsidR="005F5BFB" w:rsidRPr="00993DAD" w:rsidRDefault="005F5BFB" w:rsidP="000A3E6A">
      <w:pPr>
        <w:rPr>
          <w:b/>
        </w:rPr>
      </w:pPr>
    </w:p>
    <w:p w14:paraId="69335F5A" w14:textId="1DC45617" w:rsidR="00306F62" w:rsidRDefault="00306F62" w:rsidP="00D070A9">
      <w:pPr>
        <w:pStyle w:val="Heading2"/>
      </w:pPr>
      <w:r>
        <w:t>3</w:t>
      </w:r>
      <w:r>
        <w:tab/>
      </w:r>
      <w:r w:rsidR="00993DAD">
        <w:t xml:space="preserve">Minutes of the </w:t>
      </w:r>
      <w:r w:rsidR="004D0303">
        <w:t xml:space="preserve">eighth </w:t>
      </w:r>
      <w:r w:rsidR="00993DAD">
        <w:t>Disability Advisory Committee meeting</w:t>
      </w:r>
    </w:p>
    <w:p w14:paraId="72DDEFC9" w14:textId="77777777" w:rsidR="00306F62" w:rsidRDefault="00306F62" w:rsidP="00306F62"/>
    <w:p w14:paraId="3DA0979A" w14:textId="506BB561" w:rsidR="005F3BB6" w:rsidRDefault="00AB7C3E">
      <w:pPr>
        <w:ind w:left="720" w:hanging="720"/>
      </w:pPr>
      <w:r>
        <w:t>3.1</w:t>
      </w:r>
      <w:r>
        <w:tab/>
      </w:r>
      <w:r w:rsidR="00993DAD">
        <w:t xml:space="preserve">Members agreed the minutes of the </w:t>
      </w:r>
      <w:r w:rsidR="004D0303">
        <w:t>eighth</w:t>
      </w:r>
      <w:r w:rsidR="001B2830">
        <w:t xml:space="preserve"> meeting of the Disability Advisory Committee</w:t>
      </w:r>
      <w:r w:rsidR="00993DAD">
        <w:t xml:space="preserve"> </w:t>
      </w:r>
      <w:r w:rsidR="000A7515">
        <w:rPr>
          <w:b/>
        </w:rPr>
        <w:t xml:space="preserve">(DAC </w:t>
      </w:r>
      <w:r w:rsidR="00175516">
        <w:rPr>
          <w:b/>
        </w:rPr>
        <w:t>0</w:t>
      </w:r>
      <w:r w:rsidR="004D0303">
        <w:rPr>
          <w:b/>
        </w:rPr>
        <w:t>9</w:t>
      </w:r>
      <w:r w:rsidR="00993DAD" w:rsidRPr="00823F14">
        <w:rPr>
          <w:b/>
        </w:rPr>
        <w:t>.01)</w:t>
      </w:r>
      <w:r w:rsidR="000A7515">
        <w:t>.</w:t>
      </w:r>
    </w:p>
    <w:p w14:paraId="69EEA20F" w14:textId="77777777" w:rsidR="005F3BB6" w:rsidRDefault="005F3BB6" w:rsidP="00CB636C">
      <w:pPr>
        <w:ind w:left="720" w:hanging="720"/>
      </w:pPr>
    </w:p>
    <w:p w14:paraId="7C5CC733" w14:textId="77777777" w:rsidR="00823F14" w:rsidRDefault="0026560C" w:rsidP="00D070A9">
      <w:pPr>
        <w:pStyle w:val="Heading2"/>
      </w:pPr>
      <w:r>
        <w:t>4</w:t>
      </w:r>
      <w:r w:rsidR="00823F14">
        <w:tab/>
      </w:r>
      <w:r w:rsidR="004B1B4D">
        <w:t xml:space="preserve">Actions </w:t>
      </w:r>
      <w:r w:rsidR="003A2934">
        <w:t>arising</w:t>
      </w:r>
    </w:p>
    <w:p w14:paraId="0E52DEF3" w14:textId="77777777" w:rsidR="00823F14" w:rsidRDefault="00823F14" w:rsidP="00823F14"/>
    <w:p w14:paraId="1C3FC7A7" w14:textId="48F7EC5E" w:rsidR="001954B5" w:rsidRDefault="0026560C" w:rsidP="001954B5">
      <w:pPr>
        <w:ind w:left="720" w:hanging="720"/>
      </w:pPr>
      <w:r>
        <w:t>4</w:t>
      </w:r>
      <w:r w:rsidR="00823F14">
        <w:t>.1</w:t>
      </w:r>
      <w:r w:rsidR="00823F14">
        <w:tab/>
      </w:r>
      <w:r w:rsidR="00CC36DB">
        <w:t xml:space="preserve">Members reviewed the </w:t>
      </w:r>
      <w:r w:rsidR="001954B5">
        <w:t xml:space="preserve">actions arising </w:t>
      </w:r>
      <w:r w:rsidR="001954B5" w:rsidRPr="001D4D7E">
        <w:rPr>
          <w:b/>
        </w:rPr>
        <w:t>(DAC 0</w:t>
      </w:r>
      <w:r w:rsidR="004D0303">
        <w:rPr>
          <w:b/>
        </w:rPr>
        <w:t>9</w:t>
      </w:r>
      <w:r w:rsidR="001954B5" w:rsidRPr="001D4D7E">
        <w:rPr>
          <w:b/>
        </w:rPr>
        <w:t>.02)</w:t>
      </w:r>
      <w:r w:rsidR="00CC36DB">
        <w:t xml:space="preserve"> and</w:t>
      </w:r>
      <w:r w:rsidR="00E612EB">
        <w:t xml:space="preserve"> were pleased with progress. They</w:t>
      </w:r>
      <w:r w:rsidR="001954B5">
        <w:t>:</w:t>
      </w:r>
    </w:p>
    <w:p w14:paraId="6A33AAC9" w14:textId="77777777" w:rsidR="00435D51" w:rsidRDefault="00435D51" w:rsidP="001954B5">
      <w:pPr>
        <w:ind w:left="720" w:hanging="720"/>
      </w:pPr>
    </w:p>
    <w:p w14:paraId="4FB73EB9" w14:textId="1A26B2FE" w:rsidR="001954B5" w:rsidRDefault="001B7923" w:rsidP="001B7923">
      <w:pPr>
        <w:ind w:left="1440" w:hanging="720"/>
      </w:pPr>
      <w:r>
        <w:t>a)</w:t>
      </w:r>
      <w:r>
        <w:tab/>
      </w:r>
      <w:r w:rsidR="0050667F">
        <w:t>requested that</w:t>
      </w:r>
      <w:r w:rsidR="00AA5AC3">
        <w:t>,</w:t>
      </w:r>
      <w:r>
        <w:t xml:space="preserve"> </w:t>
      </w:r>
      <w:r w:rsidR="003E537D">
        <w:t>under Action 4.1</w:t>
      </w:r>
      <w:r w:rsidR="0050667F">
        <w:t>b</w:t>
      </w:r>
      <w:r w:rsidR="003E537D">
        <w:t xml:space="preserve">, </w:t>
      </w:r>
      <w:r w:rsidR="0050667F">
        <w:t xml:space="preserve">an update on </w:t>
      </w:r>
      <w:r w:rsidR="003E537D">
        <w:t xml:space="preserve">the subject of </w:t>
      </w:r>
      <w:r w:rsidR="00CC36DB">
        <w:t>assisted</w:t>
      </w:r>
      <w:r w:rsidR="003E537D">
        <w:t xml:space="preserve"> dying </w:t>
      </w:r>
      <w:r w:rsidR="0050667F">
        <w:t>and any legal opinion be brought to the Committee at its meeting on 23 October 2019</w:t>
      </w:r>
      <w:r w:rsidR="001954B5">
        <w:t>;</w:t>
      </w:r>
    </w:p>
    <w:p w14:paraId="1F41FD68" w14:textId="77777777" w:rsidR="001B7923" w:rsidRDefault="001B7923" w:rsidP="001B7923">
      <w:pPr>
        <w:ind w:left="1440" w:hanging="720"/>
      </w:pPr>
    </w:p>
    <w:p w14:paraId="685D8642" w14:textId="7B7D6FE4" w:rsidR="001B7923" w:rsidRDefault="001B7923" w:rsidP="00435D51">
      <w:pPr>
        <w:ind w:left="1440"/>
      </w:pPr>
      <w:r w:rsidRPr="00823F14">
        <w:rPr>
          <w:b/>
        </w:rPr>
        <w:t xml:space="preserve">ACTION: </w:t>
      </w:r>
      <w:r w:rsidR="000D5C95">
        <w:rPr>
          <w:b/>
        </w:rPr>
        <w:t>Charlie Hamilton</w:t>
      </w:r>
      <w:r>
        <w:rPr>
          <w:b/>
        </w:rPr>
        <w:t xml:space="preserve"> </w:t>
      </w:r>
      <w:r w:rsidRPr="00FB07CF">
        <w:t xml:space="preserve">to </w:t>
      </w:r>
      <w:r w:rsidR="0050667F">
        <w:t>provide update</w:t>
      </w:r>
      <w:r>
        <w:t>.</w:t>
      </w:r>
    </w:p>
    <w:p w14:paraId="3D29B802" w14:textId="28A6B55E" w:rsidR="001B7923" w:rsidRDefault="001B7923" w:rsidP="001B7923"/>
    <w:p w14:paraId="43EE20EA" w14:textId="72E27BCC" w:rsidR="00251530" w:rsidRDefault="001954B5" w:rsidP="001954B5">
      <w:pPr>
        <w:ind w:left="1440" w:hanging="720"/>
      </w:pPr>
      <w:r>
        <w:t>b)</w:t>
      </w:r>
      <w:r>
        <w:tab/>
      </w:r>
      <w:r w:rsidR="0050667F">
        <w:t xml:space="preserve">heard from Joanna Owen on </w:t>
      </w:r>
      <w:r w:rsidR="003E537D">
        <w:t>Action 4.</w:t>
      </w:r>
      <w:r w:rsidR="0050667F">
        <w:t>2</w:t>
      </w:r>
      <w:r w:rsidR="00422D7D">
        <w:t xml:space="preserve"> (“Good practice in </w:t>
      </w:r>
      <w:r w:rsidR="00435D51">
        <w:t>Clinical Commissioning Groups (CCG)</w:t>
      </w:r>
      <w:r w:rsidR="00422D7D">
        <w:t>”)</w:t>
      </w:r>
      <w:r w:rsidR="00AA5AC3">
        <w:t>.</w:t>
      </w:r>
      <w:r w:rsidR="0050667F">
        <w:t xml:space="preserve"> Members noted that the work was </w:t>
      </w:r>
      <w:r w:rsidR="00AA5AC3">
        <w:t xml:space="preserve">progressing slowly </w:t>
      </w:r>
      <w:r w:rsidR="0050667F">
        <w:t>despite pressure being applied</w:t>
      </w:r>
      <w:r w:rsidR="00AA5AC3">
        <w:t xml:space="preserve"> by the Commission</w:t>
      </w:r>
      <w:r w:rsidR="00435D51">
        <w:t>. All CCG</w:t>
      </w:r>
      <w:r w:rsidR="0050667F">
        <w:t>s were undertaking reviews</w:t>
      </w:r>
      <w:r w:rsidR="003E537D">
        <w:t>,</w:t>
      </w:r>
      <w:r w:rsidR="0050667F">
        <w:t xml:space="preserve"> some of which had been completed. </w:t>
      </w:r>
      <w:r w:rsidR="00E965A1" w:rsidRPr="00E965A1">
        <w:rPr>
          <w:rFonts w:cs="Arial"/>
          <w:szCs w:val="28"/>
        </w:rPr>
        <w:t>Policies that had been assessed so far complied with equality and human rights obligations</w:t>
      </w:r>
      <w:r w:rsidR="0050667F">
        <w:t>, although there were not any mechanisms to check whether</w:t>
      </w:r>
      <w:r w:rsidR="00422D7D">
        <w:t xml:space="preserve"> practic</w:t>
      </w:r>
      <w:r w:rsidR="0050667F">
        <w:t xml:space="preserve">es were changing. </w:t>
      </w:r>
      <w:r w:rsidR="00422D7D">
        <w:t xml:space="preserve">Nick Watson </w:t>
      </w:r>
      <w:r w:rsidR="0050667F">
        <w:t xml:space="preserve">suggested that </w:t>
      </w:r>
      <w:r w:rsidR="00422D7D">
        <w:t>Officers might want to look at the model in Scotland where Health and Social care were integrated</w:t>
      </w:r>
      <w:r>
        <w:t>;</w:t>
      </w:r>
    </w:p>
    <w:p w14:paraId="63990759" w14:textId="2331A009" w:rsidR="003701C3" w:rsidRDefault="003701C3" w:rsidP="00FB07CF"/>
    <w:p w14:paraId="7ACC5138" w14:textId="3CA3A323" w:rsidR="005A0A61" w:rsidRDefault="005A0A61" w:rsidP="00435D51">
      <w:pPr>
        <w:ind w:left="1418"/>
      </w:pPr>
      <w:r w:rsidRPr="00823F14">
        <w:rPr>
          <w:b/>
        </w:rPr>
        <w:t xml:space="preserve">ACTION: </w:t>
      </w:r>
      <w:r>
        <w:rPr>
          <w:b/>
        </w:rPr>
        <w:t xml:space="preserve">Joanna Owen </w:t>
      </w:r>
      <w:r w:rsidRPr="00FB07CF">
        <w:t xml:space="preserve">to </w:t>
      </w:r>
      <w:r>
        <w:t>keep the Committee informed of any developments</w:t>
      </w:r>
      <w:r w:rsidR="00695363">
        <w:t>, and members to share any further thoughts by email</w:t>
      </w:r>
      <w:r>
        <w:t>.</w:t>
      </w:r>
    </w:p>
    <w:p w14:paraId="20A221AC" w14:textId="77777777" w:rsidR="005A0A61" w:rsidRDefault="005A0A61" w:rsidP="00FB07CF"/>
    <w:p w14:paraId="72F85F20" w14:textId="7CFD63ED" w:rsidR="00FC26FF" w:rsidRDefault="00FC26FF" w:rsidP="00CC36DB">
      <w:pPr>
        <w:ind w:left="1418" w:hanging="709"/>
      </w:pPr>
      <w:r>
        <w:t>c</w:t>
      </w:r>
      <w:r w:rsidR="003701C3">
        <w:t>)</w:t>
      </w:r>
      <w:r w:rsidR="003701C3">
        <w:tab/>
        <w:t xml:space="preserve">noted that, in relation to the </w:t>
      </w:r>
      <w:r>
        <w:t xml:space="preserve">Cabinet Office </w:t>
      </w:r>
      <w:r w:rsidR="00175516">
        <w:t>p</w:t>
      </w:r>
      <w:r>
        <w:t xml:space="preserve">roject on </w:t>
      </w:r>
      <w:r w:rsidR="00175516">
        <w:t>d</w:t>
      </w:r>
      <w:r>
        <w:t xml:space="preserve">isability, </w:t>
      </w:r>
      <w:r w:rsidR="00BE3FC3">
        <w:t>this was to be embedded in the work of the newly formed Cabinet Office Equalities Hub. T</w:t>
      </w:r>
      <w:r>
        <w:t xml:space="preserve">he Commission had </w:t>
      </w:r>
      <w:r w:rsidR="00BE3FC3">
        <w:t xml:space="preserve">also </w:t>
      </w:r>
      <w:r w:rsidR="00422D7D">
        <w:t xml:space="preserve">been asked by </w:t>
      </w:r>
      <w:r w:rsidR="00BE3FC3">
        <w:t xml:space="preserve">the </w:t>
      </w:r>
      <w:r w:rsidR="00BE3FC3" w:rsidRPr="00BE3FC3">
        <w:t>Department for Business, Energy &amp; Industrial Strategy</w:t>
      </w:r>
      <w:r w:rsidR="00BE3FC3">
        <w:t xml:space="preserve"> (</w:t>
      </w:r>
      <w:r w:rsidR="00422D7D">
        <w:t>B</w:t>
      </w:r>
      <w:r w:rsidR="00BE3FC3">
        <w:t>EIS)</w:t>
      </w:r>
      <w:r w:rsidR="00422D7D">
        <w:t xml:space="preserve"> </w:t>
      </w:r>
      <w:r w:rsidR="00BE3FC3">
        <w:t>t</w:t>
      </w:r>
      <w:r w:rsidR="00422D7D">
        <w:t>o provide advice and guidance on various matters</w:t>
      </w:r>
      <w:r w:rsidR="00BE3FC3">
        <w:t xml:space="preserve"> relating to disability.</w:t>
      </w:r>
    </w:p>
    <w:p w14:paraId="5965207C" w14:textId="77777777" w:rsidR="00FC26FF" w:rsidRDefault="00FC26FF" w:rsidP="00FC26FF"/>
    <w:p w14:paraId="799D7451" w14:textId="063425F1" w:rsidR="003701C3" w:rsidRDefault="00FC26FF" w:rsidP="00435D51">
      <w:pPr>
        <w:ind w:left="1418"/>
      </w:pPr>
      <w:r w:rsidRPr="00FC26FF">
        <w:rPr>
          <w:b/>
        </w:rPr>
        <w:t>ACTION Rachel Fox</w:t>
      </w:r>
      <w:r>
        <w:t xml:space="preserve"> to send more info</w:t>
      </w:r>
      <w:r w:rsidR="00175516">
        <w:t>rmation</w:t>
      </w:r>
      <w:r>
        <w:t xml:space="preserve"> to members by email when it is </w:t>
      </w:r>
      <w:r w:rsidR="00175516">
        <w:t>available</w:t>
      </w:r>
      <w:r>
        <w:t>.</w:t>
      </w:r>
    </w:p>
    <w:p w14:paraId="19A03BF6" w14:textId="54336949" w:rsidR="00BE3FC3" w:rsidRDefault="00BE3FC3" w:rsidP="00175516"/>
    <w:p w14:paraId="1098ADD4" w14:textId="639A6A3A" w:rsidR="00BE3FC3" w:rsidRDefault="00BE3FC3" w:rsidP="00D070A9">
      <w:pPr>
        <w:pStyle w:val="Heading2"/>
      </w:pPr>
      <w:r>
        <w:t>5</w:t>
      </w:r>
      <w:r>
        <w:tab/>
        <w:t>Chair’s Board meeting report</w:t>
      </w:r>
    </w:p>
    <w:p w14:paraId="3EF2A3EC" w14:textId="3E6F4E73" w:rsidR="003701C3" w:rsidRDefault="003701C3" w:rsidP="00FB07CF"/>
    <w:p w14:paraId="34E46787" w14:textId="77777777" w:rsidR="00B60D93" w:rsidRDefault="00BE3FC3" w:rsidP="00B60D93">
      <w:pPr>
        <w:ind w:left="720" w:hanging="720"/>
      </w:pPr>
      <w:r>
        <w:t>5.1</w:t>
      </w:r>
      <w:r>
        <w:tab/>
        <w:t>The Committee heard from the Chair that she had attended the Board meeting on 3 July 2019, reporting that they had welcomed the Chair’s annual report to the Board and were very enthusiastic about the work of the Disability Advisory Committee.</w:t>
      </w:r>
    </w:p>
    <w:p w14:paraId="6286D5D0" w14:textId="2D446BB2" w:rsidR="00BE3FC3" w:rsidRDefault="00B60D93" w:rsidP="00B60D93">
      <w:pPr>
        <w:ind w:left="720" w:hanging="720"/>
      </w:pPr>
      <w:bookmarkStart w:id="0" w:name="_GoBack"/>
      <w:bookmarkEnd w:id="0"/>
      <w:r>
        <w:t xml:space="preserve"> </w:t>
      </w:r>
    </w:p>
    <w:p w14:paraId="40D519FC" w14:textId="33E5C404" w:rsidR="00BA37D1" w:rsidRPr="00D070A9" w:rsidRDefault="00BA37D1" w:rsidP="00D070A9">
      <w:pPr>
        <w:pStyle w:val="Heading1"/>
      </w:pPr>
      <w:r w:rsidRPr="00D070A9">
        <w:t>Strategic Issues</w:t>
      </w:r>
    </w:p>
    <w:p w14:paraId="789AA449" w14:textId="77777777" w:rsidR="00BA37D1" w:rsidRDefault="00BA37D1" w:rsidP="00AF1EDE"/>
    <w:p w14:paraId="6468308C" w14:textId="1CD09FF6" w:rsidR="006B2922" w:rsidRPr="00D070A9" w:rsidRDefault="001F0BA4" w:rsidP="00D070A9">
      <w:pPr>
        <w:pStyle w:val="Heading2"/>
      </w:pPr>
      <w:r w:rsidRPr="00D070A9">
        <w:t>6</w:t>
      </w:r>
      <w:r w:rsidR="00CD4A5A" w:rsidRPr="00D070A9">
        <w:tab/>
      </w:r>
      <w:r w:rsidRPr="00D070A9">
        <w:t>Strategic Intelligence Gathering Events</w:t>
      </w:r>
    </w:p>
    <w:p w14:paraId="0C1B509E" w14:textId="77777777" w:rsidR="007314B0" w:rsidRDefault="007314B0" w:rsidP="007314B0"/>
    <w:p w14:paraId="0EF06424" w14:textId="02678B74" w:rsidR="007314B0" w:rsidRDefault="000C4A05" w:rsidP="007314B0">
      <w:pPr>
        <w:ind w:left="720" w:hanging="720"/>
      </w:pPr>
      <w:r>
        <w:t>6</w:t>
      </w:r>
      <w:r w:rsidR="007314B0">
        <w:t>.1</w:t>
      </w:r>
      <w:r w:rsidR="007314B0">
        <w:tab/>
      </w:r>
      <w:r>
        <w:t>Christina Barnes</w:t>
      </w:r>
      <w:r w:rsidR="0055506E">
        <w:t xml:space="preserve"> </w:t>
      </w:r>
      <w:r>
        <w:t xml:space="preserve">and Laura Lucking </w:t>
      </w:r>
      <w:r w:rsidR="00B54121">
        <w:t>presented</w:t>
      </w:r>
      <w:r>
        <w:t xml:space="preserve"> details of</w:t>
      </w:r>
      <w:r w:rsidR="00B54121">
        <w:t xml:space="preserve"> the</w:t>
      </w:r>
      <w:r w:rsidR="0055506E">
        <w:t xml:space="preserve"> Commission</w:t>
      </w:r>
      <w:r w:rsidR="003F68AF">
        <w:t>’</w:t>
      </w:r>
      <w:r w:rsidR="0055506E">
        <w:t xml:space="preserve">s work in relation to </w:t>
      </w:r>
      <w:r>
        <w:t xml:space="preserve">strategic intelligence gathering events </w:t>
      </w:r>
      <w:r w:rsidR="0092171C" w:rsidRPr="001D4D7E">
        <w:rPr>
          <w:b/>
        </w:rPr>
        <w:t>(DAC 0</w:t>
      </w:r>
      <w:r>
        <w:rPr>
          <w:b/>
        </w:rPr>
        <w:t>9</w:t>
      </w:r>
      <w:r w:rsidR="0092171C" w:rsidRPr="001D4D7E">
        <w:rPr>
          <w:b/>
        </w:rPr>
        <w:t>.0</w:t>
      </w:r>
      <w:r w:rsidR="0092171C">
        <w:rPr>
          <w:b/>
        </w:rPr>
        <w:t>3</w:t>
      </w:r>
      <w:r w:rsidR="0092171C" w:rsidRPr="001D4D7E">
        <w:rPr>
          <w:b/>
        </w:rPr>
        <w:t>)</w:t>
      </w:r>
      <w:r>
        <w:t xml:space="preserve">. </w:t>
      </w:r>
      <w:r w:rsidR="00A26D73" w:rsidRPr="00A26D73">
        <w:t xml:space="preserve">This was </w:t>
      </w:r>
      <w:r w:rsidR="00435D51">
        <w:t xml:space="preserve">a </w:t>
      </w:r>
      <w:r w:rsidR="00A26D73" w:rsidRPr="00A26D73">
        <w:t>programme of work to join up</w:t>
      </w:r>
      <w:r w:rsidR="00AA5AC3">
        <w:t xml:space="preserve"> the Commission’s</w:t>
      </w:r>
      <w:r w:rsidR="00A26D73" w:rsidRPr="00A26D73">
        <w:t xml:space="preserve"> ‘Intelligence’ functions and to hold pilot events</w:t>
      </w:r>
      <w:r w:rsidR="00AA5AC3">
        <w:t>,</w:t>
      </w:r>
      <w:r w:rsidR="00A26D73" w:rsidRPr="00A26D73">
        <w:t xml:space="preserve"> or work in partnership with other organisations</w:t>
      </w:r>
      <w:r w:rsidR="00AA5AC3">
        <w:t>,</w:t>
      </w:r>
      <w:r w:rsidR="00A26D73" w:rsidRPr="00A26D73">
        <w:t xml:space="preserve"> to understand more about issues ‘from the ground up’. This engagement would </w:t>
      </w:r>
      <w:r w:rsidR="00AA5AC3">
        <w:t>support promotion of the Commission’s</w:t>
      </w:r>
      <w:r w:rsidR="00A26D73" w:rsidRPr="00A26D73">
        <w:t xml:space="preserve"> s28 projects on transport and education</w:t>
      </w:r>
      <w:r w:rsidR="00AA5AC3">
        <w:t>, in line with Strategic Plan priorities</w:t>
      </w:r>
      <w:r w:rsidR="00A26D73" w:rsidRPr="00A26D73">
        <w:t xml:space="preserve">. </w:t>
      </w:r>
      <w:r w:rsidR="00AA5AC3">
        <w:t>It would also</w:t>
      </w:r>
      <w:r w:rsidR="00A26D73" w:rsidRPr="00A26D73">
        <w:t xml:space="preserve"> </w:t>
      </w:r>
      <w:r w:rsidR="00E71876">
        <w:t>review</w:t>
      </w:r>
      <w:r w:rsidR="00A26D73" w:rsidRPr="00A26D73">
        <w:t xml:space="preserve"> access </w:t>
      </w:r>
      <w:r w:rsidR="00AA5AC3">
        <w:t xml:space="preserve">to </w:t>
      </w:r>
      <w:r w:rsidR="00A26D73" w:rsidRPr="00A26D73">
        <w:t>information and data from other agencies, as part of wider work around intelligence gathering</w:t>
      </w:r>
      <w:r w:rsidR="00E71876">
        <w:t>.</w:t>
      </w:r>
      <w:r w:rsidR="00A26D73" w:rsidRPr="00A26D73">
        <w:t xml:space="preserve"> This would include making better use of the data provided by EASS and exploring options for working with Citizens Advice and ACAS.</w:t>
      </w:r>
    </w:p>
    <w:p w14:paraId="373E6908" w14:textId="77777777" w:rsidR="007314B0" w:rsidRDefault="007314B0" w:rsidP="007314B0">
      <w:pPr>
        <w:ind w:left="720" w:hanging="720"/>
      </w:pPr>
    </w:p>
    <w:p w14:paraId="70503B55" w14:textId="3A4C7213" w:rsidR="0041721F" w:rsidRDefault="000C4A05" w:rsidP="00A26D73">
      <w:pPr>
        <w:ind w:left="720" w:hanging="720"/>
      </w:pPr>
      <w:r>
        <w:t>6</w:t>
      </w:r>
      <w:r w:rsidR="007314B0">
        <w:t>.2</w:t>
      </w:r>
      <w:r w:rsidR="007314B0">
        <w:tab/>
        <w:t xml:space="preserve">Members </w:t>
      </w:r>
      <w:r w:rsidR="0059579A">
        <w:t xml:space="preserve">noted that </w:t>
      </w:r>
      <w:r w:rsidR="00AA5AC3">
        <w:t xml:space="preserve">the </w:t>
      </w:r>
      <w:r w:rsidR="0059579A">
        <w:t>starting point was to target third sector advice providers and user groups</w:t>
      </w:r>
      <w:r w:rsidR="00A26D73">
        <w:t xml:space="preserve"> and commented that:</w:t>
      </w:r>
    </w:p>
    <w:p w14:paraId="21C105AA" w14:textId="77777777" w:rsidR="00435D51" w:rsidRDefault="00435D51" w:rsidP="00A26D73">
      <w:pPr>
        <w:ind w:left="720" w:hanging="720"/>
      </w:pPr>
    </w:p>
    <w:p w14:paraId="353B90FF" w14:textId="590E3E50" w:rsidR="0041721F" w:rsidRDefault="004507B8" w:rsidP="0041721F">
      <w:pPr>
        <w:ind w:left="1440" w:hanging="720"/>
      </w:pPr>
      <w:r>
        <w:t>a</w:t>
      </w:r>
      <w:r w:rsidR="0041721F">
        <w:t>)</w:t>
      </w:r>
      <w:r w:rsidR="0041721F">
        <w:tab/>
      </w:r>
      <w:r w:rsidR="0059579A">
        <w:t xml:space="preserve">there were no </w:t>
      </w:r>
      <w:r w:rsidR="003D5C51">
        <w:t>Disabled People</w:t>
      </w:r>
      <w:r w:rsidR="0059579A">
        <w:t xml:space="preserve"> led organisations in the education arena, they were all professional organisations</w:t>
      </w:r>
      <w:r w:rsidR="00C20BD9">
        <w:t>;</w:t>
      </w:r>
    </w:p>
    <w:p w14:paraId="410FC0C7" w14:textId="1B91778F" w:rsidR="00C20BD9" w:rsidRDefault="00C20BD9" w:rsidP="00C20BD9">
      <w:pPr>
        <w:ind w:left="1440" w:hanging="720"/>
      </w:pPr>
      <w:r>
        <w:t>b)</w:t>
      </w:r>
      <w:r>
        <w:tab/>
        <w:t>it was important t</w:t>
      </w:r>
      <w:r w:rsidR="0059579A">
        <w:t>hat events were not ‘single topic’</w:t>
      </w:r>
      <w:r w:rsidR="00AA5AC3">
        <w:t>,</w:t>
      </w:r>
      <w:r w:rsidR="0059579A">
        <w:t xml:space="preserve"> as this would dissuade attendance</w:t>
      </w:r>
      <w:r>
        <w:t>;</w:t>
      </w:r>
    </w:p>
    <w:p w14:paraId="49364607" w14:textId="273D774A" w:rsidR="00E10425" w:rsidRDefault="00C20BD9" w:rsidP="0041721F">
      <w:pPr>
        <w:ind w:left="1440" w:hanging="720"/>
      </w:pPr>
      <w:r>
        <w:lastRenderedPageBreak/>
        <w:t>c</w:t>
      </w:r>
      <w:r w:rsidR="0041721F">
        <w:t>)</w:t>
      </w:r>
      <w:r w:rsidR="0041721F">
        <w:tab/>
      </w:r>
      <w:r w:rsidR="0059579A">
        <w:t xml:space="preserve">it would be worth contacting </w:t>
      </w:r>
      <w:r w:rsidR="00B84B83">
        <w:t>Brian Matth</w:t>
      </w:r>
      <w:r w:rsidR="00B84B83" w:rsidRPr="00A26D73">
        <w:t xml:space="preserve">ews at </w:t>
      </w:r>
      <w:r w:rsidR="00A26D73" w:rsidRPr="00A26D73">
        <w:t>the Disabled Persons Transport Advisory Committee</w:t>
      </w:r>
      <w:r w:rsidR="00A26D73">
        <w:t xml:space="preserve"> (DPTAC)</w:t>
      </w:r>
      <w:r w:rsidR="00A26D73" w:rsidRPr="00A26D73">
        <w:t>;</w:t>
      </w:r>
    </w:p>
    <w:p w14:paraId="422947A5" w14:textId="7F6E361C" w:rsidR="0041721F" w:rsidRDefault="00C20BD9" w:rsidP="0041721F">
      <w:pPr>
        <w:ind w:left="1440" w:hanging="720"/>
      </w:pPr>
      <w:r>
        <w:t>d</w:t>
      </w:r>
      <w:r w:rsidR="0041721F">
        <w:t>)</w:t>
      </w:r>
      <w:r w:rsidR="0041721F">
        <w:tab/>
      </w:r>
      <w:r w:rsidR="00B84B83">
        <w:t>transport should take a ‘whole journey’ approach</w:t>
      </w:r>
      <w:r w:rsidR="00AA5AC3">
        <w:t>,</w:t>
      </w:r>
      <w:r w:rsidR="00B84B83">
        <w:t xml:space="preserve"> which includes the pedestrian aspect</w:t>
      </w:r>
      <w:r w:rsidR="00AA5AC3">
        <w:t>s</w:t>
      </w:r>
      <w:r w:rsidR="0041721F">
        <w:t>;</w:t>
      </w:r>
    </w:p>
    <w:p w14:paraId="44AE5B42" w14:textId="16B9966B" w:rsidR="0041721F" w:rsidRDefault="00C20BD9" w:rsidP="0041721F">
      <w:pPr>
        <w:ind w:left="1440" w:hanging="720"/>
      </w:pPr>
      <w:r>
        <w:t>e</w:t>
      </w:r>
      <w:r w:rsidR="0041721F">
        <w:t>)</w:t>
      </w:r>
      <w:r w:rsidR="0041721F">
        <w:tab/>
      </w:r>
      <w:r w:rsidR="00B84B83">
        <w:t>unions had raised concerns around automation and technology and that most barriers were around provision of information</w:t>
      </w:r>
      <w:r w:rsidR="00947B03">
        <w:t>;</w:t>
      </w:r>
      <w:r w:rsidR="00B84B83">
        <w:t xml:space="preserve"> and</w:t>
      </w:r>
    </w:p>
    <w:p w14:paraId="6FEFD667" w14:textId="03292E5B" w:rsidR="00947B03" w:rsidRDefault="00C20BD9" w:rsidP="0041721F">
      <w:pPr>
        <w:ind w:left="1440" w:hanging="720"/>
      </w:pPr>
      <w:r>
        <w:t>f</w:t>
      </w:r>
      <w:r w:rsidR="00947B03">
        <w:t>)</w:t>
      </w:r>
      <w:r w:rsidR="00947B03">
        <w:tab/>
      </w:r>
      <w:r>
        <w:t xml:space="preserve">it was important to </w:t>
      </w:r>
      <w:r w:rsidR="00B84B83">
        <w:t>include cultural impacts, interaction with other people and bullying in any discussions.</w:t>
      </w:r>
    </w:p>
    <w:p w14:paraId="3AE9FC04" w14:textId="2E7758DA" w:rsidR="00B84B83" w:rsidRDefault="00B84B83" w:rsidP="0041721F">
      <w:pPr>
        <w:ind w:left="1440" w:hanging="720"/>
      </w:pPr>
    </w:p>
    <w:p w14:paraId="5871AAB9" w14:textId="4819FF7D" w:rsidR="00B84B83" w:rsidRDefault="00B84B83" w:rsidP="00435D51">
      <w:pPr>
        <w:ind w:left="1440"/>
      </w:pPr>
      <w:r w:rsidRPr="00FC26FF">
        <w:rPr>
          <w:b/>
        </w:rPr>
        <w:t xml:space="preserve">ACTION </w:t>
      </w:r>
      <w:r>
        <w:rPr>
          <w:b/>
        </w:rPr>
        <w:t>Christina Barnes</w:t>
      </w:r>
      <w:r>
        <w:t xml:space="preserve"> to </w:t>
      </w:r>
      <w:r w:rsidR="007820C5">
        <w:t xml:space="preserve">note </w:t>
      </w:r>
      <w:r w:rsidR="00E71876">
        <w:t>members</w:t>
      </w:r>
      <w:r w:rsidR="0021765A">
        <w:t>’</w:t>
      </w:r>
      <w:r w:rsidR="007820C5">
        <w:t xml:space="preserve"> comments and </w:t>
      </w:r>
      <w:r>
        <w:t>send an email to members requesting details of organisations that it would be</w:t>
      </w:r>
      <w:r w:rsidR="00D34B2D">
        <w:t xml:space="preserve"> opportune to contact.</w:t>
      </w:r>
    </w:p>
    <w:p w14:paraId="33985F5D" w14:textId="77777777" w:rsidR="00B84B83" w:rsidRDefault="00B84B83" w:rsidP="00CC006B"/>
    <w:p w14:paraId="4744E556" w14:textId="77777777" w:rsidR="001B2830" w:rsidRPr="00B500C5" w:rsidRDefault="001B2830" w:rsidP="00B500C5">
      <w:pPr>
        <w:ind w:left="720" w:hanging="720"/>
      </w:pPr>
    </w:p>
    <w:p w14:paraId="391EE64A" w14:textId="3522C360" w:rsidR="007359CD" w:rsidRPr="00D070A9" w:rsidRDefault="00C377E3" w:rsidP="00D070A9">
      <w:pPr>
        <w:pStyle w:val="Heading2"/>
      </w:pPr>
      <w:r w:rsidRPr="00D070A9">
        <w:t>7</w:t>
      </w:r>
      <w:r w:rsidR="00187C31" w:rsidRPr="00D070A9">
        <w:tab/>
      </w:r>
      <w:r w:rsidRPr="00D070A9">
        <w:t>Criminal Justice System Inquiry</w:t>
      </w:r>
    </w:p>
    <w:p w14:paraId="71757ABF" w14:textId="77777777" w:rsidR="00187C31" w:rsidRDefault="00187C31" w:rsidP="007359CD">
      <w:pPr>
        <w:ind w:left="720" w:hanging="720"/>
      </w:pPr>
    </w:p>
    <w:p w14:paraId="72EE584D" w14:textId="25BDC9EB" w:rsidR="00EE3CE7" w:rsidRDefault="00C377E3" w:rsidP="007359CD">
      <w:pPr>
        <w:ind w:left="720" w:hanging="720"/>
      </w:pPr>
      <w:r>
        <w:t>7</w:t>
      </w:r>
      <w:r w:rsidR="00187C31">
        <w:t>.1</w:t>
      </w:r>
      <w:r w:rsidR="00187C31">
        <w:tab/>
      </w:r>
      <w:r>
        <w:t>Angus Cleary</w:t>
      </w:r>
      <w:r w:rsidR="00F37788">
        <w:t xml:space="preserve"> </w:t>
      </w:r>
      <w:r>
        <w:t xml:space="preserve">and Rachel Robinson </w:t>
      </w:r>
      <w:r w:rsidR="00F37788">
        <w:t xml:space="preserve">introduced the paper on the </w:t>
      </w:r>
      <w:r>
        <w:t>Criminal Justice System inquiry</w:t>
      </w:r>
      <w:r w:rsidR="00F37788">
        <w:t xml:space="preserve"> </w:t>
      </w:r>
      <w:r w:rsidR="00F37788" w:rsidRPr="00CE5B29">
        <w:rPr>
          <w:b/>
        </w:rPr>
        <w:t>(DAC 0</w:t>
      </w:r>
      <w:r>
        <w:rPr>
          <w:b/>
        </w:rPr>
        <w:t>9</w:t>
      </w:r>
      <w:r w:rsidR="00F37788" w:rsidRPr="00CE5B29">
        <w:rPr>
          <w:b/>
        </w:rPr>
        <w:t>.04)</w:t>
      </w:r>
      <w:r>
        <w:rPr>
          <w:b/>
        </w:rPr>
        <w:t xml:space="preserve">, </w:t>
      </w:r>
      <w:r>
        <w:t>th</w:t>
      </w:r>
      <w:r w:rsidR="00F37788">
        <w:t xml:space="preserve">e purpose of </w:t>
      </w:r>
      <w:r>
        <w:t>which was to understand the experiences of defendants or accused</w:t>
      </w:r>
      <w:r w:rsidR="00CC006B">
        <w:t xml:space="preserve"> </w:t>
      </w:r>
      <w:r w:rsidR="00CC006B" w:rsidRPr="00CC006B">
        <w:t>with mental health conditions, cognitive impairments or neurodiverse conditions</w:t>
      </w:r>
      <w:r w:rsidR="00CC006B">
        <w:t xml:space="preserve"> </w:t>
      </w:r>
      <w:r>
        <w:t xml:space="preserve">in the pre-trial phase of the system. </w:t>
      </w:r>
    </w:p>
    <w:p w14:paraId="024FE027" w14:textId="77777777" w:rsidR="00EE3CE7" w:rsidRDefault="00EE3CE7" w:rsidP="007359CD">
      <w:pPr>
        <w:ind w:left="720" w:hanging="720"/>
      </w:pPr>
    </w:p>
    <w:p w14:paraId="7FDC2685" w14:textId="3D454090" w:rsidR="00DB7416" w:rsidRDefault="00EE3CE7" w:rsidP="00EE3CE7">
      <w:pPr>
        <w:ind w:left="720" w:hanging="720"/>
      </w:pPr>
      <w:r>
        <w:t>7.2</w:t>
      </w:r>
      <w:r>
        <w:tab/>
      </w:r>
      <w:r w:rsidR="00CC006B">
        <w:t xml:space="preserve">Members were briefed on the fact that the evidence-gathering phase was underway and </w:t>
      </w:r>
      <w:r w:rsidR="00CC006B" w:rsidRPr="00CC006B">
        <w:t>that an Expert Reference Group (ERG) had met on 15 July. The ERG felt that evidence gathering and tentative findings aligned with their understanding of the key issues for defendants</w:t>
      </w:r>
      <w:r w:rsidR="006E304E">
        <w:t xml:space="preserve"> </w:t>
      </w:r>
      <w:r w:rsidR="00CC006B" w:rsidRPr="00CC006B">
        <w:t>/ accused with relevant impairments. The group further highlighted</w:t>
      </w:r>
      <w:r w:rsidR="00CC006B">
        <w:t xml:space="preserve"> a reluctance by defendants to disclose disabilities, although those already receiving support tended to fare better. </w:t>
      </w:r>
      <w:r w:rsidR="006E304E">
        <w:t>C</w:t>
      </w:r>
      <w:r w:rsidR="00CC006B">
        <w:t>oncerns</w:t>
      </w:r>
      <w:r w:rsidR="006E304E">
        <w:t xml:space="preserve"> were also</w:t>
      </w:r>
      <w:r w:rsidR="00CC006B">
        <w:t xml:space="preserve"> raised that information relating </w:t>
      </w:r>
      <w:r w:rsidR="00CC006B" w:rsidRPr="00CC006B">
        <w:t>to impairments</w:t>
      </w:r>
      <w:r w:rsidR="00CC006B">
        <w:t xml:space="preserve"> was not passing</w:t>
      </w:r>
      <w:r w:rsidR="006E304E">
        <w:t xml:space="preserve"> </w:t>
      </w:r>
      <w:r w:rsidR="00CC006B">
        <w:t>along the system to the next stage</w:t>
      </w:r>
      <w:r w:rsidR="00C377E3">
        <w:t>.</w:t>
      </w:r>
    </w:p>
    <w:p w14:paraId="6166E26C" w14:textId="77777777" w:rsidR="00DB7416" w:rsidRDefault="00DB7416" w:rsidP="007359CD">
      <w:pPr>
        <w:ind w:left="720" w:hanging="720"/>
      </w:pPr>
    </w:p>
    <w:p w14:paraId="482A8256" w14:textId="7DCBB09B" w:rsidR="00576B1D" w:rsidRDefault="00EE3CE7" w:rsidP="00576B1D">
      <w:pPr>
        <w:ind w:left="720" w:hanging="720"/>
      </w:pPr>
      <w:r>
        <w:t>7</w:t>
      </w:r>
      <w:r w:rsidR="00F3532E">
        <w:t>.</w:t>
      </w:r>
      <w:r w:rsidR="00576B1D">
        <w:t>3</w:t>
      </w:r>
      <w:r w:rsidR="00F3532E">
        <w:tab/>
      </w:r>
      <w:r w:rsidR="007C5033">
        <w:t xml:space="preserve">Members </w:t>
      </w:r>
      <w:r>
        <w:t xml:space="preserve">noted that </w:t>
      </w:r>
      <w:r w:rsidR="00115A05">
        <w:t xml:space="preserve">Officers from </w:t>
      </w:r>
      <w:r>
        <w:t>the inquiry team were to visit HMP</w:t>
      </w:r>
      <w:r w:rsidR="00CC006B">
        <w:t xml:space="preserve"> Durham</w:t>
      </w:r>
      <w:r>
        <w:t xml:space="preserve"> </w:t>
      </w:r>
      <w:r w:rsidR="00CC006B" w:rsidRPr="00CC006B">
        <w:t>to see their video link facilities</w:t>
      </w:r>
      <w:r w:rsidR="00115A05">
        <w:t xml:space="preserve">. It was further noted that </w:t>
      </w:r>
      <w:r w:rsidR="0021765A">
        <w:t xml:space="preserve">a </w:t>
      </w:r>
      <w:r w:rsidR="00115A05">
        <w:t>pilot of guidance</w:t>
      </w:r>
      <w:r w:rsidR="006E304E">
        <w:t xml:space="preserve">, </w:t>
      </w:r>
      <w:r w:rsidR="00115A05">
        <w:t>advising those in custody, family members and advocates on what they should do in relation to declaring disabilities when someone was detained</w:t>
      </w:r>
      <w:r w:rsidR="006E304E">
        <w:t>, was proposed</w:t>
      </w:r>
      <w:r w:rsidR="00115A05">
        <w:t>.</w:t>
      </w:r>
    </w:p>
    <w:p w14:paraId="64B15830" w14:textId="77777777" w:rsidR="003C03E0" w:rsidRDefault="003C03E0" w:rsidP="000B5C57">
      <w:pPr>
        <w:ind w:left="1440" w:hanging="720"/>
      </w:pPr>
    </w:p>
    <w:p w14:paraId="029105C1" w14:textId="773A75E1" w:rsidR="003C03E0" w:rsidRDefault="00115A05" w:rsidP="003C03E0">
      <w:pPr>
        <w:ind w:left="720" w:hanging="720"/>
      </w:pPr>
      <w:r>
        <w:t>7</w:t>
      </w:r>
      <w:r w:rsidR="003C03E0">
        <w:t>.</w:t>
      </w:r>
      <w:r w:rsidR="00CC36DB">
        <w:t>4</w:t>
      </w:r>
      <w:r w:rsidR="003C03E0">
        <w:tab/>
      </w:r>
      <w:r>
        <w:t>Members commented that this would require police forces to ‘buy in’</w:t>
      </w:r>
      <w:r w:rsidR="006E304E">
        <w:t xml:space="preserve"> to</w:t>
      </w:r>
      <w:r>
        <w:t xml:space="preserve"> providing the guidance and that all detainees should be screened. They further commented that it may be better to </w:t>
      </w:r>
      <w:r w:rsidR="00976E0D">
        <w:t>look at</w:t>
      </w:r>
      <w:r>
        <w:t xml:space="preserve"> who in custody had a</w:t>
      </w:r>
      <w:r w:rsidR="00CC006B">
        <w:t>n impairment</w:t>
      </w:r>
      <w:r>
        <w:t xml:space="preserve"> and what could have been done </w:t>
      </w:r>
      <w:r>
        <w:lastRenderedPageBreak/>
        <w:t>earlier</w:t>
      </w:r>
      <w:r w:rsidR="00CC006B">
        <w:t xml:space="preserve"> to provide relevant assistance</w:t>
      </w:r>
      <w:r w:rsidR="006F5F0B">
        <w:t>.</w:t>
      </w:r>
      <w:r w:rsidR="007820C5">
        <w:t xml:space="preserve"> When it came to those in custody who had learning disabilities, there was a </w:t>
      </w:r>
      <w:r w:rsidR="00CC006B">
        <w:t xml:space="preserve">clear and </w:t>
      </w:r>
      <w:r w:rsidR="007820C5">
        <w:t xml:space="preserve">distinct </w:t>
      </w:r>
      <w:r w:rsidR="00CC006B">
        <w:t>relationship with</w:t>
      </w:r>
      <w:r w:rsidR="007820C5">
        <w:t xml:space="preserve"> those brought up in care</w:t>
      </w:r>
      <w:r w:rsidR="00CC006B">
        <w:t xml:space="preserve"> system</w:t>
      </w:r>
      <w:r w:rsidR="007820C5">
        <w:t>.</w:t>
      </w:r>
    </w:p>
    <w:p w14:paraId="21ED31AF" w14:textId="76381C63" w:rsidR="003A04F4" w:rsidRDefault="003A04F4" w:rsidP="00900762"/>
    <w:p w14:paraId="2B796405" w14:textId="3C0DD76F" w:rsidR="00A7349B" w:rsidRDefault="00A7349B" w:rsidP="00435D51">
      <w:pPr>
        <w:ind w:left="720"/>
      </w:pPr>
      <w:r w:rsidRPr="00FC26FF">
        <w:rPr>
          <w:b/>
        </w:rPr>
        <w:t xml:space="preserve">ACTION </w:t>
      </w:r>
      <w:r>
        <w:rPr>
          <w:b/>
        </w:rPr>
        <w:t>Angus Cleary</w:t>
      </w:r>
      <w:r>
        <w:t xml:space="preserve"> to note </w:t>
      </w:r>
      <w:r w:rsidR="000B27D3">
        <w:t>members</w:t>
      </w:r>
      <w:r w:rsidR="0021765A">
        <w:t>’</w:t>
      </w:r>
      <w:r>
        <w:t xml:space="preserve"> comments and to provide a link to the inquiry survey for members to promote through their networks.</w:t>
      </w:r>
    </w:p>
    <w:p w14:paraId="61A5EF0F" w14:textId="22E44D62" w:rsidR="00576B1D" w:rsidRDefault="00576B1D" w:rsidP="00900762"/>
    <w:p w14:paraId="2397C823" w14:textId="77777777" w:rsidR="004E332E" w:rsidRDefault="004E332E" w:rsidP="00EA79FF">
      <w:pPr>
        <w:ind w:left="720" w:hanging="720"/>
      </w:pPr>
    </w:p>
    <w:p w14:paraId="4FF64947" w14:textId="45D8D627" w:rsidR="00CE5B29" w:rsidRPr="00CE5B29" w:rsidRDefault="00A7349B" w:rsidP="00D070A9">
      <w:pPr>
        <w:pStyle w:val="Heading2"/>
        <w:rPr>
          <w:rStyle w:val="Heading2Char"/>
          <w:b/>
        </w:rPr>
      </w:pPr>
      <w:r>
        <w:t>8</w:t>
      </w:r>
      <w:r w:rsidR="00B44AAC">
        <w:tab/>
      </w:r>
      <w:r>
        <w:t>Right to independent living</w:t>
      </w:r>
    </w:p>
    <w:p w14:paraId="58B9FD86" w14:textId="77777777" w:rsidR="00987CB1" w:rsidRDefault="00987CB1" w:rsidP="00987CB1"/>
    <w:p w14:paraId="723FEBF9" w14:textId="38F957F4" w:rsidR="0014634C" w:rsidRDefault="00A7349B" w:rsidP="00CC1AD1">
      <w:pPr>
        <w:ind w:left="720" w:hanging="720"/>
      </w:pPr>
      <w:r>
        <w:t>8</w:t>
      </w:r>
      <w:r w:rsidR="00987CB1">
        <w:t>.1</w:t>
      </w:r>
      <w:r w:rsidR="00987CB1">
        <w:tab/>
      </w:r>
      <w:r w:rsidR="009B6631">
        <w:t>Rachel Fox</w:t>
      </w:r>
      <w:r w:rsidR="00CE5B29">
        <w:t xml:space="preserve"> </w:t>
      </w:r>
      <w:r w:rsidR="00CC1AD1">
        <w:t xml:space="preserve">spoke to the paper that </w:t>
      </w:r>
      <w:r w:rsidR="009B6631">
        <w:t>provided details of the draft influencing strategy</w:t>
      </w:r>
      <w:r w:rsidR="00CE5B29">
        <w:t xml:space="preserve"> </w:t>
      </w:r>
      <w:r w:rsidR="00CE5B29" w:rsidRPr="00CE5B29">
        <w:rPr>
          <w:b/>
        </w:rPr>
        <w:t>(DAC 0</w:t>
      </w:r>
      <w:r w:rsidR="009B6631">
        <w:rPr>
          <w:b/>
        </w:rPr>
        <w:t>9</w:t>
      </w:r>
      <w:r w:rsidR="00CE5B29" w:rsidRPr="00CE5B29">
        <w:rPr>
          <w:b/>
        </w:rPr>
        <w:t>.05)</w:t>
      </w:r>
      <w:r w:rsidR="009B6631">
        <w:t xml:space="preserve"> and asked the Committee to provide views on the strategy.</w:t>
      </w:r>
    </w:p>
    <w:p w14:paraId="194C97AF" w14:textId="77777777" w:rsidR="0014634C" w:rsidRDefault="0014634C" w:rsidP="00956D9A">
      <w:pPr>
        <w:ind w:left="720" w:hanging="720"/>
      </w:pPr>
    </w:p>
    <w:p w14:paraId="1A55C93F" w14:textId="13E05298" w:rsidR="00174699" w:rsidRDefault="009B6631" w:rsidP="00956D9A">
      <w:pPr>
        <w:ind w:left="720" w:hanging="720"/>
      </w:pPr>
      <w:r>
        <w:t>8</w:t>
      </w:r>
      <w:r w:rsidR="0014634C">
        <w:t>.2</w:t>
      </w:r>
      <w:r w:rsidR="0014634C">
        <w:tab/>
      </w:r>
      <w:r w:rsidR="007D4982">
        <w:t xml:space="preserve">Members </w:t>
      </w:r>
      <w:r w:rsidR="002F47E9">
        <w:t>felt</w:t>
      </w:r>
      <w:r>
        <w:t xml:space="preserve"> that</w:t>
      </w:r>
      <w:r w:rsidR="00174699">
        <w:t>:</w:t>
      </w:r>
    </w:p>
    <w:p w14:paraId="1FCD5901" w14:textId="77777777" w:rsidR="00435D51" w:rsidRDefault="00435D51" w:rsidP="00956D9A">
      <w:pPr>
        <w:ind w:left="720" w:hanging="720"/>
      </w:pPr>
    </w:p>
    <w:p w14:paraId="40CBAC77" w14:textId="060608E0" w:rsidR="005F748B" w:rsidRDefault="005F748B" w:rsidP="005F748B">
      <w:pPr>
        <w:ind w:left="1440" w:hanging="720"/>
      </w:pPr>
      <w:r>
        <w:t>a)</w:t>
      </w:r>
      <w:r>
        <w:tab/>
      </w:r>
      <w:r w:rsidRPr="005F748B">
        <w:t xml:space="preserve">further consideration of how the position applied to those with mental health conditions would be useful and it was also important to consider UNCRPD </w:t>
      </w:r>
      <w:r w:rsidR="0021765A">
        <w:t>A</w:t>
      </w:r>
      <w:r w:rsidR="0021765A" w:rsidRPr="005F748B">
        <w:t xml:space="preserve">rticles </w:t>
      </w:r>
      <w:r w:rsidRPr="005F748B">
        <w:t>12 and 14, as well as Article 19.</w:t>
      </w:r>
    </w:p>
    <w:p w14:paraId="60A439E7" w14:textId="32F76BBF" w:rsidR="005F748B" w:rsidRDefault="005F748B" w:rsidP="005F748B">
      <w:pPr>
        <w:ind w:left="1440" w:hanging="720"/>
      </w:pPr>
      <w:r w:rsidRPr="005F748B">
        <w:t>b</w:t>
      </w:r>
      <w:r>
        <w:t>)</w:t>
      </w:r>
      <w:r>
        <w:tab/>
        <w:t>a</w:t>
      </w:r>
      <w:r w:rsidRPr="005F748B">
        <w:t>s</w:t>
      </w:r>
      <w:r>
        <w:t xml:space="preserve"> equal services for disabled people</w:t>
      </w:r>
      <w:r w:rsidRPr="005F748B">
        <w:t xml:space="preserve"> in the community was not the key focus of the position, this should be noted in the context</w:t>
      </w:r>
      <w:r>
        <w:t>;</w:t>
      </w:r>
    </w:p>
    <w:p w14:paraId="174E499B" w14:textId="349384BA" w:rsidR="005F748B" w:rsidRPr="005F748B" w:rsidRDefault="005F748B" w:rsidP="005F748B">
      <w:pPr>
        <w:ind w:left="1440" w:hanging="720"/>
      </w:pPr>
      <w:r w:rsidRPr="005F748B">
        <w:t>c</w:t>
      </w:r>
      <w:r>
        <w:t>)</w:t>
      </w:r>
      <w:r>
        <w:tab/>
      </w:r>
      <w:r w:rsidRPr="005F748B">
        <w:t>in relation to the position itself, members reiterated concerns that the position did not require the closing down of existing institutions;</w:t>
      </w:r>
    </w:p>
    <w:p w14:paraId="316A8E5C" w14:textId="44C0E660" w:rsidR="005F748B" w:rsidRDefault="005F748B" w:rsidP="005F748B">
      <w:pPr>
        <w:ind w:left="1440" w:hanging="720"/>
      </w:pPr>
      <w:r w:rsidRPr="005F748B">
        <w:t>d</w:t>
      </w:r>
      <w:r>
        <w:t>)</w:t>
      </w:r>
      <w:r>
        <w:tab/>
        <w:t>t</w:t>
      </w:r>
      <w:r w:rsidRPr="005F748B">
        <w:t xml:space="preserve">here was a need to acknowledge the </w:t>
      </w:r>
      <w:r>
        <w:t xml:space="preserve">distinction between those with lifelong </w:t>
      </w:r>
      <w:r w:rsidRPr="005F748B">
        <w:t>impairments</w:t>
      </w:r>
      <w:r>
        <w:t xml:space="preserve"> and those who acquired </w:t>
      </w:r>
      <w:r w:rsidRPr="005F748B">
        <w:t>impairments</w:t>
      </w:r>
      <w:r>
        <w:t xml:space="preserve"> later in life.</w:t>
      </w:r>
    </w:p>
    <w:p w14:paraId="087DB202" w14:textId="77777777" w:rsidR="007A231B" w:rsidRDefault="007A231B" w:rsidP="00174699">
      <w:pPr>
        <w:ind w:left="1440" w:hanging="720"/>
      </w:pPr>
    </w:p>
    <w:p w14:paraId="60F322EF" w14:textId="119B3141" w:rsidR="002F47E9" w:rsidRDefault="002F47E9" w:rsidP="00285CFF">
      <w:pPr>
        <w:ind w:left="720" w:hanging="720"/>
      </w:pPr>
      <w:r>
        <w:t>8</w:t>
      </w:r>
      <w:r w:rsidR="007A231B">
        <w:t>.3</w:t>
      </w:r>
      <w:r w:rsidR="007A231B">
        <w:tab/>
      </w:r>
      <w:r>
        <w:t>The Committee questioned, in terms of procurement, whether the PSED fed into contracting services for Independent Living</w:t>
      </w:r>
      <w:r w:rsidR="00210634">
        <w:t>.</w:t>
      </w:r>
      <w:r>
        <w:t xml:space="preserve"> In addition, the role of the C</w:t>
      </w:r>
      <w:r w:rsidR="005017CC">
        <w:t xml:space="preserve">are </w:t>
      </w:r>
      <w:r>
        <w:t>Q</w:t>
      </w:r>
      <w:r w:rsidR="005017CC">
        <w:t xml:space="preserve">uality </w:t>
      </w:r>
      <w:r>
        <w:t>C</w:t>
      </w:r>
      <w:r w:rsidR="005017CC">
        <w:t>ommission</w:t>
      </w:r>
      <w:r>
        <w:t xml:space="preserve"> was questioned, as they inspected institutions and this could provide an opportunity to influence them</w:t>
      </w:r>
      <w:r w:rsidR="006E304E">
        <w:t>.</w:t>
      </w:r>
    </w:p>
    <w:p w14:paraId="7A2BCC7C" w14:textId="77777777" w:rsidR="002F47E9" w:rsidRDefault="002F47E9" w:rsidP="00285CFF">
      <w:pPr>
        <w:ind w:left="720" w:hanging="720"/>
      </w:pPr>
    </w:p>
    <w:p w14:paraId="4A8750CA" w14:textId="383E9BAB" w:rsidR="007A231B" w:rsidRDefault="002F47E9" w:rsidP="00285CFF">
      <w:pPr>
        <w:ind w:left="720" w:hanging="720"/>
      </w:pPr>
      <w:r>
        <w:t>8.4</w:t>
      </w:r>
      <w:r>
        <w:tab/>
        <w:t>Members suggest</w:t>
      </w:r>
      <w:r w:rsidR="006E304E">
        <w:t>ed</w:t>
      </w:r>
      <w:r>
        <w:t xml:space="preserve"> that:</w:t>
      </w:r>
    </w:p>
    <w:p w14:paraId="54E6B81A" w14:textId="77777777" w:rsidR="00435D51" w:rsidRDefault="00435D51" w:rsidP="00285CFF">
      <w:pPr>
        <w:ind w:left="720" w:hanging="720"/>
      </w:pPr>
    </w:p>
    <w:p w14:paraId="61AAB3E3" w14:textId="65E6F635" w:rsidR="002F47E9" w:rsidRDefault="002F47E9" w:rsidP="002F47E9">
      <w:pPr>
        <w:ind w:left="1440" w:hanging="720"/>
      </w:pPr>
      <w:r>
        <w:t>a)</w:t>
      </w:r>
      <w:r>
        <w:tab/>
        <w:t xml:space="preserve">it was important to understand the breadth of Independent living, to follow it through and </w:t>
      </w:r>
      <w:r w:rsidR="006E304E">
        <w:t xml:space="preserve">identify </w:t>
      </w:r>
      <w:r>
        <w:t>how local authorities could be supported to make it happen;</w:t>
      </w:r>
    </w:p>
    <w:p w14:paraId="6CC3F5DC" w14:textId="32D7799B" w:rsidR="002F47E9" w:rsidRDefault="002F47E9" w:rsidP="002F47E9">
      <w:pPr>
        <w:ind w:left="1440" w:hanging="720"/>
      </w:pPr>
      <w:r>
        <w:lastRenderedPageBreak/>
        <w:t>b)</w:t>
      </w:r>
      <w:r>
        <w:tab/>
        <w:t>establishing DPO’s in all local authorities would increase life chances</w:t>
      </w:r>
      <w:r w:rsidR="00832C38">
        <w:t xml:space="preserve"> and provide opportunities to campaign for independent living</w:t>
      </w:r>
      <w:r>
        <w:t>;</w:t>
      </w:r>
    </w:p>
    <w:p w14:paraId="0F60FA64" w14:textId="4F8FEFBB" w:rsidR="00832C38" w:rsidRDefault="00832C38" w:rsidP="002F47E9">
      <w:pPr>
        <w:ind w:left="1440" w:hanging="720"/>
      </w:pPr>
      <w:r>
        <w:t>c)</w:t>
      </w:r>
      <w:r>
        <w:tab/>
        <w:t>opportunities for partnership working should be sought out</w:t>
      </w:r>
      <w:r w:rsidR="005F748B">
        <w:t xml:space="preserve"> </w:t>
      </w:r>
      <w:r w:rsidR="005F748B" w:rsidRPr="005F748B">
        <w:t>and it would be important to set the context for the Commission</w:t>
      </w:r>
      <w:r w:rsidR="005D13EC">
        <w:t>’</w:t>
      </w:r>
      <w:r w:rsidR="005F748B" w:rsidRPr="005F748B">
        <w:t>s ‘asks’ by releasing comms and media content over a sustained time-period</w:t>
      </w:r>
      <w:r>
        <w:t>;</w:t>
      </w:r>
    </w:p>
    <w:p w14:paraId="2069B0E0" w14:textId="395FAE89" w:rsidR="00832C38" w:rsidRDefault="00832C38" w:rsidP="002F47E9">
      <w:pPr>
        <w:ind w:left="1440" w:hanging="720"/>
      </w:pPr>
      <w:r>
        <w:t>d)</w:t>
      </w:r>
      <w:r>
        <w:tab/>
      </w:r>
      <w:r w:rsidR="005D13EC">
        <w:t xml:space="preserve">it would be useful to </w:t>
      </w:r>
      <w:r>
        <w:t>identify, within the various sectors, where there would be significant pushback and ensure resourcing was available to challenge the pushbacks;</w:t>
      </w:r>
    </w:p>
    <w:p w14:paraId="6F6EEA0F" w14:textId="2C3D6782" w:rsidR="00832C38" w:rsidRDefault="00832C38" w:rsidP="002F47E9">
      <w:pPr>
        <w:ind w:left="1440" w:hanging="720"/>
      </w:pPr>
      <w:r>
        <w:t>e)</w:t>
      </w:r>
      <w:r>
        <w:tab/>
      </w:r>
      <w:r w:rsidR="005F748B" w:rsidRPr="005F748B">
        <w:t>the aspect of the model concerning the ‘right to refuse’ elements of provision could be subject to misuse, so needed to be further considered</w:t>
      </w:r>
      <w:r>
        <w:t xml:space="preserve">; and </w:t>
      </w:r>
    </w:p>
    <w:p w14:paraId="05C10ED1" w14:textId="1916EC6D" w:rsidR="00832C38" w:rsidRDefault="00832C38" w:rsidP="002F47E9">
      <w:pPr>
        <w:ind w:left="1440" w:hanging="720"/>
      </w:pPr>
      <w:r>
        <w:t>f)</w:t>
      </w:r>
      <w:r>
        <w:tab/>
        <w:t>it would be worth considering a context campaign, introduced as a social issue with a drip feed of images looked at as if holding up a mirror to society.</w:t>
      </w:r>
    </w:p>
    <w:p w14:paraId="549E69CC" w14:textId="5A5EADE6" w:rsidR="00285CFF" w:rsidRDefault="00285CFF" w:rsidP="00987CB1"/>
    <w:p w14:paraId="7D42254C" w14:textId="0950447C" w:rsidR="00285CFF" w:rsidRDefault="00832C38" w:rsidP="00285CFF">
      <w:pPr>
        <w:ind w:left="720" w:hanging="720"/>
      </w:pPr>
      <w:r>
        <w:t>8.5</w:t>
      </w:r>
      <w:r w:rsidR="00285CFF">
        <w:tab/>
        <w:t xml:space="preserve">The Committee thanked </w:t>
      </w:r>
      <w:r>
        <w:t xml:space="preserve">Rachel for her continued work on </w:t>
      </w:r>
      <w:r w:rsidR="0076750F">
        <w:t>Independent</w:t>
      </w:r>
      <w:r>
        <w:t xml:space="preserve"> Living</w:t>
      </w:r>
      <w:r w:rsidR="005D13EC">
        <w:t>,</w:t>
      </w:r>
      <w:r w:rsidR="0076750F">
        <w:t xml:space="preserve"> asking that she continued to work with the sub-group and provide updates as required</w:t>
      </w:r>
      <w:r w:rsidR="00285CFF">
        <w:t>.</w:t>
      </w:r>
    </w:p>
    <w:p w14:paraId="000D49F2" w14:textId="14E3FCFD" w:rsidR="00285CFF" w:rsidRDefault="00285CFF" w:rsidP="00987CB1"/>
    <w:p w14:paraId="096D2678" w14:textId="653168D6" w:rsidR="00285CFF" w:rsidRDefault="00285CFF" w:rsidP="00987CB1"/>
    <w:p w14:paraId="20328811" w14:textId="7E4CE189" w:rsidR="00285CFF" w:rsidRPr="00D070A9" w:rsidRDefault="009B33D6" w:rsidP="00D070A9">
      <w:pPr>
        <w:pStyle w:val="Heading2"/>
      </w:pPr>
      <w:r w:rsidRPr="00D070A9">
        <w:t>9</w:t>
      </w:r>
      <w:r w:rsidR="00285CFF" w:rsidRPr="00D070A9">
        <w:tab/>
      </w:r>
      <w:r w:rsidRPr="00D070A9">
        <w:t>Approach to stakeholder engagement with disabled people</w:t>
      </w:r>
    </w:p>
    <w:p w14:paraId="338FC02C" w14:textId="1B53424C" w:rsidR="00285CFF" w:rsidRDefault="00285CFF" w:rsidP="00987CB1"/>
    <w:p w14:paraId="6423173A" w14:textId="1F06BB05" w:rsidR="00285CFF" w:rsidRDefault="009B33D6" w:rsidP="00285CFF">
      <w:pPr>
        <w:ind w:left="720" w:hanging="720"/>
      </w:pPr>
      <w:r>
        <w:t>9</w:t>
      </w:r>
      <w:r w:rsidR="00285CFF">
        <w:t>.1</w:t>
      </w:r>
      <w:r w:rsidR="00285CFF">
        <w:tab/>
      </w:r>
      <w:r>
        <w:t xml:space="preserve">Laura Mingins </w:t>
      </w:r>
      <w:r w:rsidR="006E304E">
        <w:t>briefed the Committee</w:t>
      </w:r>
      <w:r>
        <w:t xml:space="preserve"> on the work of the stakeholder engagement team, advising members that the team had recently been strengthened</w:t>
      </w:r>
      <w:r w:rsidR="00B87A12">
        <w:t>.</w:t>
      </w:r>
    </w:p>
    <w:p w14:paraId="31A8668D" w14:textId="17131384" w:rsidR="002B17C3" w:rsidRDefault="002B17C3" w:rsidP="00285CFF">
      <w:pPr>
        <w:ind w:left="720" w:hanging="720"/>
      </w:pPr>
    </w:p>
    <w:p w14:paraId="047536B4" w14:textId="55B1DE00" w:rsidR="002B17C3" w:rsidRDefault="002B17C3" w:rsidP="00285CFF">
      <w:pPr>
        <w:ind w:left="720" w:hanging="720"/>
      </w:pPr>
      <w:r>
        <w:t>9.2</w:t>
      </w:r>
      <w:r>
        <w:tab/>
        <w:t>Members heard that the aim was to promote all of the Commission</w:t>
      </w:r>
      <w:r w:rsidR="005D13EC">
        <w:t>’</w:t>
      </w:r>
      <w:r>
        <w:t>s powers</w:t>
      </w:r>
      <w:r w:rsidR="008D5727">
        <w:t>,</w:t>
      </w:r>
      <w:r>
        <w:t xml:space="preserve"> which was underpinned by the delivery of the Strategic Plan</w:t>
      </w:r>
      <w:r w:rsidR="006E304E">
        <w:t>.</w:t>
      </w:r>
      <w:r>
        <w:t xml:space="preserve"> The team were working to promote the Commission as:</w:t>
      </w:r>
    </w:p>
    <w:p w14:paraId="239E9A11" w14:textId="77777777" w:rsidR="00435D51" w:rsidRDefault="00435D51" w:rsidP="00285CFF">
      <w:pPr>
        <w:ind w:left="720" w:hanging="720"/>
      </w:pPr>
    </w:p>
    <w:p w14:paraId="51E07130" w14:textId="57EF9FF1" w:rsidR="002B17C3" w:rsidRDefault="002B17C3" w:rsidP="00EC0EBC">
      <w:pPr>
        <w:ind w:left="1440" w:hanging="720"/>
      </w:pPr>
      <w:r>
        <w:t>a)</w:t>
      </w:r>
      <w:r w:rsidR="00EC0EBC">
        <w:tab/>
      </w:r>
      <w:r>
        <w:t xml:space="preserve">an </w:t>
      </w:r>
      <w:r w:rsidR="006E304E">
        <w:t>‘</w:t>
      </w:r>
      <w:r>
        <w:t>enforcer</w:t>
      </w:r>
      <w:r w:rsidR="006E304E">
        <w:t>’</w:t>
      </w:r>
      <w:r>
        <w:t xml:space="preserve"> and increase awareness of its legal powers and impact;</w:t>
      </w:r>
    </w:p>
    <w:p w14:paraId="490E24EC" w14:textId="0E63ADE1" w:rsidR="002B17C3" w:rsidRDefault="002B17C3" w:rsidP="002B17C3">
      <w:pPr>
        <w:ind w:left="720"/>
      </w:pPr>
      <w:r>
        <w:t>b)</w:t>
      </w:r>
      <w:r w:rsidR="00EC0EBC">
        <w:tab/>
      </w:r>
      <w:r>
        <w:t xml:space="preserve">an </w:t>
      </w:r>
      <w:r w:rsidR="006E304E">
        <w:t>‘</w:t>
      </w:r>
      <w:r>
        <w:t>influencer</w:t>
      </w:r>
      <w:r w:rsidR="006E304E">
        <w:t>’</w:t>
      </w:r>
      <w:r>
        <w:t xml:space="preserve">, so as to act as a lever for change; and </w:t>
      </w:r>
    </w:p>
    <w:p w14:paraId="7EE5F1BE" w14:textId="2D06BE46" w:rsidR="002B17C3" w:rsidRDefault="00EC0EBC" w:rsidP="00EC0EBC">
      <w:pPr>
        <w:ind w:left="1440" w:hanging="720"/>
      </w:pPr>
      <w:r>
        <w:t>c)</w:t>
      </w:r>
      <w:r>
        <w:tab/>
      </w:r>
      <w:r w:rsidR="002B17C3">
        <w:t xml:space="preserve">a </w:t>
      </w:r>
      <w:r w:rsidR="006E304E">
        <w:t>‘</w:t>
      </w:r>
      <w:r w:rsidR="002B17C3">
        <w:t>thought leader</w:t>
      </w:r>
      <w:r w:rsidR="006E304E">
        <w:t>’</w:t>
      </w:r>
      <w:r w:rsidR="002B17C3">
        <w:t xml:space="preserve"> to provide a platform</w:t>
      </w:r>
      <w:r w:rsidR="00496019">
        <w:t xml:space="preserve"> and voice within o</w:t>
      </w:r>
      <w:r w:rsidR="002B17C3">
        <w:t>ur networks to increase understanding.</w:t>
      </w:r>
    </w:p>
    <w:p w14:paraId="33CFD056" w14:textId="48B6A4FC" w:rsidR="002B17C3" w:rsidRDefault="002B17C3" w:rsidP="002B17C3"/>
    <w:p w14:paraId="21E4379B" w14:textId="5075CFA5" w:rsidR="002B17C3" w:rsidRDefault="002B17C3" w:rsidP="00496019">
      <w:pPr>
        <w:ind w:left="720" w:hanging="720"/>
      </w:pPr>
      <w:r>
        <w:t>9.3</w:t>
      </w:r>
      <w:r>
        <w:tab/>
        <w:t xml:space="preserve">Members </w:t>
      </w:r>
      <w:r w:rsidR="00496019">
        <w:t>noted that the Committee’s involvement in promoting the strategic plan consultations had assisted in obtaining a 49.8% response that disability was important. It was felt important that the DAC</w:t>
      </w:r>
      <w:r w:rsidR="00797771">
        <w:t>,</w:t>
      </w:r>
      <w:r w:rsidR="00496019">
        <w:t xml:space="preserve"> as a resource</w:t>
      </w:r>
      <w:r w:rsidR="00797771">
        <w:t>,</w:t>
      </w:r>
      <w:r w:rsidR="00496019">
        <w:t xml:space="preserve"> could be used better </w:t>
      </w:r>
      <w:r w:rsidR="00797771">
        <w:t xml:space="preserve">and that while </w:t>
      </w:r>
      <w:r w:rsidR="00976E0D">
        <w:t>advice</w:t>
      </w:r>
      <w:r w:rsidR="00797771">
        <w:t xml:space="preserve"> </w:t>
      </w:r>
      <w:r w:rsidR="00797771">
        <w:lastRenderedPageBreak/>
        <w:t xml:space="preserve">from </w:t>
      </w:r>
      <w:r w:rsidR="003D5C51">
        <w:t>Disabled People’s Organisation’s (</w:t>
      </w:r>
      <w:r w:rsidR="00EC0EBC">
        <w:t>DPO’s</w:t>
      </w:r>
      <w:r w:rsidR="003D5C51">
        <w:t>)</w:t>
      </w:r>
      <w:r w:rsidR="00EC0EBC">
        <w:t xml:space="preserve"> </w:t>
      </w:r>
      <w:r w:rsidR="00797771">
        <w:t>was important, it was crucial they did</w:t>
      </w:r>
      <w:r w:rsidR="006E304E">
        <w:t xml:space="preserve"> </w:t>
      </w:r>
      <w:r w:rsidR="00797771">
        <w:t>n</w:t>
      </w:r>
      <w:r w:rsidR="006E304E">
        <w:t>ot</w:t>
      </w:r>
      <w:r w:rsidR="00797771">
        <w:t xml:space="preserve"> feel pressured because of repeated contact.</w:t>
      </w:r>
    </w:p>
    <w:p w14:paraId="21A957F5" w14:textId="312FECDF" w:rsidR="00797771" w:rsidRDefault="00797771" w:rsidP="00496019">
      <w:pPr>
        <w:ind w:left="720" w:hanging="720"/>
      </w:pPr>
    </w:p>
    <w:p w14:paraId="169EF025" w14:textId="7E2B5677" w:rsidR="00797771" w:rsidRDefault="00797771" w:rsidP="00496019">
      <w:pPr>
        <w:ind w:left="720" w:hanging="720"/>
      </w:pPr>
      <w:r>
        <w:t xml:space="preserve">9.4 </w:t>
      </w:r>
      <w:r>
        <w:tab/>
        <w:t>Members commented that it would be helpful to:</w:t>
      </w:r>
    </w:p>
    <w:p w14:paraId="5FA114A1" w14:textId="77777777" w:rsidR="00435D51" w:rsidRDefault="00435D51" w:rsidP="00496019">
      <w:pPr>
        <w:ind w:left="720" w:hanging="720"/>
      </w:pPr>
    </w:p>
    <w:p w14:paraId="0734703F" w14:textId="11695F2E" w:rsidR="00797771" w:rsidRDefault="00797771" w:rsidP="00EC0EBC">
      <w:pPr>
        <w:ind w:left="1440" w:hanging="720"/>
      </w:pPr>
      <w:r>
        <w:t>a)</w:t>
      </w:r>
      <w:r w:rsidR="00EC0EBC">
        <w:tab/>
      </w:r>
      <w:r>
        <w:t>keep disabled people’s expectations realistic of what is achievable;</w:t>
      </w:r>
    </w:p>
    <w:p w14:paraId="01C2E740" w14:textId="48B51014" w:rsidR="00797771" w:rsidRDefault="00797771" w:rsidP="00EC0EBC">
      <w:pPr>
        <w:ind w:left="1440" w:hanging="720"/>
      </w:pPr>
      <w:r>
        <w:t>b)</w:t>
      </w:r>
      <w:r w:rsidR="00EC0EBC">
        <w:tab/>
      </w:r>
      <w:r>
        <w:t>have an annual report, by sector, of the implications for disabled people of legal cases and how extensive they were;</w:t>
      </w:r>
    </w:p>
    <w:p w14:paraId="526CFAB1" w14:textId="127532A4" w:rsidR="00EC0EBC" w:rsidRDefault="00EC0EBC" w:rsidP="00EC0EBC">
      <w:pPr>
        <w:ind w:left="1440" w:hanging="720"/>
      </w:pPr>
      <w:r>
        <w:t>c)</w:t>
      </w:r>
      <w:r>
        <w:tab/>
        <w:t>ask specific questions of DPO’s, ensur</w:t>
      </w:r>
      <w:r w:rsidR="006E304E">
        <w:t xml:space="preserve">ing </w:t>
      </w:r>
      <w:r>
        <w:t xml:space="preserve">there was something in it for them and </w:t>
      </w:r>
      <w:r w:rsidR="00531153">
        <w:t xml:space="preserve">to </w:t>
      </w:r>
      <w:r>
        <w:t>use resources to get to people and groups that the DPO’s can’t;</w:t>
      </w:r>
    </w:p>
    <w:p w14:paraId="17E466A4" w14:textId="70DFE8AE" w:rsidR="00EC0EBC" w:rsidRDefault="00EC0EBC" w:rsidP="00EC0EBC">
      <w:pPr>
        <w:ind w:left="1440" w:hanging="720"/>
      </w:pPr>
      <w:r>
        <w:t>d)</w:t>
      </w:r>
      <w:r>
        <w:tab/>
        <w:t>release press commentary when stories highlight unfairness or disadvantage</w:t>
      </w:r>
      <w:r w:rsidR="008D5727">
        <w:t>s</w:t>
      </w:r>
      <w:r>
        <w:t>, which could then provide some gravitas;</w:t>
      </w:r>
    </w:p>
    <w:p w14:paraId="4C2DF3FA" w14:textId="62E9C039" w:rsidR="00797771" w:rsidRDefault="00EC0EBC" w:rsidP="00EC0EBC">
      <w:pPr>
        <w:ind w:left="1440" w:hanging="720"/>
      </w:pPr>
      <w:r>
        <w:t>f)</w:t>
      </w:r>
      <w:r>
        <w:tab/>
        <w:t>avoid ‘radio silence’ on issues that suggest</w:t>
      </w:r>
      <w:r w:rsidR="008D5727">
        <w:t>ed</w:t>
      </w:r>
      <w:r>
        <w:t xml:space="preserve"> to disabled people that the Commission </w:t>
      </w:r>
      <w:r w:rsidR="008D5727">
        <w:t>was</w:t>
      </w:r>
      <w:r>
        <w:t xml:space="preserve"> not listening</w:t>
      </w:r>
      <w:r w:rsidR="00531153">
        <w:t>;</w:t>
      </w:r>
      <w:r>
        <w:t xml:space="preserve"> </w:t>
      </w:r>
    </w:p>
    <w:p w14:paraId="7653A8EE" w14:textId="0F76DDBB" w:rsidR="00EC0EBC" w:rsidRDefault="00EC0EBC" w:rsidP="00EC0EBC">
      <w:pPr>
        <w:ind w:left="1440" w:hanging="720"/>
      </w:pPr>
      <w:r>
        <w:t>g)</w:t>
      </w:r>
      <w:r>
        <w:tab/>
        <w:t>be clear about how the EHRC makes decisions in relation to taking legal cases or not;</w:t>
      </w:r>
    </w:p>
    <w:p w14:paraId="5E24FF7C" w14:textId="352489A2" w:rsidR="00EC0EBC" w:rsidRDefault="00EC0EBC" w:rsidP="00EC0EBC">
      <w:pPr>
        <w:ind w:left="1440" w:hanging="720"/>
      </w:pPr>
      <w:r>
        <w:t>h)</w:t>
      </w:r>
      <w:r>
        <w:tab/>
        <w:t>endeavour to ensure that any stakeholder engagement sessions were led by disabled people</w:t>
      </w:r>
      <w:r w:rsidR="00531153">
        <w:t>; and</w:t>
      </w:r>
    </w:p>
    <w:p w14:paraId="09B305C6" w14:textId="59D153B0" w:rsidR="00EC0EBC" w:rsidRDefault="00EC0EBC" w:rsidP="00EC0EBC">
      <w:pPr>
        <w:ind w:left="1440" w:hanging="720"/>
      </w:pPr>
      <w:r>
        <w:t>i</w:t>
      </w:r>
      <w:r w:rsidR="008D5727">
        <w:t>)</w:t>
      </w:r>
      <w:r w:rsidR="008D5727">
        <w:tab/>
        <w:t>r</w:t>
      </w:r>
      <w:r>
        <w:t xml:space="preserve">eview the </w:t>
      </w:r>
      <w:r w:rsidR="005D13EC">
        <w:t>p</w:t>
      </w:r>
      <w:r>
        <w:t xml:space="preserve">rinciple of </w:t>
      </w:r>
      <w:r w:rsidR="00531153">
        <w:t>c</w:t>
      </w:r>
      <w:r>
        <w:t>o-</w:t>
      </w:r>
      <w:r w:rsidR="00531153">
        <w:t>p</w:t>
      </w:r>
      <w:r>
        <w:t>roduction which</w:t>
      </w:r>
      <w:r w:rsidR="008D5727">
        <w:t>, although not perfect, had a statutory basis and</w:t>
      </w:r>
      <w:r>
        <w:t xml:space="preserve"> was enshrined in devolved legislation</w:t>
      </w:r>
      <w:r w:rsidR="008D5727">
        <w:t>.</w:t>
      </w:r>
    </w:p>
    <w:p w14:paraId="503C4048" w14:textId="77777777" w:rsidR="007F2BFE" w:rsidRDefault="007F2BFE" w:rsidP="00285CFF">
      <w:pPr>
        <w:ind w:left="720" w:hanging="720"/>
      </w:pPr>
    </w:p>
    <w:p w14:paraId="2231BA6E" w14:textId="55931BB7" w:rsidR="00285CFF" w:rsidRDefault="00285CFF" w:rsidP="00435D51">
      <w:pPr>
        <w:ind w:left="720"/>
      </w:pPr>
      <w:r w:rsidRPr="00285CFF">
        <w:rPr>
          <w:b/>
        </w:rPr>
        <w:t xml:space="preserve">Action: </w:t>
      </w:r>
      <w:r w:rsidR="008D5727">
        <w:rPr>
          <w:b/>
        </w:rPr>
        <w:t>Laura Mingins</w:t>
      </w:r>
      <w:r w:rsidR="008D5727">
        <w:t xml:space="preserve"> to note members’ comments, disseminate them to the stakeholder engagement team and employ</w:t>
      </w:r>
      <w:r w:rsidR="00C3307B">
        <w:t xml:space="preserve"> the Committees</w:t>
      </w:r>
      <w:r w:rsidR="008D5727">
        <w:t xml:space="preserve"> suggestions where appropriate and feasible</w:t>
      </w:r>
      <w:r>
        <w:t>.</w:t>
      </w:r>
    </w:p>
    <w:p w14:paraId="73D10CAA" w14:textId="37ACD6EE" w:rsidR="004A380E" w:rsidRDefault="004A380E" w:rsidP="004A380E">
      <w:pPr>
        <w:spacing w:before="100" w:beforeAutospacing="1" w:after="100" w:afterAutospacing="1"/>
        <w:ind w:left="720"/>
        <w:rPr>
          <w:rFonts w:ascii="Times New Roman" w:eastAsia="Times New Roman" w:hAnsi="Times New Roman"/>
          <w:sz w:val="24"/>
        </w:rPr>
      </w:pPr>
      <w:r w:rsidRPr="004A380E">
        <w:rPr>
          <w:rFonts w:eastAsia="Times New Roman"/>
          <w:highlight w:val="yellow"/>
        </w:rPr>
        <w:t>Action: Sarah Coleman to support the committee to 'map' our network and identify areas for further reach</w:t>
      </w:r>
    </w:p>
    <w:p w14:paraId="00BD559A" w14:textId="77777777" w:rsidR="004A380E" w:rsidRDefault="004A380E" w:rsidP="00435D51">
      <w:pPr>
        <w:ind w:left="1440" w:hanging="720"/>
      </w:pPr>
    </w:p>
    <w:p w14:paraId="5F4E28E9" w14:textId="77777777" w:rsidR="00210634" w:rsidRDefault="00210634" w:rsidP="00987CB1"/>
    <w:p w14:paraId="33A245A6" w14:textId="372CEA26" w:rsidR="004E13CC" w:rsidRPr="00D070A9" w:rsidRDefault="00E76E3A" w:rsidP="00D070A9">
      <w:pPr>
        <w:pStyle w:val="Heading2"/>
      </w:pPr>
      <w:r w:rsidRPr="00D070A9">
        <w:t>10</w:t>
      </w:r>
      <w:r w:rsidR="004E13CC" w:rsidRPr="00D070A9">
        <w:tab/>
      </w:r>
      <w:r w:rsidR="00841D2A" w:rsidRPr="00D070A9">
        <w:t>Sub</w:t>
      </w:r>
      <w:r w:rsidR="00210634" w:rsidRPr="00D070A9">
        <w:t>-</w:t>
      </w:r>
      <w:r w:rsidR="00841D2A" w:rsidRPr="00D070A9">
        <w:t>group reports to the Committee</w:t>
      </w:r>
    </w:p>
    <w:p w14:paraId="7356B87C" w14:textId="77777777" w:rsidR="004E13CC" w:rsidRDefault="004E13CC" w:rsidP="004E13CC"/>
    <w:p w14:paraId="243A6AAC" w14:textId="6FDEC691" w:rsidR="00044AD2" w:rsidRDefault="00044AD2" w:rsidP="00D070A9">
      <w:pPr>
        <w:pStyle w:val="Heading3"/>
      </w:pPr>
      <w:r>
        <w:t>CEO and Board</w:t>
      </w:r>
    </w:p>
    <w:p w14:paraId="5074A668" w14:textId="77777777" w:rsidR="00435D51" w:rsidRPr="00044AD2" w:rsidRDefault="00435D51" w:rsidP="005F3636">
      <w:pPr>
        <w:ind w:left="720" w:hanging="720"/>
        <w:rPr>
          <w:b/>
        </w:rPr>
      </w:pPr>
    </w:p>
    <w:p w14:paraId="60F05C50" w14:textId="68872361" w:rsidR="006A1FC3" w:rsidRDefault="00E76E3A" w:rsidP="005F3636">
      <w:pPr>
        <w:ind w:left="720" w:hanging="720"/>
      </w:pPr>
      <w:r>
        <w:t>10</w:t>
      </w:r>
      <w:r w:rsidR="00EF344B">
        <w:t>.</w:t>
      </w:r>
      <w:r w:rsidR="00FF15FC">
        <w:t>1</w:t>
      </w:r>
      <w:r w:rsidR="00EF344B">
        <w:tab/>
      </w:r>
      <w:r w:rsidR="00A41A12">
        <w:t xml:space="preserve">Melanie Field introduced the CEO and Board report </w:t>
      </w:r>
      <w:r w:rsidR="00A41A12" w:rsidRPr="00AE5DE9">
        <w:rPr>
          <w:b/>
        </w:rPr>
        <w:t>(DAC 0</w:t>
      </w:r>
      <w:r w:rsidR="00F14247">
        <w:rPr>
          <w:b/>
        </w:rPr>
        <w:t>9</w:t>
      </w:r>
      <w:r w:rsidR="00A41A12" w:rsidRPr="00AE5DE9">
        <w:rPr>
          <w:b/>
        </w:rPr>
        <w:t>.0</w:t>
      </w:r>
      <w:r w:rsidR="007F2BFE" w:rsidRPr="00AE5DE9">
        <w:rPr>
          <w:b/>
        </w:rPr>
        <w:t>6</w:t>
      </w:r>
      <w:r w:rsidR="00A41A12" w:rsidRPr="00AE5DE9">
        <w:rPr>
          <w:b/>
        </w:rPr>
        <w:t>)</w:t>
      </w:r>
      <w:r w:rsidR="000534C1">
        <w:t>.</w:t>
      </w:r>
      <w:r w:rsidR="00A41A12">
        <w:t xml:space="preserve"> </w:t>
      </w:r>
    </w:p>
    <w:p w14:paraId="00125F3B" w14:textId="77777777" w:rsidR="000534C1" w:rsidRDefault="000534C1" w:rsidP="005F3636">
      <w:pPr>
        <w:ind w:left="720" w:hanging="720"/>
      </w:pPr>
    </w:p>
    <w:p w14:paraId="77100134" w14:textId="29B296A5" w:rsidR="00E76E3A" w:rsidRDefault="00E76E3A" w:rsidP="005F3636">
      <w:pPr>
        <w:ind w:left="720" w:hanging="720"/>
      </w:pPr>
      <w:r>
        <w:t>10</w:t>
      </w:r>
      <w:r w:rsidR="00FF15FC">
        <w:t>.2</w:t>
      </w:r>
      <w:r w:rsidR="000534C1">
        <w:tab/>
      </w:r>
      <w:r w:rsidR="00F14247">
        <w:t xml:space="preserve">In relation to a letter that had been received from Debbie Abrahams MP, which requested that the Commission investigate the Department for Work and Pensions (DWP) for deaths of social </w:t>
      </w:r>
      <w:r w:rsidR="00F14247">
        <w:lastRenderedPageBreak/>
        <w:t>security claimants after being found fit to work or having Personal Independence Payments reduced, members noted that</w:t>
      </w:r>
      <w:r>
        <w:t>:</w:t>
      </w:r>
    </w:p>
    <w:p w14:paraId="4349F54F" w14:textId="77777777" w:rsidR="00435D51" w:rsidRDefault="00435D51" w:rsidP="005F3636">
      <w:pPr>
        <w:ind w:left="720" w:hanging="720"/>
      </w:pPr>
    </w:p>
    <w:p w14:paraId="4C9BC084" w14:textId="2543622C" w:rsidR="00E76E3A" w:rsidRDefault="00E76E3A" w:rsidP="00E76E3A">
      <w:pPr>
        <w:ind w:left="1440" w:hanging="720"/>
      </w:pPr>
      <w:r>
        <w:t>a)</w:t>
      </w:r>
      <w:r>
        <w:tab/>
      </w:r>
      <w:r w:rsidR="00F14247">
        <w:t>a full discussion had been held at the most recent Prioritisation Group meeting</w:t>
      </w:r>
      <w:r>
        <w:t>;</w:t>
      </w:r>
      <w:r w:rsidR="00F14247">
        <w:t xml:space="preserve"> </w:t>
      </w:r>
    </w:p>
    <w:p w14:paraId="59A32CD3" w14:textId="5ED1A9F5" w:rsidR="00E76E3A" w:rsidRDefault="00E76E3A" w:rsidP="00E76E3A">
      <w:pPr>
        <w:ind w:left="1440" w:hanging="720"/>
      </w:pPr>
      <w:r>
        <w:t>b)</w:t>
      </w:r>
      <w:r>
        <w:tab/>
        <w:t>t</w:t>
      </w:r>
      <w:r w:rsidR="00F14247">
        <w:t>his fitted with the Access to Justice aim and consideration was given more broadly to the appropriate use of powers</w:t>
      </w:r>
      <w:r>
        <w:t>;</w:t>
      </w:r>
    </w:p>
    <w:p w14:paraId="0234CA6C" w14:textId="20293D4B" w:rsidR="00E76E3A" w:rsidRDefault="00E76E3A" w:rsidP="00E76E3A">
      <w:pPr>
        <w:ind w:left="1440" w:hanging="720"/>
      </w:pPr>
      <w:r>
        <w:t>c)</w:t>
      </w:r>
      <w:r>
        <w:tab/>
        <w:t>t</w:t>
      </w:r>
      <w:r w:rsidR="00F14247">
        <w:t xml:space="preserve">his suggested there was a serious flaw in the process </w:t>
      </w:r>
      <w:r>
        <w:t>and engagement had already taken place with the DWP to obtain formal agreement on the use of reasonable adjustments when dealing with claimants;</w:t>
      </w:r>
    </w:p>
    <w:p w14:paraId="335219E1" w14:textId="3CDF282F" w:rsidR="00E76E3A" w:rsidRDefault="00E76E3A" w:rsidP="00E76E3A">
      <w:pPr>
        <w:ind w:left="1440" w:hanging="720"/>
      </w:pPr>
      <w:r>
        <w:t>d)</w:t>
      </w:r>
      <w:r>
        <w:tab/>
      </w:r>
      <w:r w:rsidR="00EC61F3">
        <w:t>the DWP had a system in place where a review takes place in the circumstance of a claimant death, although there were questions as to whether the reviews were independent enough; and</w:t>
      </w:r>
    </w:p>
    <w:p w14:paraId="5BDBF8B4" w14:textId="5DAF90C7" w:rsidR="000534C1" w:rsidRDefault="00E76E3A" w:rsidP="00E76E3A">
      <w:pPr>
        <w:ind w:left="1440" w:hanging="720"/>
      </w:pPr>
      <w:r>
        <w:t>d)</w:t>
      </w:r>
      <w:r>
        <w:tab/>
        <w:t>Chief Executive Officer Rebecca Hilsenrath had replied to Debbie Abrahams MP, highlighting that there was a potential to take on individual cases.</w:t>
      </w:r>
    </w:p>
    <w:p w14:paraId="20E0F9EB" w14:textId="5F68E844" w:rsidR="00DA268A" w:rsidRDefault="00DA268A" w:rsidP="005F3636">
      <w:pPr>
        <w:ind w:left="720" w:hanging="720"/>
      </w:pPr>
    </w:p>
    <w:p w14:paraId="56A35D98" w14:textId="310E9F5A" w:rsidR="00FC0A93" w:rsidRDefault="00E76E3A" w:rsidP="005F3636">
      <w:pPr>
        <w:ind w:left="720" w:hanging="720"/>
      </w:pPr>
      <w:r>
        <w:t>10.3</w:t>
      </w:r>
      <w:r w:rsidR="00FC0A93">
        <w:tab/>
        <w:t xml:space="preserve">Members </w:t>
      </w:r>
      <w:r w:rsidR="00EC61F3">
        <w:t>heard that information related to the Care Quality Commission was discussed by the Prioritisation Group and there was a suggestion that the Commission might explore Article 3 (General Principles) breaches in the early stages.</w:t>
      </w:r>
    </w:p>
    <w:p w14:paraId="7FA69A85" w14:textId="16C4A5A4" w:rsidR="00FC0A93" w:rsidRDefault="00FC0A93" w:rsidP="005F3636">
      <w:pPr>
        <w:ind w:left="720" w:hanging="720"/>
      </w:pPr>
    </w:p>
    <w:p w14:paraId="03993888" w14:textId="1141AA3E" w:rsidR="00044AD2" w:rsidRDefault="00044AD2" w:rsidP="00D070A9">
      <w:pPr>
        <w:pStyle w:val="Heading3"/>
      </w:pPr>
      <w:r w:rsidRPr="00044AD2">
        <w:t>Scotland Committee</w:t>
      </w:r>
    </w:p>
    <w:p w14:paraId="1F2CD907" w14:textId="77777777" w:rsidR="00435D51" w:rsidRPr="00044AD2" w:rsidRDefault="00435D51" w:rsidP="005F3636">
      <w:pPr>
        <w:ind w:left="720" w:hanging="720"/>
        <w:rPr>
          <w:b/>
        </w:rPr>
      </w:pPr>
    </w:p>
    <w:p w14:paraId="51F69645" w14:textId="2A483EC7" w:rsidR="00644BAD" w:rsidRDefault="00B95009" w:rsidP="00175516">
      <w:pPr>
        <w:ind w:left="720" w:hanging="720"/>
      </w:pPr>
      <w:r>
        <w:t>10.4</w:t>
      </w:r>
      <w:r w:rsidR="000534C1">
        <w:tab/>
      </w:r>
      <w:r w:rsidR="00644BAD">
        <w:t xml:space="preserve">Members heard from Marsali Craig that </w:t>
      </w:r>
      <w:r w:rsidR="00EC61F3">
        <w:t>mu</w:t>
      </w:r>
      <w:r>
        <w:t xml:space="preserve">ch of the discussion </w:t>
      </w:r>
      <w:r w:rsidR="00EC61F3">
        <w:t xml:space="preserve">at the DAC had chimed with what had </w:t>
      </w:r>
      <w:r>
        <w:t xml:space="preserve">recently </w:t>
      </w:r>
      <w:r w:rsidR="00EC61F3">
        <w:t xml:space="preserve">been discussed by </w:t>
      </w:r>
      <w:r w:rsidR="00644BAD">
        <w:t>the</w:t>
      </w:r>
      <w:r w:rsidR="00EC61F3">
        <w:t xml:space="preserve"> Scotland Committee.</w:t>
      </w:r>
    </w:p>
    <w:p w14:paraId="369B6C30" w14:textId="77777777" w:rsidR="00644BAD" w:rsidRDefault="00644BAD" w:rsidP="00AE5DE9">
      <w:pPr>
        <w:ind w:left="720" w:hanging="720"/>
      </w:pPr>
    </w:p>
    <w:p w14:paraId="50A64D31" w14:textId="532B11AB" w:rsidR="00B95009" w:rsidRDefault="00B95009" w:rsidP="00AE5DE9">
      <w:pPr>
        <w:ind w:left="720" w:hanging="720"/>
      </w:pPr>
      <w:r>
        <w:t>10.5</w:t>
      </w:r>
      <w:r w:rsidR="00AE5DE9">
        <w:tab/>
      </w:r>
      <w:r w:rsidR="00644BAD">
        <w:t>Members noted that</w:t>
      </w:r>
      <w:r w:rsidR="00531153">
        <w:t>:</w:t>
      </w:r>
      <w:r w:rsidR="00644BAD">
        <w:t xml:space="preserve"> </w:t>
      </w:r>
    </w:p>
    <w:p w14:paraId="3651BB91" w14:textId="77777777" w:rsidR="00435D51" w:rsidRDefault="00435D51" w:rsidP="00AE5DE9">
      <w:pPr>
        <w:ind w:left="720" w:hanging="720"/>
      </w:pPr>
    </w:p>
    <w:p w14:paraId="7BEFAEFA" w14:textId="23652E29" w:rsidR="00644BAD" w:rsidRDefault="00B95009" w:rsidP="00B95009">
      <w:pPr>
        <w:ind w:left="1440" w:hanging="720"/>
      </w:pPr>
      <w:r>
        <w:t>a)</w:t>
      </w:r>
      <w:r>
        <w:tab/>
      </w:r>
      <w:r w:rsidR="00644BAD">
        <w:t>the</w:t>
      </w:r>
      <w:r>
        <w:t>re had been useful stakeholder events in Scotland and that the team were looking for strategic litigation cases to emphasise the role of the EHRC as an enforcer;</w:t>
      </w:r>
    </w:p>
    <w:p w14:paraId="02E7DADE" w14:textId="293656B2" w:rsidR="00B95009" w:rsidRDefault="00B95009" w:rsidP="00EA5981">
      <w:pPr>
        <w:ind w:left="1440" w:hanging="720"/>
      </w:pPr>
      <w:r>
        <w:t>b)</w:t>
      </w:r>
      <w:r>
        <w:tab/>
      </w:r>
      <w:r w:rsidR="00EA5981">
        <w:t xml:space="preserve">EHRC Chair, </w:t>
      </w:r>
      <w:r>
        <w:t>David Isaac</w:t>
      </w:r>
      <w:r w:rsidR="00EA5981">
        <w:t>,</w:t>
      </w:r>
      <w:r>
        <w:t xml:space="preserve"> </w:t>
      </w:r>
      <w:r w:rsidR="00EA5981">
        <w:t xml:space="preserve">Lesley Sawers, Commissioner and Scotland Committee Chair and Alastair Pringle, Executive Director, Scotland and Corporate Delivery had met with the First Minister in Scotland. Treaty </w:t>
      </w:r>
      <w:r w:rsidR="001F4657">
        <w:t xml:space="preserve">incorporation </w:t>
      </w:r>
      <w:r w:rsidR="00EA5981">
        <w:t>was one of the items discussed</w:t>
      </w:r>
      <w:r w:rsidR="00180F07">
        <w:t>;</w:t>
      </w:r>
    </w:p>
    <w:p w14:paraId="68F8C37A" w14:textId="37D9DBF2" w:rsidR="00B95009" w:rsidRDefault="00B95009" w:rsidP="00B95009">
      <w:pPr>
        <w:ind w:left="1440" w:hanging="720"/>
      </w:pPr>
      <w:r>
        <w:t>c)</w:t>
      </w:r>
      <w:r>
        <w:tab/>
        <w:t>influencing work with the Scottish Government and the First Minister</w:t>
      </w:r>
      <w:r w:rsidR="00531153">
        <w:t>’s</w:t>
      </w:r>
      <w:r>
        <w:t xml:space="preserve"> Advisory group, particularly around independent</w:t>
      </w:r>
      <w:r w:rsidR="00BE1418">
        <w:t xml:space="preserve"> </w:t>
      </w:r>
      <w:r>
        <w:t>living</w:t>
      </w:r>
      <w:r w:rsidR="00531153">
        <w:t>,</w:t>
      </w:r>
      <w:r>
        <w:t xml:space="preserve"> was ongoing; and</w:t>
      </w:r>
    </w:p>
    <w:p w14:paraId="3518ABD3" w14:textId="211938EA" w:rsidR="00644BAD" w:rsidRDefault="00B95009" w:rsidP="00B95009">
      <w:pPr>
        <w:ind w:left="1440" w:hanging="720"/>
      </w:pPr>
      <w:r>
        <w:lastRenderedPageBreak/>
        <w:t>d)</w:t>
      </w:r>
      <w:r>
        <w:tab/>
      </w:r>
      <w:r w:rsidR="00EA5981">
        <w:t>the Scotland Committee would be meeting with the Scottish Human Rights Commission</w:t>
      </w:r>
      <w:r w:rsidR="0011371E">
        <w:t xml:space="preserve"> (SHRC)</w:t>
      </w:r>
      <w:r w:rsidR="00EA5981">
        <w:t xml:space="preserve"> in September 2019</w:t>
      </w:r>
      <w:r w:rsidR="0011371E">
        <w:t xml:space="preserve"> and would be responding the SHRC’s consultation on their strategic plan</w:t>
      </w:r>
      <w:r>
        <w:t>.</w:t>
      </w:r>
    </w:p>
    <w:p w14:paraId="20886258" w14:textId="77777777" w:rsidR="00644BAD" w:rsidRDefault="00644BAD" w:rsidP="000534C1">
      <w:pPr>
        <w:ind w:left="720" w:hanging="720"/>
      </w:pPr>
    </w:p>
    <w:p w14:paraId="0127006F" w14:textId="7B333652" w:rsidR="00044AD2" w:rsidRDefault="00044AD2" w:rsidP="00D070A9">
      <w:pPr>
        <w:pStyle w:val="Heading3"/>
      </w:pPr>
      <w:r w:rsidRPr="00044AD2">
        <w:t xml:space="preserve">Wales </w:t>
      </w:r>
      <w:r w:rsidR="00800F3B" w:rsidRPr="00044AD2">
        <w:t>Committee</w:t>
      </w:r>
      <w:r w:rsidR="00531153">
        <w:t xml:space="preserve"> Update</w:t>
      </w:r>
    </w:p>
    <w:p w14:paraId="76B7EF55" w14:textId="77777777" w:rsidR="00435D51" w:rsidRPr="00044AD2" w:rsidRDefault="00435D51" w:rsidP="000534C1">
      <w:pPr>
        <w:ind w:left="720" w:hanging="720"/>
        <w:rPr>
          <w:b/>
        </w:rPr>
      </w:pPr>
    </w:p>
    <w:p w14:paraId="5288FBC8" w14:textId="5BC1559D" w:rsidR="00863C51" w:rsidRDefault="00BE1418" w:rsidP="00AE5DE9">
      <w:pPr>
        <w:ind w:left="720" w:hanging="720"/>
      </w:pPr>
      <w:r>
        <w:t>10.6</w:t>
      </w:r>
      <w:r w:rsidR="00044AD2">
        <w:tab/>
      </w:r>
      <w:r>
        <w:t>Martyn Jones</w:t>
      </w:r>
      <w:r w:rsidR="00AE5DE9">
        <w:t xml:space="preserve"> spoke on behalf of the Wales Committee, </w:t>
      </w:r>
      <w:r>
        <w:t xml:space="preserve">advising that the First Minister in Wales had recently appointed a Special Adviser on </w:t>
      </w:r>
      <w:r w:rsidR="001F4657">
        <w:t>equality</w:t>
      </w:r>
      <w:r>
        <w:t xml:space="preserve"> and that a newly appointed Welsh Government head of equality was due to be announced.</w:t>
      </w:r>
    </w:p>
    <w:p w14:paraId="42697E64" w14:textId="278D0A6E" w:rsidR="00BE1418" w:rsidRDefault="00BE1418" w:rsidP="00AE5DE9">
      <w:pPr>
        <w:ind w:left="720" w:hanging="720"/>
      </w:pPr>
    </w:p>
    <w:p w14:paraId="68D5F8B2" w14:textId="0F19A547" w:rsidR="00BE1418" w:rsidRDefault="00BE1418" w:rsidP="00AE5DE9">
      <w:pPr>
        <w:ind w:left="720" w:hanging="720"/>
      </w:pPr>
      <w:r>
        <w:t>10.7</w:t>
      </w:r>
      <w:r>
        <w:tab/>
        <w:t>Members heard that discussions had taken place in Wales on hate crime in relation to transport</w:t>
      </w:r>
      <w:r w:rsidR="00951E87">
        <w:t>. The</w:t>
      </w:r>
      <w:r>
        <w:t xml:space="preserve"> Welsh Government were </w:t>
      </w:r>
      <w:r w:rsidR="00951E87">
        <w:t xml:space="preserve">also </w:t>
      </w:r>
      <w:r>
        <w:t>holding a review of the social model and that a new version of the independent living document, driven by the Equality Act, was being drafted.</w:t>
      </w:r>
    </w:p>
    <w:p w14:paraId="72CF6F84" w14:textId="77777777" w:rsidR="00BE1418" w:rsidRDefault="00BE1418" w:rsidP="00AE5DE9">
      <w:pPr>
        <w:ind w:left="720" w:hanging="720"/>
      </w:pPr>
    </w:p>
    <w:p w14:paraId="4035B090" w14:textId="453153F4" w:rsidR="00BE1418" w:rsidRDefault="00BE1418" w:rsidP="00AE5DE9">
      <w:pPr>
        <w:ind w:left="720" w:hanging="720"/>
      </w:pPr>
      <w:r>
        <w:t>10.8</w:t>
      </w:r>
      <w:r>
        <w:tab/>
        <w:t xml:space="preserve">Members noted that Welsh Government had committed to part of its website being related to disabled people and </w:t>
      </w:r>
      <w:r w:rsidR="005D13EC">
        <w:t>Brexit</w:t>
      </w:r>
      <w:r>
        <w:t xml:space="preserve">, </w:t>
      </w:r>
      <w:r w:rsidR="00C90F25">
        <w:t>although</w:t>
      </w:r>
      <w:r>
        <w:t xml:space="preserve"> no timescale had been provided for this to happen</w:t>
      </w:r>
      <w:r w:rsidR="008E4726">
        <w:t>.</w:t>
      </w:r>
    </w:p>
    <w:p w14:paraId="42ED9A9B" w14:textId="0A8D374B" w:rsidR="0016641F" w:rsidRDefault="0016641F" w:rsidP="0016641F"/>
    <w:p w14:paraId="6C0855F4" w14:textId="5837C69E" w:rsidR="00AE5DE9" w:rsidRDefault="00AE5DE9" w:rsidP="0016641F">
      <w:pPr>
        <w:rPr>
          <w:b/>
        </w:rPr>
      </w:pPr>
      <w:r>
        <w:rPr>
          <w:b/>
        </w:rPr>
        <w:t>Legal</w:t>
      </w:r>
    </w:p>
    <w:p w14:paraId="6ECB8AD0" w14:textId="77777777" w:rsidR="00435D51" w:rsidRDefault="00435D51" w:rsidP="0016641F"/>
    <w:p w14:paraId="668EEE91" w14:textId="0746FB76" w:rsidR="0016641F" w:rsidRDefault="0067166D" w:rsidP="00AE5DE9">
      <w:pPr>
        <w:ind w:left="720" w:hanging="720"/>
      </w:pPr>
      <w:r>
        <w:t>10.9</w:t>
      </w:r>
      <w:r w:rsidR="0016641F">
        <w:tab/>
      </w:r>
      <w:r w:rsidR="00AE5DE9">
        <w:t>Eleanor Williams</w:t>
      </w:r>
      <w:r w:rsidR="00C90F25">
        <w:t xml:space="preserve"> presented the legal report </w:t>
      </w:r>
      <w:r w:rsidR="00C90F25" w:rsidRPr="00AE5DE9">
        <w:rPr>
          <w:b/>
        </w:rPr>
        <w:t xml:space="preserve">(DAC </w:t>
      </w:r>
      <w:r w:rsidR="00C90F25">
        <w:rPr>
          <w:b/>
        </w:rPr>
        <w:t>09</w:t>
      </w:r>
      <w:r w:rsidR="00C90F25" w:rsidRPr="00AE5DE9">
        <w:rPr>
          <w:b/>
        </w:rPr>
        <w:t>.07)</w:t>
      </w:r>
      <w:r w:rsidR="00C90F25">
        <w:t xml:space="preserve"> and advised</w:t>
      </w:r>
      <w:r w:rsidR="00B12EED">
        <w:t xml:space="preserve"> that the case listed as MDA &amp; Ask v Secretary of State for Home Department had successfully concluded the day prior to the DAC meeting.</w:t>
      </w:r>
    </w:p>
    <w:p w14:paraId="7284F321" w14:textId="5E5CFE2D" w:rsidR="006F5B17" w:rsidRDefault="006F5B17" w:rsidP="00AE5DE9">
      <w:pPr>
        <w:ind w:left="720" w:hanging="720"/>
      </w:pPr>
    </w:p>
    <w:p w14:paraId="308FE5C1" w14:textId="126A2196" w:rsidR="006F5B17" w:rsidRDefault="00B12EED" w:rsidP="00AE5DE9">
      <w:pPr>
        <w:ind w:left="720" w:hanging="720"/>
      </w:pPr>
      <w:r>
        <w:t>10.10</w:t>
      </w:r>
      <w:r>
        <w:tab/>
      </w:r>
      <w:r w:rsidR="005F2D6A">
        <w:t>The Committee</w:t>
      </w:r>
      <w:r w:rsidR="006F5B17">
        <w:t xml:space="preserve"> </w:t>
      </w:r>
      <w:r>
        <w:t xml:space="preserve">discussed </w:t>
      </w:r>
      <w:r w:rsidR="005D13EC">
        <w:t xml:space="preserve">a </w:t>
      </w:r>
      <w:r>
        <w:t>recent case involving a woman with a learning disability who became pregnant</w:t>
      </w:r>
      <w:r w:rsidR="006F5B17">
        <w:t xml:space="preserve">. </w:t>
      </w:r>
      <w:r>
        <w:t>The NHS Trust had sought a termination in the woman’s best interests</w:t>
      </w:r>
      <w:r w:rsidR="005F2D6A">
        <w:t>. The initial successful ruling was challenged by the woman’s mother and overturned on appeal.</w:t>
      </w:r>
    </w:p>
    <w:p w14:paraId="66B6AD23" w14:textId="00DD5123" w:rsidR="006F5B17" w:rsidRDefault="006F5B17" w:rsidP="00AE5DE9">
      <w:pPr>
        <w:ind w:left="720" w:hanging="720"/>
      </w:pPr>
    </w:p>
    <w:p w14:paraId="457E5586" w14:textId="2591EAAF" w:rsidR="006F5B17" w:rsidRDefault="005F2D6A" w:rsidP="00AE5DE9">
      <w:pPr>
        <w:ind w:left="720" w:hanging="720"/>
      </w:pPr>
      <w:r>
        <w:t>10.11</w:t>
      </w:r>
      <w:r w:rsidR="006F5B17">
        <w:tab/>
        <w:t xml:space="preserve">Members </w:t>
      </w:r>
      <w:r>
        <w:t>requested that, if possible, links to those cases that are in the publi</w:t>
      </w:r>
      <w:r w:rsidR="00521FC0">
        <w:t>c domain could be provided via</w:t>
      </w:r>
      <w:r>
        <w:t xml:space="preserve"> an email report.</w:t>
      </w:r>
    </w:p>
    <w:p w14:paraId="607534EB" w14:textId="1CF44763" w:rsidR="0016641F" w:rsidRDefault="0016641F" w:rsidP="0016641F"/>
    <w:p w14:paraId="62636BD1" w14:textId="5BD727C9" w:rsidR="005F2D6A" w:rsidRDefault="005F2D6A" w:rsidP="00435D51">
      <w:pPr>
        <w:ind w:left="720"/>
      </w:pPr>
      <w:r w:rsidRPr="00285CFF">
        <w:rPr>
          <w:b/>
        </w:rPr>
        <w:t xml:space="preserve">Action: </w:t>
      </w:r>
      <w:r>
        <w:rPr>
          <w:b/>
        </w:rPr>
        <w:t>Eleanor Williams</w:t>
      </w:r>
      <w:r>
        <w:t xml:space="preserve"> to review members request for a report providing links to cases in the public domain and advise </w:t>
      </w:r>
      <w:r w:rsidR="005D13EC">
        <w:t xml:space="preserve">on </w:t>
      </w:r>
      <w:r>
        <w:t>the viability.</w:t>
      </w:r>
    </w:p>
    <w:p w14:paraId="0563797D" w14:textId="70B64879" w:rsidR="005F2D6A" w:rsidRDefault="005F2D6A" w:rsidP="0016641F"/>
    <w:p w14:paraId="643FAFA6" w14:textId="77777777" w:rsidR="00DD7B49" w:rsidRDefault="00DD7B49" w:rsidP="0016641F"/>
    <w:p w14:paraId="6EE1DFF6" w14:textId="75250680" w:rsidR="00E65DF6" w:rsidRDefault="00972191" w:rsidP="00E65DF6">
      <w:pPr>
        <w:pStyle w:val="Heading2"/>
      </w:pPr>
      <w:r>
        <w:lastRenderedPageBreak/>
        <w:t>11</w:t>
      </w:r>
      <w:r w:rsidR="00E65DF6">
        <w:tab/>
      </w:r>
      <w:r w:rsidR="0016641F">
        <w:t>Members</w:t>
      </w:r>
      <w:r w:rsidR="00674F31">
        <w:t>’</w:t>
      </w:r>
      <w:r w:rsidR="0016641F">
        <w:t xml:space="preserve"> Horizon Scanning</w:t>
      </w:r>
    </w:p>
    <w:p w14:paraId="6A59CF55" w14:textId="77777777" w:rsidR="00E65DF6" w:rsidRDefault="00E65DF6" w:rsidP="00E65DF6"/>
    <w:p w14:paraId="7FFA0ED2" w14:textId="7AA43360" w:rsidR="002D39B8" w:rsidRDefault="00972191" w:rsidP="00175516">
      <w:pPr>
        <w:ind w:left="720" w:hanging="720"/>
      </w:pPr>
      <w:r>
        <w:t>11</w:t>
      </w:r>
      <w:r w:rsidR="0016641F">
        <w:t>.1</w:t>
      </w:r>
      <w:r w:rsidR="00E65DF6">
        <w:tab/>
      </w:r>
      <w:r w:rsidR="00180F07">
        <w:t>Members noted that:</w:t>
      </w:r>
    </w:p>
    <w:p w14:paraId="0853F6BE" w14:textId="77777777" w:rsidR="00435D51" w:rsidRDefault="00435D51" w:rsidP="00175516">
      <w:pPr>
        <w:ind w:left="720" w:hanging="720"/>
      </w:pPr>
    </w:p>
    <w:p w14:paraId="720EBE83" w14:textId="1480E9E4" w:rsidR="00180F07" w:rsidRDefault="00180F07" w:rsidP="00180F07">
      <w:pPr>
        <w:ind w:left="1440" w:hanging="720"/>
      </w:pPr>
      <w:r>
        <w:t>a)</w:t>
      </w:r>
      <w:r>
        <w:tab/>
        <w:t>the European Accessibility Act had become part of EU law at the end of June;</w:t>
      </w:r>
    </w:p>
    <w:p w14:paraId="30997CA3" w14:textId="4929A101" w:rsidR="00180F07" w:rsidRDefault="00180F07" w:rsidP="00180F07">
      <w:pPr>
        <w:ind w:left="1440" w:hanging="720"/>
      </w:pPr>
      <w:r>
        <w:t>b)</w:t>
      </w:r>
      <w:r>
        <w:tab/>
        <w:t>Disability Futures were attempting to inspire discussion around disability in the #metoo form;</w:t>
      </w:r>
    </w:p>
    <w:p w14:paraId="3AAF9E6D" w14:textId="23C9AC0A" w:rsidR="00180F07" w:rsidRDefault="00180F07" w:rsidP="00180F07">
      <w:pPr>
        <w:ind w:left="1440" w:hanging="720"/>
      </w:pPr>
      <w:r>
        <w:t>c)</w:t>
      </w:r>
      <w:r>
        <w:tab/>
      </w:r>
      <w:r w:rsidR="00C90F25">
        <w:t>a</w:t>
      </w:r>
      <w:r>
        <w:t xml:space="preserve"> consultation document had been issued by BEIS relating to </w:t>
      </w:r>
      <w:r w:rsidR="008C2C4D">
        <w:t xml:space="preserve">a single </w:t>
      </w:r>
      <w:r>
        <w:t xml:space="preserve">labour market </w:t>
      </w:r>
      <w:r w:rsidR="008C2C4D">
        <w:t xml:space="preserve">enforcement body </w:t>
      </w:r>
      <w:r>
        <w:t xml:space="preserve">which proposed to bring together minimum wage and gangmasters </w:t>
      </w:r>
      <w:r w:rsidR="008C2C4D">
        <w:t>licensing regulation</w:t>
      </w:r>
      <w:r>
        <w:t>;</w:t>
      </w:r>
    </w:p>
    <w:p w14:paraId="7E5D98BB" w14:textId="7ACC6A94" w:rsidR="00180F07" w:rsidRDefault="00180F07" w:rsidP="00180F07">
      <w:pPr>
        <w:ind w:left="1440" w:hanging="720"/>
      </w:pPr>
      <w:r>
        <w:t>d)</w:t>
      </w:r>
      <w:r>
        <w:tab/>
        <w:t xml:space="preserve">the </w:t>
      </w:r>
      <w:r w:rsidR="00C90F25">
        <w:t xml:space="preserve">UK </w:t>
      </w:r>
      <w:r>
        <w:t>Government were in the early stages of setting up the Office for Tackling Injustice</w:t>
      </w:r>
      <w:r w:rsidR="008C2C4D">
        <w:t>s</w:t>
      </w:r>
      <w:r>
        <w:t>. There was very little information at the time of the meeting</w:t>
      </w:r>
      <w:r w:rsidR="008C2C4D">
        <w:t>,</w:t>
      </w:r>
      <w:r>
        <w:t xml:space="preserve"> </w:t>
      </w:r>
      <w:r w:rsidR="008C2C4D">
        <w:t>but the proposals appeared</w:t>
      </w:r>
      <w:r>
        <w:t xml:space="preserve"> to cut across the Commission</w:t>
      </w:r>
      <w:r w:rsidR="008C2C4D">
        <w:t>’</w:t>
      </w:r>
      <w:r>
        <w:t xml:space="preserve">s </w:t>
      </w:r>
      <w:r w:rsidR="008C2C4D">
        <w:t xml:space="preserve">section </w:t>
      </w:r>
      <w:r>
        <w:t>12 (</w:t>
      </w:r>
      <w:r w:rsidR="008C2C4D">
        <w:t>monitoring progress</w:t>
      </w:r>
      <w:r>
        <w:t>) duty</w:t>
      </w:r>
      <w:r w:rsidR="007725B2">
        <w:t>; and</w:t>
      </w:r>
    </w:p>
    <w:p w14:paraId="4B99E194" w14:textId="6ACC0DC3" w:rsidR="007725B2" w:rsidRDefault="007725B2" w:rsidP="00180F07">
      <w:pPr>
        <w:ind w:left="1440" w:hanging="720"/>
      </w:pPr>
      <w:r>
        <w:t>e)</w:t>
      </w:r>
      <w:r>
        <w:tab/>
      </w:r>
      <w:r w:rsidR="003D5C51">
        <w:t xml:space="preserve">The Alliance for Inclusive </w:t>
      </w:r>
      <w:r w:rsidR="00D65465">
        <w:t>Education</w:t>
      </w:r>
      <w:r w:rsidR="003D5C51">
        <w:t xml:space="preserve"> (</w:t>
      </w:r>
      <w:r>
        <w:t>A</w:t>
      </w:r>
      <w:r w:rsidR="003D5C51">
        <w:t>LL</w:t>
      </w:r>
      <w:r>
        <w:t>FIE</w:t>
      </w:r>
      <w:r w:rsidR="003D5C51">
        <w:t>)</w:t>
      </w:r>
      <w:r>
        <w:t xml:space="preserve"> had started a petition that called upon the Government to increase the future funding of Special Educational Needs and Disability in mainstream settings.</w:t>
      </w:r>
    </w:p>
    <w:p w14:paraId="096D09B6" w14:textId="7E0BC349" w:rsidR="00E21767" w:rsidRDefault="00E21767" w:rsidP="00203920">
      <w:pPr>
        <w:ind w:left="720" w:hanging="720"/>
      </w:pPr>
    </w:p>
    <w:p w14:paraId="68488EC1" w14:textId="28C1DC84" w:rsidR="004A380E" w:rsidRDefault="004A380E" w:rsidP="004A380E">
      <w:pPr>
        <w:ind w:left="720" w:hanging="720"/>
        <w:rPr>
          <w:rFonts w:eastAsia="Times New Roman"/>
        </w:rPr>
      </w:pPr>
      <w:r>
        <w:t>11.2</w:t>
      </w:r>
      <w:r>
        <w:tab/>
        <w:t xml:space="preserve">Members were encouraged to share relevant intelligence with the Committee and officers. Action </w:t>
      </w:r>
      <w:r>
        <w:rPr>
          <w:rFonts w:eastAsia="Times New Roman"/>
        </w:rPr>
        <w:t>Sarah Coleman (Mencap Apprenticeships report); Simone Aspis (concerns regarding those held on section 37/41 of the Mental Health Act; Anna Lawson (research on experiences of autistic people in the criminal justice system).</w:t>
      </w:r>
    </w:p>
    <w:p w14:paraId="3D3CBA24" w14:textId="77777777" w:rsidR="005F2D6A" w:rsidRDefault="005F2D6A" w:rsidP="00203920">
      <w:pPr>
        <w:ind w:left="720" w:hanging="720"/>
      </w:pPr>
    </w:p>
    <w:p w14:paraId="371A353A" w14:textId="5EB3E380" w:rsidR="004553A0" w:rsidRPr="00B016E6" w:rsidRDefault="004553A0" w:rsidP="00B016E6">
      <w:pPr>
        <w:pStyle w:val="Heading2"/>
      </w:pPr>
      <w:r w:rsidRPr="00B016E6">
        <w:t>1</w:t>
      </w:r>
      <w:r w:rsidR="00972191" w:rsidRPr="00B016E6">
        <w:t>2</w:t>
      </w:r>
      <w:r w:rsidRPr="00B016E6">
        <w:tab/>
      </w:r>
      <w:r w:rsidR="002D39B8" w:rsidRPr="00B016E6">
        <w:t>Any other business</w:t>
      </w:r>
    </w:p>
    <w:p w14:paraId="0378CF0F" w14:textId="77777777" w:rsidR="004553A0" w:rsidRDefault="004553A0" w:rsidP="004553A0"/>
    <w:p w14:paraId="209473C2" w14:textId="57888A08" w:rsidR="00972191" w:rsidRDefault="00F07613" w:rsidP="00EC4E07">
      <w:pPr>
        <w:ind w:left="720" w:hanging="720"/>
      </w:pPr>
      <w:r>
        <w:t>1</w:t>
      </w:r>
      <w:r w:rsidR="00972191">
        <w:t>2</w:t>
      </w:r>
      <w:r>
        <w:t>.1</w:t>
      </w:r>
      <w:r w:rsidR="004553A0">
        <w:tab/>
      </w:r>
      <w:r w:rsidR="002D39B8">
        <w:t xml:space="preserve">Members </w:t>
      </w:r>
      <w:r w:rsidR="004D7C82">
        <w:t xml:space="preserve">questioned the operation of the </w:t>
      </w:r>
      <w:r w:rsidR="007725B2">
        <w:t>buddying scheme</w:t>
      </w:r>
      <w:r w:rsidR="006C1FF1">
        <w:t>,</w:t>
      </w:r>
      <w:r w:rsidR="007725B2">
        <w:t xml:space="preserve"> </w:t>
      </w:r>
      <w:r w:rsidR="006C1FF1">
        <w:t xml:space="preserve">as </w:t>
      </w:r>
      <w:r w:rsidR="007725B2">
        <w:t xml:space="preserve">they had not </w:t>
      </w:r>
      <w:r w:rsidR="006C1FF1">
        <w:t xml:space="preserve">yet </w:t>
      </w:r>
      <w:r w:rsidR="007725B2">
        <w:t xml:space="preserve">been approached by priority </w:t>
      </w:r>
      <w:r w:rsidR="008C2C4D">
        <w:t xml:space="preserve">aim </w:t>
      </w:r>
      <w:r w:rsidR="007725B2">
        <w:t>leads</w:t>
      </w:r>
      <w:r w:rsidR="006C1FF1">
        <w:t>. It was noted</w:t>
      </w:r>
      <w:r w:rsidR="007725B2">
        <w:t xml:space="preserve"> that the mechanisms were only just in place to progress this</w:t>
      </w:r>
      <w:r w:rsidR="00972191">
        <w:t>.</w:t>
      </w:r>
    </w:p>
    <w:p w14:paraId="5292D02B" w14:textId="69726117" w:rsidR="00972191" w:rsidRDefault="00972191" w:rsidP="00EC4E07">
      <w:pPr>
        <w:ind w:left="720" w:hanging="720"/>
      </w:pPr>
    </w:p>
    <w:p w14:paraId="6403AA29" w14:textId="5CCA8974" w:rsidR="00972191" w:rsidRDefault="00972191" w:rsidP="00EC4E07">
      <w:pPr>
        <w:ind w:left="720" w:hanging="720"/>
      </w:pPr>
      <w:r>
        <w:t>12.2</w:t>
      </w:r>
      <w:r>
        <w:tab/>
        <w:t>Member</w:t>
      </w:r>
      <w:r w:rsidR="006C1FF1">
        <w:t>s</w:t>
      </w:r>
      <w:r>
        <w:t xml:space="preserve"> </w:t>
      </w:r>
      <w:r w:rsidR="00850E57">
        <w:t xml:space="preserve">were concerned that there were significant ongoing breaches across the UN Convention on the Rights of Persons </w:t>
      </w:r>
      <w:r w:rsidR="00D113D1">
        <w:t xml:space="preserve">(UNCRPD) </w:t>
      </w:r>
      <w:r w:rsidR="00850E57">
        <w:t xml:space="preserve">with Disabilities and the UN Convention on the Rights of the Child </w:t>
      </w:r>
      <w:r w:rsidR="00D113D1">
        <w:t>(UNCRC) in relation to</w:t>
      </w:r>
      <w:r w:rsidR="00850E57">
        <w:t xml:space="preserve"> the use of force, restraint, segregation and seclusion</w:t>
      </w:r>
      <w:r w:rsidR="006C1FF1">
        <w:t>,</w:t>
      </w:r>
      <w:r w:rsidR="00850E57">
        <w:t xml:space="preserve"> which appear to have not translated into the Convention Against Torture (CAT) concluding observations</w:t>
      </w:r>
      <w:r>
        <w:t>.</w:t>
      </w:r>
    </w:p>
    <w:p w14:paraId="2F42F424" w14:textId="37823AB9" w:rsidR="002715C4" w:rsidRDefault="002715C4" w:rsidP="00EC4E07">
      <w:pPr>
        <w:ind w:left="720" w:hanging="720"/>
      </w:pPr>
    </w:p>
    <w:p w14:paraId="08D8F107" w14:textId="39A02928" w:rsidR="002715C4" w:rsidRDefault="002715C4" w:rsidP="00EC4E07">
      <w:pPr>
        <w:ind w:left="720" w:hanging="720"/>
      </w:pPr>
      <w:r>
        <w:lastRenderedPageBreak/>
        <w:t>12.3</w:t>
      </w:r>
      <w:r>
        <w:tab/>
        <w:t>Members noted that:</w:t>
      </w:r>
    </w:p>
    <w:p w14:paraId="5057C371" w14:textId="77777777" w:rsidR="00435D51" w:rsidRDefault="00435D51" w:rsidP="00EC4E07">
      <w:pPr>
        <w:ind w:left="720" w:hanging="720"/>
      </w:pPr>
    </w:p>
    <w:p w14:paraId="1A139A42" w14:textId="1B18D79C" w:rsidR="002715C4" w:rsidRDefault="002715C4" w:rsidP="002715C4">
      <w:pPr>
        <w:ind w:left="1440" w:hanging="720"/>
      </w:pPr>
      <w:r>
        <w:t>a)</w:t>
      </w:r>
      <w:r>
        <w:tab/>
      </w:r>
      <w:r w:rsidR="004D7C82">
        <w:t xml:space="preserve">the </w:t>
      </w:r>
      <w:r w:rsidR="001F4657">
        <w:t>Commission</w:t>
      </w:r>
      <w:r w:rsidR="004D7C82">
        <w:t xml:space="preserve"> </w:t>
      </w:r>
      <w:r w:rsidR="008C2C4D">
        <w:t xml:space="preserve">was </w:t>
      </w:r>
      <w:r w:rsidR="004D7C82">
        <w:t xml:space="preserve">equally </w:t>
      </w:r>
      <w:r>
        <w:t>concern</w:t>
      </w:r>
      <w:r w:rsidR="004D7C82">
        <w:t xml:space="preserve">ed and it had </w:t>
      </w:r>
      <w:r>
        <w:t xml:space="preserve">been raised with the CAT </w:t>
      </w:r>
      <w:r w:rsidR="008C2C4D">
        <w:t>Committee</w:t>
      </w:r>
      <w:r w:rsidR="004D7C82">
        <w:t>,</w:t>
      </w:r>
      <w:r>
        <w:t xml:space="preserve"> but there was not much of an avenue to press it further with the Committee;</w:t>
      </w:r>
    </w:p>
    <w:p w14:paraId="3856CDC3" w14:textId="04CE10DC" w:rsidR="002715C4" w:rsidRDefault="002715C4" w:rsidP="002715C4">
      <w:pPr>
        <w:ind w:left="1440" w:hanging="720"/>
      </w:pPr>
      <w:r>
        <w:t>b)</w:t>
      </w:r>
      <w:r>
        <w:tab/>
        <w:t>doing so would be unlikely to bring about the wanted result as the concluding observations had already been published;</w:t>
      </w:r>
    </w:p>
    <w:p w14:paraId="72C5B862" w14:textId="67CD591F" w:rsidR="002715C4" w:rsidRDefault="002715C4" w:rsidP="002715C4">
      <w:pPr>
        <w:ind w:left="1440" w:hanging="720"/>
      </w:pPr>
      <w:r>
        <w:t>c)</w:t>
      </w:r>
      <w:r>
        <w:tab/>
        <w:t>whilst disappointing, the Commission would still press ahead with following up its own recommendations, even though they were not in the</w:t>
      </w:r>
      <w:r w:rsidR="004D7C82">
        <w:t xml:space="preserve"> UN’s</w:t>
      </w:r>
      <w:r>
        <w:t xml:space="preserve"> concluding observations;</w:t>
      </w:r>
    </w:p>
    <w:p w14:paraId="6E709744" w14:textId="076C63A6" w:rsidR="002715C4" w:rsidRDefault="002715C4" w:rsidP="002715C4">
      <w:pPr>
        <w:ind w:left="1440" w:hanging="720"/>
      </w:pPr>
      <w:r>
        <w:t>d)</w:t>
      </w:r>
      <w:r>
        <w:tab/>
        <w:t xml:space="preserve">the issue would be raised as a priority with the Sub Committee on the </w:t>
      </w:r>
      <w:r w:rsidR="004D7C82">
        <w:t>P</w:t>
      </w:r>
      <w:r>
        <w:t xml:space="preserve">revention of </w:t>
      </w:r>
      <w:r w:rsidR="004D7C82">
        <w:t>T</w:t>
      </w:r>
      <w:r>
        <w:t>orture</w:t>
      </w:r>
      <w:r w:rsidR="004D7C82">
        <w:t>,</w:t>
      </w:r>
      <w:r>
        <w:t xml:space="preserve"> which would be visiting the UK on 9 September 2019;</w:t>
      </w:r>
    </w:p>
    <w:p w14:paraId="41FB99BA" w14:textId="3F5EA61D" w:rsidR="002715C4" w:rsidRDefault="002715C4" w:rsidP="002715C4">
      <w:pPr>
        <w:ind w:left="1440" w:hanging="720"/>
      </w:pPr>
      <w:r>
        <w:t>e)</w:t>
      </w:r>
      <w:r>
        <w:tab/>
        <w:t>the EHRC Board were aware of the issues following a recent Commissioner</w:t>
      </w:r>
      <w:r w:rsidR="004D7C82">
        <w:t xml:space="preserve"> Working Group presentation; and</w:t>
      </w:r>
    </w:p>
    <w:p w14:paraId="57AE7D43" w14:textId="3D24C602" w:rsidR="004D7C82" w:rsidRDefault="004D7C82" w:rsidP="002715C4">
      <w:pPr>
        <w:ind w:left="1440" w:hanging="720"/>
      </w:pPr>
      <w:r>
        <w:t>f)</w:t>
      </w:r>
      <w:r>
        <w:tab/>
        <w:t>this was being discussed with colleagues in the Ministry of Justice at an official level.</w:t>
      </w:r>
    </w:p>
    <w:p w14:paraId="0BEAC5DC" w14:textId="040A39E2" w:rsidR="00373A26" w:rsidRDefault="00373A26" w:rsidP="005473DD"/>
    <w:p w14:paraId="25D4B0A5" w14:textId="36E01FB4" w:rsidR="00EC4E07" w:rsidRDefault="00EC4E07" w:rsidP="00EC4E07">
      <w:pPr>
        <w:ind w:left="720" w:hanging="720"/>
      </w:pPr>
      <w:r>
        <w:t>1</w:t>
      </w:r>
      <w:r w:rsidR="005473DD">
        <w:t>2</w:t>
      </w:r>
      <w:r w:rsidR="00236795">
        <w:t>.</w:t>
      </w:r>
      <w:r w:rsidR="002715C4">
        <w:t>4</w:t>
      </w:r>
      <w:r>
        <w:tab/>
        <w:t xml:space="preserve">With no other business matters being raised, Rachel Perkins thanked attendees. </w:t>
      </w:r>
      <w:r w:rsidR="004F577D">
        <w:t>T</w:t>
      </w:r>
      <w:r>
        <w:t xml:space="preserve">he next Committee meeting date would be </w:t>
      </w:r>
      <w:r w:rsidR="00D113D1">
        <w:t>23</w:t>
      </w:r>
      <w:r w:rsidR="003E7320">
        <w:t xml:space="preserve"> </w:t>
      </w:r>
      <w:r w:rsidR="00D113D1">
        <w:t>October</w:t>
      </w:r>
      <w:r>
        <w:t xml:space="preserve"> 201</w:t>
      </w:r>
      <w:r w:rsidR="003E7320">
        <w:t>9</w:t>
      </w:r>
      <w:r>
        <w:t>.</w:t>
      </w:r>
    </w:p>
    <w:p w14:paraId="4F2D1BC6" w14:textId="795C2A3D" w:rsidR="00B016E6" w:rsidRDefault="00B016E6" w:rsidP="00EC4E07">
      <w:pPr>
        <w:ind w:left="720" w:hanging="720"/>
      </w:pPr>
    </w:p>
    <w:p w14:paraId="4070DD0D" w14:textId="77777777" w:rsidR="00752E4D" w:rsidRDefault="00752E4D" w:rsidP="00752E4D">
      <w:pPr>
        <w:ind w:left="720" w:hanging="720"/>
        <w:rPr>
          <w:szCs w:val="24"/>
        </w:rPr>
      </w:pPr>
    </w:p>
    <w:p w14:paraId="61AA161F" w14:textId="0B21C145" w:rsidR="00752E4D" w:rsidRDefault="00752E4D" w:rsidP="00752E4D">
      <w:pPr>
        <w:ind w:left="720" w:hanging="720"/>
        <w:rPr>
          <w:szCs w:val="24"/>
        </w:rPr>
      </w:pPr>
      <w:r>
        <w:rPr>
          <w:szCs w:val="24"/>
        </w:rPr>
        <w:t xml:space="preserve">Agreed by the Committee at its meeting of 23 October 2019 </w:t>
      </w:r>
    </w:p>
    <w:p w14:paraId="551F8498" w14:textId="77777777" w:rsidR="00752E4D" w:rsidRDefault="00752E4D" w:rsidP="00752E4D">
      <w:pPr>
        <w:ind w:left="720" w:hanging="720"/>
        <w:rPr>
          <w:szCs w:val="24"/>
        </w:rPr>
      </w:pPr>
    </w:p>
    <w:p w14:paraId="352E9330" w14:textId="77777777" w:rsidR="00752E4D" w:rsidRDefault="00752E4D" w:rsidP="00752E4D">
      <w:pPr>
        <w:ind w:left="720" w:hanging="720"/>
      </w:pPr>
      <w:r>
        <w:t>Rachel Perkins, Chair</w:t>
      </w:r>
    </w:p>
    <w:p w14:paraId="5FCD6D8E" w14:textId="77777777" w:rsidR="00B016E6" w:rsidRDefault="00B016E6" w:rsidP="00EC4E07">
      <w:pPr>
        <w:ind w:left="720" w:hanging="720"/>
      </w:pPr>
    </w:p>
    <w:sectPr w:rsidR="00B016E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858BC" w14:textId="77777777" w:rsidR="00C409A6" w:rsidRDefault="00C409A6" w:rsidP="008058B3">
      <w:r>
        <w:separator/>
      </w:r>
    </w:p>
  </w:endnote>
  <w:endnote w:type="continuationSeparator" w:id="0">
    <w:p w14:paraId="54BA9053" w14:textId="77777777" w:rsidR="00C409A6" w:rsidRDefault="00C409A6" w:rsidP="0080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30B50" w14:textId="18DB908A" w:rsidR="007725B2" w:rsidRDefault="0059112E" w:rsidP="00755986">
    <w:pPr>
      <w:pStyle w:val="Footer"/>
    </w:pPr>
    <w:r w:rsidRPr="00EC0FEE">
      <w:rPr>
        <w:lang w:val="en-US"/>
      </w:rPr>
      <w:t xml:space="preserve">Page </w:t>
    </w:r>
    <w:r w:rsidRPr="00EC0FEE">
      <w:rPr>
        <w:lang w:val="en-US"/>
      </w:rPr>
      <w:fldChar w:fldCharType="begin"/>
    </w:r>
    <w:r w:rsidRPr="00EC0FEE">
      <w:rPr>
        <w:lang w:val="en-US"/>
      </w:rPr>
      <w:instrText xml:space="preserve"> PAGE </w:instrText>
    </w:r>
    <w:r w:rsidRPr="00EC0FEE">
      <w:rPr>
        <w:lang w:val="en-US"/>
      </w:rPr>
      <w:fldChar w:fldCharType="separate"/>
    </w:r>
    <w:r w:rsidR="00B60D93">
      <w:rPr>
        <w:noProof/>
        <w:lang w:val="en-US"/>
      </w:rPr>
      <w:t>4</w:t>
    </w:r>
    <w:r w:rsidRPr="00EC0FEE">
      <w:rPr>
        <w:lang w:val="en-US"/>
      </w:rPr>
      <w:fldChar w:fldCharType="end"/>
    </w:r>
    <w:r w:rsidRPr="00EC0FEE">
      <w:rPr>
        <w:lang w:val="en-US"/>
      </w:rPr>
      <w:t xml:space="preserve"> of </w:t>
    </w:r>
    <w:r w:rsidRPr="00EC0FEE">
      <w:rPr>
        <w:lang w:val="en-US"/>
      </w:rPr>
      <w:fldChar w:fldCharType="begin"/>
    </w:r>
    <w:r w:rsidRPr="00EC0FEE">
      <w:rPr>
        <w:lang w:val="en-US"/>
      </w:rPr>
      <w:instrText xml:space="preserve"> NUMPAGES </w:instrText>
    </w:r>
    <w:r w:rsidRPr="00EC0FEE">
      <w:rPr>
        <w:lang w:val="en-US"/>
      </w:rPr>
      <w:fldChar w:fldCharType="separate"/>
    </w:r>
    <w:r w:rsidR="00B60D93">
      <w:rPr>
        <w:noProof/>
        <w:lang w:val="en-US"/>
      </w:rPr>
      <w:t>11</w:t>
    </w:r>
    <w:r w:rsidRPr="00EC0FEE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89084" w14:textId="77777777" w:rsidR="00C409A6" w:rsidRDefault="00C409A6" w:rsidP="008058B3">
      <w:r>
        <w:separator/>
      </w:r>
    </w:p>
  </w:footnote>
  <w:footnote w:type="continuationSeparator" w:id="0">
    <w:p w14:paraId="453142A9" w14:textId="77777777" w:rsidR="00C409A6" w:rsidRDefault="00C409A6" w:rsidP="00805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F09"/>
    <w:multiLevelType w:val="hybridMultilevel"/>
    <w:tmpl w:val="969A25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F3228"/>
    <w:multiLevelType w:val="hybridMultilevel"/>
    <w:tmpl w:val="A2307974"/>
    <w:lvl w:ilvl="0" w:tplc="61E0407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23FC3"/>
    <w:multiLevelType w:val="hybridMultilevel"/>
    <w:tmpl w:val="D640E3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6D11EB"/>
    <w:multiLevelType w:val="multilevel"/>
    <w:tmpl w:val="10A03EA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4" w15:restartNumberingAfterBreak="0">
    <w:nsid w:val="082D45ED"/>
    <w:multiLevelType w:val="hybridMultilevel"/>
    <w:tmpl w:val="C2FCBD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5D5481"/>
    <w:multiLevelType w:val="hybridMultilevel"/>
    <w:tmpl w:val="A84CED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719B5"/>
    <w:multiLevelType w:val="hybridMultilevel"/>
    <w:tmpl w:val="BB1E0068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27800F20"/>
    <w:multiLevelType w:val="hybridMultilevel"/>
    <w:tmpl w:val="BD304A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2629F"/>
    <w:multiLevelType w:val="hybridMultilevel"/>
    <w:tmpl w:val="916C605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994F20"/>
    <w:multiLevelType w:val="hybridMultilevel"/>
    <w:tmpl w:val="7E145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C12CB"/>
    <w:multiLevelType w:val="hybridMultilevel"/>
    <w:tmpl w:val="D7F6B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D2EAC"/>
    <w:multiLevelType w:val="hybridMultilevel"/>
    <w:tmpl w:val="6234FA02"/>
    <w:lvl w:ilvl="0" w:tplc="2B7EE8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95A71"/>
    <w:multiLevelType w:val="hybridMultilevel"/>
    <w:tmpl w:val="4FCCCBE6"/>
    <w:lvl w:ilvl="0" w:tplc="E5DE1A82">
      <w:start w:val="1"/>
      <w:numFmt w:val="lowerLetter"/>
      <w:lvlText w:val="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01E109E"/>
    <w:multiLevelType w:val="hybridMultilevel"/>
    <w:tmpl w:val="DC6CA3AE"/>
    <w:lvl w:ilvl="0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40DB659F"/>
    <w:multiLevelType w:val="hybridMultilevel"/>
    <w:tmpl w:val="B47EF53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624F21"/>
    <w:multiLevelType w:val="hybridMultilevel"/>
    <w:tmpl w:val="A600ED3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4A05A7"/>
    <w:multiLevelType w:val="hybridMultilevel"/>
    <w:tmpl w:val="F4307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765CF"/>
    <w:multiLevelType w:val="hybridMultilevel"/>
    <w:tmpl w:val="F0CEBB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0A6245A"/>
    <w:multiLevelType w:val="hybridMultilevel"/>
    <w:tmpl w:val="72BA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F6D2A"/>
    <w:multiLevelType w:val="hybridMultilevel"/>
    <w:tmpl w:val="3B7A2B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F16ABB"/>
    <w:multiLevelType w:val="multilevel"/>
    <w:tmpl w:val="9AB2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821D13"/>
    <w:multiLevelType w:val="hybridMultilevel"/>
    <w:tmpl w:val="9D068B2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FA52CB"/>
    <w:multiLevelType w:val="multilevel"/>
    <w:tmpl w:val="017C2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5B60C22"/>
    <w:multiLevelType w:val="hybridMultilevel"/>
    <w:tmpl w:val="42204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B3E60"/>
    <w:multiLevelType w:val="hybridMultilevel"/>
    <w:tmpl w:val="4EFEF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E3DB6"/>
    <w:multiLevelType w:val="hybridMultilevel"/>
    <w:tmpl w:val="82569E42"/>
    <w:lvl w:ilvl="0" w:tplc="2558EF8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2"/>
  </w:num>
  <w:num w:numId="5">
    <w:abstractNumId w:val="16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24"/>
  </w:num>
  <w:num w:numId="11">
    <w:abstractNumId w:val="12"/>
  </w:num>
  <w:num w:numId="12">
    <w:abstractNumId w:val="22"/>
  </w:num>
  <w:num w:numId="13">
    <w:abstractNumId w:val="21"/>
  </w:num>
  <w:num w:numId="14">
    <w:abstractNumId w:val="19"/>
  </w:num>
  <w:num w:numId="15">
    <w:abstractNumId w:val="13"/>
  </w:num>
  <w:num w:numId="16">
    <w:abstractNumId w:val="14"/>
  </w:num>
  <w:num w:numId="17">
    <w:abstractNumId w:val="5"/>
  </w:num>
  <w:num w:numId="18">
    <w:abstractNumId w:val="7"/>
  </w:num>
  <w:num w:numId="19">
    <w:abstractNumId w:val="1"/>
  </w:num>
  <w:num w:numId="20">
    <w:abstractNumId w:val="25"/>
  </w:num>
  <w:num w:numId="21">
    <w:abstractNumId w:val="9"/>
  </w:num>
  <w:num w:numId="22">
    <w:abstractNumId w:val="17"/>
  </w:num>
  <w:num w:numId="23">
    <w:abstractNumId w:val="20"/>
  </w:num>
  <w:num w:numId="24">
    <w:abstractNumId w:val="6"/>
  </w:num>
  <w:num w:numId="25">
    <w:abstractNumId w:val="2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B3"/>
    <w:rsid w:val="00003D51"/>
    <w:rsid w:val="00012A57"/>
    <w:rsid w:val="00013EE9"/>
    <w:rsid w:val="00016532"/>
    <w:rsid w:val="00020E50"/>
    <w:rsid w:val="00023C76"/>
    <w:rsid w:val="00023D73"/>
    <w:rsid w:val="00023EEE"/>
    <w:rsid w:val="000248D0"/>
    <w:rsid w:val="00026D0C"/>
    <w:rsid w:val="00031062"/>
    <w:rsid w:val="00042054"/>
    <w:rsid w:val="00044AD2"/>
    <w:rsid w:val="000534C1"/>
    <w:rsid w:val="0005523B"/>
    <w:rsid w:val="00060900"/>
    <w:rsid w:val="0006326E"/>
    <w:rsid w:val="0006602B"/>
    <w:rsid w:val="00071A57"/>
    <w:rsid w:val="00073A4F"/>
    <w:rsid w:val="0007651D"/>
    <w:rsid w:val="000801C0"/>
    <w:rsid w:val="00081946"/>
    <w:rsid w:val="00083AD6"/>
    <w:rsid w:val="0008595E"/>
    <w:rsid w:val="000868F8"/>
    <w:rsid w:val="00090FFD"/>
    <w:rsid w:val="000A354E"/>
    <w:rsid w:val="000A3E6A"/>
    <w:rsid w:val="000A5CF1"/>
    <w:rsid w:val="000A7515"/>
    <w:rsid w:val="000B27D3"/>
    <w:rsid w:val="000B4C5B"/>
    <w:rsid w:val="000B5C57"/>
    <w:rsid w:val="000B6DBA"/>
    <w:rsid w:val="000C039D"/>
    <w:rsid w:val="000C0616"/>
    <w:rsid w:val="000C198D"/>
    <w:rsid w:val="000C258D"/>
    <w:rsid w:val="000C3945"/>
    <w:rsid w:val="000C4622"/>
    <w:rsid w:val="000C4A05"/>
    <w:rsid w:val="000D39EA"/>
    <w:rsid w:val="000D5C95"/>
    <w:rsid w:val="000E51E1"/>
    <w:rsid w:val="00105B61"/>
    <w:rsid w:val="0011159C"/>
    <w:rsid w:val="0011371E"/>
    <w:rsid w:val="00115A05"/>
    <w:rsid w:val="00121900"/>
    <w:rsid w:val="00127C43"/>
    <w:rsid w:val="00137F4F"/>
    <w:rsid w:val="0014634C"/>
    <w:rsid w:val="0016562A"/>
    <w:rsid w:val="0016641F"/>
    <w:rsid w:val="00166957"/>
    <w:rsid w:val="00174699"/>
    <w:rsid w:val="00175516"/>
    <w:rsid w:val="00176D5E"/>
    <w:rsid w:val="00177C3F"/>
    <w:rsid w:val="00180AB7"/>
    <w:rsid w:val="00180F07"/>
    <w:rsid w:val="00185343"/>
    <w:rsid w:val="00187C31"/>
    <w:rsid w:val="001954B5"/>
    <w:rsid w:val="00195FC8"/>
    <w:rsid w:val="001A6FBB"/>
    <w:rsid w:val="001A70D3"/>
    <w:rsid w:val="001A7E5A"/>
    <w:rsid w:val="001B2830"/>
    <w:rsid w:val="001B6932"/>
    <w:rsid w:val="001B7923"/>
    <w:rsid w:val="001C5DAF"/>
    <w:rsid w:val="001C6E7E"/>
    <w:rsid w:val="001C7CB8"/>
    <w:rsid w:val="001D4D7E"/>
    <w:rsid w:val="001D5152"/>
    <w:rsid w:val="001E01C4"/>
    <w:rsid w:val="001F0BA4"/>
    <w:rsid w:val="001F4657"/>
    <w:rsid w:val="00203920"/>
    <w:rsid w:val="00210634"/>
    <w:rsid w:val="0021765A"/>
    <w:rsid w:val="00224971"/>
    <w:rsid w:val="00224D44"/>
    <w:rsid w:val="002256DA"/>
    <w:rsid w:val="00236795"/>
    <w:rsid w:val="00236DF2"/>
    <w:rsid w:val="002411F0"/>
    <w:rsid w:val="00251530"/>
    <w:rsid w:val="002552A4"/>
    <w:rsid w:val="0025553D"/>
    <w:rsid w:val="0026560C"/>
    <w:rsid w:val="00270162"/>
    <w:rsid w:val="002715C4"/>
    <w:rsid w:val="002717BA"/>
    <w:rsid w:val="00271BB3"/>
    <w:rsid w:val="00285CFF"/>
    <w:rsid w:val="002950B3"/>
    <w:rsid w:val="00295809"/>
    <w:rsid w:val="002963FF"/>
    <w:rsid w:val="002B17C3"/>
    <w:rsid w:val="002B2E37"/>
    <w:rsid w:val="002D2C50"/>
    <w:rsid w:val="002D3083"/>
    <w:rsid w:val="002D39B8"/>
    <w:rsid w:val="002E4DEF"/>
    <w:rsid w:val="002E7D09"/>
    <w:rsid w:val="002F47E9"/>
    <w:rsid w:val="002F48A0"/>
    <w:rsid w:val="002F70E3"/>
    <w:rsid w:val="00306F62"/>
    <w:rsid w:val="00314B14"/>
    <w:rsid w:val="00330F1F"/>
    <w:rsid w:val="00361407"/>
    <w:rsid w:val="00361C59"/>
    <w:rsid w:val="00366311"/>
    <w:rsid w:val="003701C3"/>
    <w:rsid w:val="0037157D"/>
    <w:rsid w:val="00373A26"/>
    <w:rsid w:val="00374D59"/>
    <w:rsid w:val="00381062"/>
    <w:rsid w:val="00381263"/>
    <w:rsid w:val="00386CAC"/>
    <w:rsid w:val="003971AF"/>
    <w:rsid w:val="003A04F4"/>
    <w:rsid w:val="003A2934"/>
    <w:rsid w:val="003A4E92"/>
    <w:rsid w:val="003B1BC5"/>
    <w:rsid w:val="003C03E0"/>
    <w:rsid w:val="003C1900"/>
    <w:rsid w:val="003D2B96"/>
    <w:rsid w:val="003D375E"/>
    <w:rsid w:val="003D401A"/>
    <w:rsid w:val="003D5C51"/>
    <w:rsid w:val="003E48B1"/>
    <w:rsid w:val="003E537D"/>
    <w:rsid w:val="003E7320"/>
    <w:rsid w:val="003F20BD"/>
    <w:rsid w:val="003F68AF"/>
    <w:rsid w:val="00401FA0"/>
    <w:rsid w:val="00402218"/>
    <w:rsid w:val="0040359D"/>
    <w:rsid w:val="00405D08"/>
    <w:rsid w:val="004073B0"/>
    <w:rsid w:val="0041502E"/>
    <w:rsid w:val="0041721F"/>
    <w:rsid w:val="00417E4F"/>
    <w:rsid w:val="004226F6"/>
    <w:rsid w:val="00422D7D"/>
    <w:rsid w:val="00434064"/>
    <w:rsid w:val="00435D51"/>
    <w:rsid w:val="004434C9"/>
    <w:rsid w:val="00446A52"/>
    <w:rsid w:val="004507B8"/>
    <w:rsid w:val="004553A0"/>
    <w:rsid w:val="0047080B"/>
    <w:rsid w:val="00485FE7"/>
    <w:rsid w:val="00487B24"/>
    <w:rsid w:val="004917B6"/>
    <w:rsid w:val="004926F9"/>
    <w:rsid w:val="00495358"/>
    <w:rsid w:val="00495AD0"/>
    <w:rsid w:val="00496019"/>
    <w:rsid w:val="004A380E"/>
    <w:rsid w:val="004B1B4D"/>
    <w:rsid w:val="004D0303"/>
    <w:rsid w:val="004D44B2"/>
    <w:rsid w:val="004D7C82"/>
    <w:rsid w:val="004E13CC"/>
    <w:rsid w:val="004E332E"/>
    <w:rsid w:val="004F114C"/>
    <w:rsid w:val="004F577D"/>
    <w:rsid w:val="005017CC"/>
    <w:rsid w:val="0050667F"/>
    <w:rsid w:val="005179B5"/>
    <w:rsid w:val="00521FC0"/>
    <w:rsid w:val="005242F6"/>
    <w:rsid w:val="00531153"/>
    <w:rsid w:val="00532760"/>
    <w:rsid w:val="00533955"/>
    <w:rsid w:val="00534C97"/>
    <w:rsid w:val="00537F56"/>
    <w:rsid w:val="005473DD"/>
    <w:rsid w:val="00547EF0"/>
    <w:rsid w:val="00552532"/>
    <w:rsid w:val="0055506E"/>
    <w:rsid w:val="0056053B"/>
    <w:rsid w:val="00562C25"/>
    <w:rsid w:val="0056596E"/>
    <w:rsid w:val="00572E8D"/>
    <w:rsid w:val="00575B9E"/>
    <w:rsid w:val="00576B1D"/>
    <w:rsid w:val="005837FE"/>
    <w:rsid w:val="0059112E"/>
    <w:rsid w:val="00594CD3"/>
    <w:rsid w:val="0059579A"/>
    <w:rsid w:val="00595F48"/>
    <w:rsid w:val="005A0A61"/>
    <w:rsid w:val="005B6513"/>
    <w:rsid w:val="005C0100"/>
    <w:rsid w:val="005C1D9A"/>
    <w:rsid w:val="005D13EC"/>
    <w:rsid w:val="005E078E"/>
    <w:rsid w:val="005E2FF9"/>
    <w:rsid w:val="005E6DD5"/>
    <w:rsid w:val="005F2D6A"/>
    <w:rsid w:val="005F3636"/>
    <w:rsid w:val="005F3BB6"/>
    <w:rsid w:val="005F5763"/>
    <w:rsid w:val="005F5BFB"/>
    <w:rsid w:val="005F748B"/>
    <w:rsid w:val="0060108C"/>
    <w:rsid w:val="00605769"/>
    <w:rsid w:val="00615257"/>
    <w:rsid w:val="00622E1F"/>
    <w:rsid w:val="00623B47"/>
    <w:rsid w:val="006312AF"/>
    <w:rsid w:val="0064154A"/>
    <w:rsid w:val="00644BAD"/>
    <w:rsid w:val="00645C60"/>
    <w:rsid w:val="00646E5F"/>
    <w:rsid w:val="00660E57"/>
    <w:rsid w:val="00664E2B"/>
    <w:rsid w:val="00667804"/>
    <w:rsid w:val="0067166D"/>
    <w:rsid w:val="006716D3"/>
    <w:rsid w:val="00674F31"/>
    <w:rsid w:val="0068444C"/>
    <w:rsid w:val="00695363"/>
    <w:rsid w:val="00697556"/>
    <w:rsid w:val="006A11E7"/>
    <w:rsid w:val="006A1C1D"/>
    <w:rsid w:val="006A1FC3"/>
    <w:rsid w:val="006A3B9E"/>
    <w:rsid w:val="006B2922"/>
    <w:rsid w:val="006B7D17"/>
    <w:rsid w:val="006C09EC"/>
    <w:rsid w:val="006C1AD4"/>
    <w:rsid w:val="006C1FF1"/>
    <w:rsid w:val="006C4FC7"/>
    <w:rsid w:val="006D2E66"/>
    <w:rsid w:val="006D48B6"/>
    <w:rsid w:val="006D5E39"/>
    <w:rsid w:val="006D7140"/>
    <w:rsid w:val="006E304E"/>
    <w:rsid w:val="006E7515"/>
    <w:rsid w:val="006E79D8"/>
    <w:rsid w:val="006F5B17"/>
    <w:rsid w:val="006F5F0B"/>
    <w:rsid w:val="00701259"/>
    <w:rsid w:val="007120E5"/>
    <w:rsid w:val="00723F0D"/>
    <w:rsid w:val="007314B0"/>
    <w:rsid w:val="007359CD"/>
    <w:rsid w:val="00740914"/>
    <w:rsid w:val="00741F99"/>
    <w:rsid w:val="007438BF"/>
    <w:rsid w:val="0074503D"/>
    <w:rsid w:val="00746681"/>
    <w:rsid w:val="007501E5"/>
    <w:rsid w:val="00752E4D"/>
    <w:rsid w:val="00755986"/>
    <w:rsid w:val="00755A31"/>
    <w:rsid w:val="007569B0"/>
    <w:rsid w:val="00760C48"/>
    <w:rsid w:val="00761E62"/>
    <w:rsid w:val="0076750F"/>
    <w:rsid w:val="007724E6"/>
    <w:rsid w:val="007725B2"/>
    <w:rsid w:val="00781A44"/>
    <w:rsid w:val="00782072"/>
    <w:rsid w:val="007820C5"/>
    <w:rsid w:val="00787681"/>
    <w:rsid w:val="007912A4"/>
    <w:rsid w:val="00793B99"/>
    <w:rsid w:val="00797771"/>
    <w:rsid w:val="00797F92"/>
    <w:rsid w:val="007A231B"/>
    <w:rsid w:val="007B1789"/>
    <w:rsid w:val="007B35A6"/>
    <w:rsid w:val="007C32FC"/>
    <w:rsid w:val="007C3B57"/>
    <w:rsid w:val="007C500D"/>
    <w:rsid w:val="007C5033"/>
    <w:rsid w:val="007D4982"/>
    <w:rsid w:val="007D7E20"/>
    <w:rsid w:val="007E7D59"/>
    <w:rsid w:val="007F0048"/>
    <w:rsid w:val="007F2BFE"/>
    <w:rsid w:val="00800F3B"/>
    <w:rsid w:val="008058B3"/>
    <w:rsid w:val="00823F14"/>
    <w:rsid w:val="00824D6A"/>
    <w:rsid w:val="008268D6"/>
    <w:rsid w:val="00832C38"/>
    <w:rsid w:val="00841CE1"/>
    <w:rsid w:val="00841D2A"/>
    <w:rsid w:val="00846550"/>
    <w:rsid w:val="00850E57"/>
    <w:rsid w:val="00863C51"/>
    <w:rsid w:val="00890D9D"/>
    <w:rsid w:val="00893219"/>
    <w:rsid w:val="008936D3"/>
    <w:rsid w:val="008B5B86"/>
    <w:rsid w:val="008C2C4D"/>
    <w:rsid w:val="008C5FC5"/>
    <w:rsid w:val="008D4CC0"/>
    <w:rsid w:val="008D5727"/>
    <w:rsid w:val="008E4726"/>
    <w:rsid w:val="008F35D7"/>
    <w:rsid w:val="00900762"/>
    <w:rsid w:val="00902C96"/>
    <w:rsid w:val="00903DB9"/>
    <w:rsid w:val="009051C9"/>
    <w:rsid w:val="00906636"/>
    <w:rsid w:val="00920161"/>
    <w:rsid w:val="0092171C"/>
    <w:rsid w:val="0093487B"/>
    <w:rsid w:val="0093627C"/>
    <w:rsid w:val="00942C34"/>
    <w:rsid w:val="0094354B"/>
    <w:rsid w:val="00944037"/>
    <w:rsid w:val="0094758E"/>
    <w:rsid w:val="00947B03"/>
    <w:rsid w:val="00951E87"/>
    <w:rsid w:val="00954CB8"/>
    <w:rsid w:val="00956D9A"/>
    <w:rsid w:val="0095727F"/>
    <w:rsid w:val="0096437E"/>
    <w:rsid w:val="00972191"/>
    <w:rsid w:val="009724A5"/>
    <w:rsid w:val="00975755"/>
    <w:rsid w:val="00976E0D"/>
    <w:rsid w:val="00977359"/>
    <w:rsid w:val="00977E31"/>
    <w:rsid w:val="00987CB1"/>
    <w:rsid w:val="00993DAD"/>
    <w:rsid w:val="009975D9"/>
    <w:rsid w:val="009A0EB5"/>
    <w:rsid w:val="009A2802"/>
    <w:rsid w:val="009A5099"/>
    <w:rsid w:val="009B307D"/>
    <w:rsid w:val="009B33D6"/>
    <w:rsid w:val="009B6631"/>
    <w:rsid w:val="009C061B"/>
    <w:rsid w:val="009C4BDE"/>
    <w:rsid w:val="009E0894"/>
    <w:rsid w:val="009E32F8"/>
    <w:rsid w:val="009E49F5"/>
    <w:rsid w:val="009F08FA"/>
    <w:rsid w:val="009F0CD7"/>
    <w:rsid w:val="009F3E45"/>
    <w:rsid w:val="009F4B1E"/>
    <w:rsid w:val="009F4FA9"/>
    <w:rsid w:val="00A006E8"/>
    <w:rsid w:val="00A01BA1"/>
    <w:rsid w:val="00A0636B"/>
    <w:rsid w:val="00A16DED"/>
    <w:rsid w:val="00A25344"/>
    <w:rsid w:val="00A26D73"/>
    <w:rsid w:val="00A2765D"/>
    <w:rsid w:val="00A33ECE"/>
    <w:rsid w:val="00A3740B"/>
    <w:rsid w:val="00A41A12"/>
    <w:rsid w:val="00A41C2C"/>
    <w:rsid w:val="00A605EE"/>
    <w:rsid w:val="00A6063C"/>
    <w:rsid w:val="00A6357F"/>
    <w:rsid w:val="00A7349B"/>
    <w:rsid w:val="00A73616"/>
    <w:rsid w:val="00A87D9A"/>
    <w:rsid w:val="00A958A7"/>
    <w:rsid w:val="00A97CAE"/>
    <w:rsid w:val="00AA2177"/>
    <w:rsid w:val="00AA2F76"/>
    <w:rsid w:val="00AA5AC3"/>
    <w:rsid w:val="00AA620A"/>
    <w:rsid w:val="00AB14F8"/>
    <w:rsid w:val="00AB3257"/>
    <w:rsid w:val="00AB5181"/>
    <w:rsid w:val="00AB581F"/>
    <w:rsid w:val="00AB7C3E"/>
    <w:rsid w:val="00AC21F9"/>
    <w:rsid w:val="00AC6A44"/>
    <w:rsid w:val="00AC79F5"/>
    <w:rsid w:val="00AD4B24"/>
    <w:rsid w:val="00AD6C4A"/>
    <w:rsid w:val="00AE30AB"/>
    <w:rsid w:val="00AE4B88"/>
    <w:rsid w:val="00AE5DE9"/>
    <w:rsid w:val="00AF1EDE"/>
    <w:rsid w:val="00AF3BAD"/>
    <w:rsid w:val="00AF3F63"/>
    <w:rsid w:val="00AF7F42"/>
    <w:rsid w:val="00B016E6"/>
    <w:rsid w:val="00B12EED"/>
    <w:rsid w:val="00B154A8"/>
    <w:rsid w:val="00B20239"/>
    <w:rsid w:val="00B34B3B"/>
    <w:rsid w:val="00B355FE"/>
    <w:rsid w:val="00B358C9"/>
    <w:rsid w:val="00B4304A"/>
    <w:rsid w:val="00B44AAC"/>
    <w:rsid w:val="00B500C5"/>
    <w:rsid w:val="00B54121"/>
    <w:rsid w:val="00B5429A"/>
    <w:rsid w:val="00B552AF"/>
    <w:rsid w:val="00B60D93"/>
    <w:rsid w:val="00B66B9E"/>
    <w:rsid w:val="00B72795"/>
    <w:rsid w:val="00B83F28"/>
    <w:rsid w:val="00B8418D"/>
    <w:rsid w:val="00B84B83"/>
    <w:rsid w:val="00B85BBA"/>
    <w:rsid w:val="00B85E84"/>
    <w:rsid w:val="00B87A12"/>
    <w:rsid w:val="00B92AC1"/>
    <w:rsid w:val="00B9318C"/>
    <w:rsid w:val="00B95009"/>
    <w:rsid w:val="00B96AC0"/>
    <w:rsid w:val="00BA37D1"/>
    <w:rsid w:val="00BA7AF3"/>
    <w:rsid w:val="00BB2524"/>
    <w:rsid w:val="00BB79D9"/>
    <w:rsid w:val="00BB7BD8"/>
    <w:rsid w:val="00BD485D"/>
    <w:rsid w:val="00BE1418"/>
    <w:rsid w:val="00BE3FC3"/>
    <w:rsid w:val="00BF1DEC"/>
    <w:rsid w:val="00BF29BD"/>
    <w:rsid w:val="00BF773D"/>
    <w:rsid w:val="00C00BD5"/>
    <w:rsid w:val="00C103F8"/>
    <w:rsid w:val="00C1239E"/>
    <w:rsid w:val="00C125B7"/>
    <w:rsid w:val="00C13A2A"/>
    <w:rsid w:val="00C20BD9"/>
    <w:rsid w:val="00C21E3E"/>
    <w:rsid w:val="00C3307B"/>
    <w:rsid w:val="00C339AA"/>
    <w:rsid w:val="00C377E3"/>
    <w:rsid w:val="00C409A6"/>
    <w:rsid w:val="00C47C37"/>
    <w:rsid w:val="00C517E5"/>
    <w:rsid w:val="00C51877"/>
    <w:rsid w:val="00C53B29"/>
    <w:rsid w:val="00C574FC"/>
    <w:rsid w:val="00C66B3B"/>
    <w:rsid w:val="00C7136B"/>
    <w:rsid w:val="00C751AE"/>
    <w:rsid w:val="00C822B4"/>
    <w:rsid w:val="00C84053"/>
    <w:rsid w:val="00C84C1E"/>
    <w:rsid w:val="00C8511D"/>
    <w:rsid w:val="00C90F25"/>
    <w:rsid w:val="00C93E0F"/>
    <w:rsid w:val="00C940A6"/>
    <w:rsid w:val="00C97F65"/>
    <w:rsid w:val="00CA47A5"/>
    <w:rsid w:val="00CA736F"/>
    <w:rsid w:val="00CB3C63"/>
    <w:rsid w:val="00CB636C"/>
    <w:rsid w:val="00CC006B"/>
    <w:rsid w:val="00CC1AD1"/>
    <w:rsid w:val="00CC1DC8"/>
    <w:rsid w:val="00CC2FB1"/>
    <w:rsid w:val="00CC36DB"/>
    <w:rsid w:val="00CC3874"/>
    <w:rsid w:val="00CD4A5A"/>
    <w:rsid w:val="00CE5B29"/>
    <w:rsid w:val="00CF6CE0"/>
    <w:rsid w:val="00D0588B"/>
    <w:rsid w:val="00D070A9"/>
    <w:rsid w:val="00D113D1"/>
    <w:rsid w:val="00D1364A"/>
    <w:rsid w:val="00D21EF6"/>
    <w:rsid w:val="00D23B1A"/>
    <w:rsid w:val="00D24E72"/>
    <w:rsid w:val="00D267D7"/>
    <w:rsid w:val="00D273B1"/>
    <w:rsid w:val="00D34B2D"/>
    <w:rsid w:val="00D35022"/>
    <w:rsid w:val="00D3625F"/>
    <w:rsid w:val="00D36E52"/>
    <w:rsid w:val="00D44DE4"/>
    <w:rsid w:val="00D458DE"/>
    <w:rsid w:val="00D531F1"/>
    <w:rsid w:val="00D532C0"/>
    <w:rsid w:val="00D56634"/>
    <w:rsid w:val="00D574EA"/>
    <w:rsid w:val="00D65465"/>
    <w:rsid w:val="00D67410"/>
    <w:rsid w:val="00D76A6C"/>
    <w:rsid w:val="00D8660F"/>
    <w:rsid w:val="00D93138"/>
    <w:rsid w:val="00D954E6"/>
    <w:rsid w:val="00DA268A"/>
    <w:rsid w:val="00DB7416"/>
    <w:rsid w:val="00DC2A2B"/>
    <w:rsid w:val="00DC4DF4"/>
    <w:rsid w:val="00DD2D62"/>
    <w:rsid w:val="00DD63AD"/>
    <w:rsid w:val="00DD7B49"/>
    <w:rsid w:val="00DE49D8"/>
    <w:rsid w:val="00DE51EA"/>
    <w:rsid w:val="00DF42E7"/>
    <w:rsid w:val="00DF5D4A"/>
    <w:rsid w:val="00E01DB6"/>
    <w:rsid w:val="00E02C1D"/>
    <w:rsid w:val="00E044CB"/>
    <w:rsid w:val="00E10425"/>
    <w:rsid w:val="00E20038"/>
    <w:rsid w:val="00E21767"/>
    <w:rsid w:val="00E2249B"/>
    <w:rsid w:val="00E304F7"/>
    <w:rsid w:val="00E32648"/>
    <w:rsid w:val="00E33236"/>
    <w:rsid w:val="00E42CCA"/>
    <w:rsid w:val="00E452D4"/>
    <w:rsid w:val="00E46F87"/>
    <w:rsid w:val="00E5260C"/>
    <w:rsid w:val="00E60168"/>
    <w:rsid w:val="00E612EB"/>
    <w:rsid w:val="00E63356"/>
    <w:rsid w:val="00E654F1"/>
    <w:rsid w:val="00E65DF6"/>
    <w:rsid w:val="00E67568"/>
    <w:rsid w:val="00E71876"/>
    <w:rsid w:val="00E72411"/>
    <w:rsid w:val="00E76E3A"/>
    <w:rsid w:val="00E948C6"/>
    <w:rsid w:val="00E965A1"/>
    <w:rsid w:val="00EA5981"/>
    <w:rsid w:val="00EA61FD"/>
    <w:rsid w:val="00EA79FF"/>
    <w:rsid w:val="00EB0D33"/>
    <w:rsid w:val="00EB0D36"/>
    <w:rsid w:val="00EB442F"/>
    <w:rsid w:val="00EB789F"/>
    <w:rsid w:val="00EC0EBC"/>
    <w:rsid w:val="00EC4371"/>
    <w:rsid w:val="00EC4787"/>
    <w:rsid w:val="00EC4E07"/>
    <w:rsid w:val="00EC5615"/>
    <w:rsid w:val="00EC61F3"/>
    <w:rsid w:val="00EC6FE3"/>
    <w:rsid w:val="00ED159B"/>
    <w:rsid w:val="00EE3CE7"/>
    <w:rsid w:val="00EE7C88"/>
    <w:rsid w:val="00EF2DA8"/>
    <w:rsid w:val="00EF344B"/>
    <w:rsid w:val="00EF47F5"/>
    <w:rsid w:val="00EF50F9"/>
    <w:rsid w:val="00F03AAA"/>
    <w:rsid w:val="00F04F26"/>
    <w:rsid w:val="00F05391"/>
    <w:rsid w:val="00F07613"/>
    <w:rsid w:val="00F07D9E"/>
    <w:rsid w:val="00F07DA3"/>
    <w:rsid w:val="00F11453"/>
    <w:rsid w:val="00F1283F"/>
    <w:rsid w:val="00F14247"/>
    <w:rsid w:val="00F143F5"/>
    <w:rsid w:val="00F1513F"/>
    <w:rsid w:val="00F2719B"/>
    <w:rsid w:val="00F3532E"/>
    <w:rsid w:val="00F37788"/>
    <w:rsid w:val="00F45845"/>
    <w:rsid w:val="00F50EE9"/>
    <w:rsid w:val="00F51ECA"/>
    <w:rsid w:val="00F545E4"/>
    <w:rsid w:val="00F555C9"/>
    <w:rsid w:val="00F75823"/>
    <w:rsid w:val="00F75BC8"/>
    <w:rsid w:val="00F811D4"/>
    <w:rsid w:val="00F85335"/>
    <w:rsid w:val="00FA6022"/>
    <w:rsid w:val="00FA7170"/>
    <w:rsid w:val="00FB07CF"/>
    <w:rsid w:val="00FB49E7"/>
    <w:rsid w:val="00FB626F"/>
    <w:rsid w:val="00FC0A93"/>
    <w:rsid w:val="00FC26FF"/>
    <w:rsid w:val="00FC69EE"/>
    <w:rsid w:val="00FD7681"/>
    <w:rsid w:val="00FF15FC"/>
    <w:rsid w:val="00F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29F5"/>
  <w15:docId w15:val="{D544E3F3-6D5C-437F-8592-7FEAC158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E6A"/>
    <w:pPr>
      <w:spacing w:after="0" w:line="24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062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062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070A9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06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1062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35D51"/>
    <w:pPr>
      <w:contextualSpacing/>
    </w:pPr>
    <w:rPr>
      <w:rFonts w:eastAsiaTheme="majorEastAsia" w:cstheme="majorBidi"/>
      <w:b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D51"/>
    <w:rPr>
      <w:rFonts w:ascii="Arial" w:eastAsiaTheme="majorEastAsia" w:hAnsi="Arial" w:cstheme="majorBidi"/>
      <w:b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058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8B3"/>
    <w:rPr>
      <w:rFonts w:ascii="Arial" w:hAnsi="Arial"/>
      <w:sz w:val="28"/>
    </w:rPr>
  </w:style>
  <w:style w:type="paragraph" w:styleId="Footer">
    <w:name w:val="footer"/>
    <w:basedOn w:val="Normal"/>
    <w:link w:val="FooterChar"/>
    <w:unhideWhenUsed/>
    <w:rsid w:val="008058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8B3"/>
    <w:rPr>
      <w:rFonts w:ascii="Arial" w:hAnsi="Arial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070A9"/>
    <w:rPr>
      <w:rFonts w:ascii="Arial" w:eastAsiaTheme="majorEastAsia" w:hAnsi="Arial" w:cstheme="majorBidi"/>
      <w:b/>
      <w:sz w:val="28"/>
      <w:szCs w:val="26"/>
    </w:rPr>
  </w:style>
  <w:style w:type="paragraph" w:styleId="NoSpacing">
    <w:name w:val="No Spacing"/>
    <w:uiPriority w:val="1"/>
    <w:qFormat/>
    <w:rsid w:val="00031062"/>
    <w:pPr>
      <w:spacing w:after="0" w:line="24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E0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1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1C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1C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C4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Bullet 1,List Paragraph12,Bullet Points,MAIN CONTENT,F5 List Paragraph,Colorful List - Accent 11,Normal numbered,List Paragraph11,OBC Bullet,L"/>
    <w:basedOn w:val="Normal"/>
    <w:link w:val="ListParagraphChar"/>
    <w:uiPriority w:val="34"/>
    <w:qFormat/>
    <w:rsid w:val="001A7E5A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Bullet 1 Char,List Paragraph12 Char,Bullet Points Char,MAIN CONTENT Char,F5 List Paragraph Char,L Char"/>
    <w:basedOn w:val="DefaultParagraphFont"/>
    <w:link w:val="ListParagraph"/>
    <w:uiPriority w:val="34"/>
    <w:qFormat/>
    <w:locked/>
    <w:rsid w:val="001A7E5A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415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40371-CB78-45D5-80F2-2A828086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EHRC</Company>
  <LinksUpToDate>false</LinksUpToDate>
  <CharactersWithSpaces>18415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 Wheaton</dc:creator>
  <cp:lastModifiedBy>Jordan Vu-Abouzeid</cp:lastModifiedBy>
  <cp:revision>2</cp:revision>
  <cp:lastPrinted>2019-07-15T14:42:00Z</cp:lastPrinted>
  <dcterms:created xsi:type="dcterms:W3CDTF">2020-04-24T11:49:00Z</dcterms:created>
  <dcterms:modified xsi:type="dcterms:W3CDTF">2020-04-24T11:49:00Z</dcterms:modified>
</cp:coreProperties>
</file>