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A5C" w:rsidRPr="00B46CB7" w:rsidRDefault="009B6A5C" w:rsidP="009B6A5C">
      <w:pPr>
        <w:pStyle w:val="Heading2"/>
        <w:spacing w:before="0" w:after="640"/>
        <w:rPr>
          <w:rFonts w:ascii="Arial" w:hAnsi="Arial" w:cs="Arial"/>
          <w:b w:val="0"/>
          <w:color w:val="E36C0A"/>
          <w:sz w:val="28"/>
          <w:szCs w:val="28"/>
          <w:lang w:val="en-GB"/>
        </w:rPr>
      </w:pPr>
      <w:bookmarkStart w:id="0" w:name="_Toc410639567"/>
      <w:bookmarkStart w:id="1" w:name="_Toc410651235"/>
      <w:bookmarkStart w:id="2" w:name="_Toc393443897"/>
      <w:r w:rsidRPr="00B46CB7">
        <w:rPr>
          <w:rFonts w:ascii="Arial" w:hAnsi="Arial" w:cs="Arial"/>
          <w:b w:val="0"/>
          <w:color w:val="E36C0A"/>
          <w:sz w:val="28"/>
          <w:szCs w:val="28"/>
          <w:lang w:val="en-GB"/>
        </w:rPr>
        <w:t xml:space="preserve">GUIDANCE </w:t>
      </w:r>
      <w:r w:rsidRPr="00B46CB7">
        <w:rPr>
          <w:rFonts w:ascii="Arial" w:hAnsi="Arial" w:cs="Arial"/>
          <w:color w:val="E36C0A" w:themeColor="accent6" w:themeShade="BF"/>
          <w:sz w:val="28"/>
          <w:szCs w:val="28"/>
          <w:lang w:val="en-GB"/>
        </w:rPr>
        <w:t>·</w:t>
      </w:r>
      <w:r w:rsidRPr="00B46CB7">
        <w:rPr>
          <w:rFonts w:ascii="Arial" w:hAnsi="Arial" w:cs="Arial"/>
          <w:b w:val="0"/>
          <w:color w:val="E36C0A"/>
          <w:sz w:val="28"/>
          <w:szCs w:val="28"/>
          <w:lang w:val="en-GB"/>
        </w:rPr>
        <w:t xml:space="preserve"> LEGAL FRAMEWORK</w:t>
      </w:r>
      <w:bookmarkEnd w:id="0"/>
      <w:bookmarkEnd w:id="1"/>
    </w:p>
    <w:p w:rsidR="00497770" w:rsidRDefault="00CF654D">
      <w:pPr>
        <w:pStyle w:val="Title"/>
        <w:rPr>
          <w:rFonts w:ascii="Georgia" w:hAnsi="Georgia"/>
          <w:b w:val="0"/>
          <w:sz w:val="84"/>
          <w:szCs w:val="84"/>
          <w:lang w:val="en-GB"/>
        </w:rPr>
      </w:pPr>
      <w:r w:rsidRPr="00CF654D">
        <w:rPr>
          <w:rFonts w:ascii="Georgia" w:hAnsi="Georgia"/>
          <w:b w:val="0"/>
          <w:sz w:val="84"/>
          <w:szCs w:val="84"/>
          <w:lang w:val="en-GB"/>
        </w:rPr>
        <w:t xml:space="preserve">Freedom of expression </w:t>
      </w:r>
    </w:p>
    <w:p w:rsidR="00BF79E9" w:rsidRPr="00B46CB7" w:rsidRDefault="00BF79E9" w:rsidP="00BF79E9">
      <w:pPr>
        <w:rPr>
          <w:lang w:val="en-GB"/>
        </w:rPr>
      </w:pPr>
    </w:p>
    <w:p w:rsidR="009B6A5C" w:rsidRPr="00B46CB7" w:rsidRDefault="009B6A5C" w:rsidP="009B6A5C">
      <w:pPr>
        <w:rPr>
          <w:sz w:val="40"/>
          <w:szCs w:val="40"/>
          <w:lang w:val="en-GB"/>
        </w:rPr>
      </w:pPr>
    </w:p>
    <w:p w:rsidR="009B6A5C" w:rsidRPr="00B46CB7" w:rsidRDefault="009B6A5C" w:rsidP="009B6A5C">
      <w:pPr>
        <w:rPr>
          <w:sz w:val="40"/>
          <w:szCs w:val="40"/>
          <w:lang w:val="en-GB"/>
        </w:rPr>
        <w:sectPr w:rsidR="009B6A5C" w:rsidRPr="00B46CB7" w:rsidSect="00BF79E9">
          <w:headerReference w:type="default" r:id="rId8"/>
          <w:footerReference w:type="default" r:id="rId9"/>
          <w:footerReference w:type="first" r:id="rId10"/>
          <w:pgSz w:w="11906" w:h="16838"/>
          <w:pgMar w:top="1440" w:right="1440" w:bottom="1440" w:left="1440" w:header="709" w:footer="709" w:gutter="0"/>
          <w:cols w:space="708"/>
          <w:titlePg/>
          <w:docGrid w:linePitch="381"/>
        </w:sectPr>
      </w:pPr>
    </w:p>
    <w:p w:rsidR="009B6A5C" w:rsidRPr="00B46CB7" w:rsidRDefault="009B6A5C" w:rsidP="009B6A5C">
      <w:pPr>
        <w:pStyle w:val="L3Headers"/>
        <w:spacing w:after="480"/>
        <w:rPr>
          <w:lang w:val="en-GB"/>
        </w:rPr>
      </w:pPr>
      <w:bookmarkStart w:id="3" w:name="_Toc393443898"/>
      <w:bookmarkStart w:id="4" w:name="_Toc410639568"/>
      <w:bookmarkStart w:id="5" w:name="_Toc410651236"/>
      <w:bookmarkEnd w:id="2"/>
      <w:r w:rsidRPr="00B46CB7">
        <w:rPr>
          <w:lang w:val="en-GB"/>
        </w:rPr>
        <w:lastRenderedPageBreak/>
        <w:t>About this publication</w:t>
      </w:r>
      <w:bookmarkEnd w:id="3"/>
      <w:bookmarkEnd w:id="4"/>
      <w:bookmarkEnd w:id="5"/>
    </w:p>
    <w:p w:rsidR="009B6A5C" w:rsidRPr="00B46CB7" w:rsidRDefault="009B6A5C" w:rsidP="00C66881">
      <w:pPr>
        <w:pStyle w:val="L4Headers"/>
        <w:spacing w:after="90"/>
        <w:rPr>
          <w:lang w:val="en-GB"/>
        </w:rPr>
      </w:pPr>
      <w:bookmarkStart w:id="6" w:name="_Toc393443899"/>
      <w:bookmarkStart w:id="7" w:name="_Toc410639569"/>
      <w:bookmarkStart w:id="8" w:name="_Toc410651237"/>
      <w:r w:rsidRPr="00B46CB7">
        <w:rPr>
          <w:lang w:val="en-GB"/>
        </w:rPr>
        <w:t>What is the aim of this publication?</w:t>
      </w:r>
      <w:bookmarkEnd w:id="6"/>
      <w:bookmarkEnd w:id="7"/>
      <w:bookmarkEnd w:id="8"/>
    </w:p>
    <w:p w:rsidR="009B6A5C" w:rsidRPr="00B46CB7" w:rsidRDefault="009B6A5C" w:rsidP="00C66881">
      <w:pPr>
        <w:pStyle w:val="Parass"/>
        <w:spacing w:after="340"/>
        <w:rPr>
          <w:lang w:val="en-GB"/>
        </w:rPr>
      </w:pPr>
      <w:r w:rsidRPr="00B46CB7">
        <w:rPr>
          <w:color w:val="000000" w:themeColor="text1"/>
          <w:lang w:val="en-GB"/>
        </w:rPr>
        <w:t>This publication provide</w:t>
      </w:r>
      <w:r w:rsidR="00900E66">
        <w:rPr>
          <w:color w:val="000000" w:themeColor="text1"/>
          <w:lang w:val="en-GB"/>
        </w:rPr>
        <w:t>s</w:t>
      </w:r>
      <w:r w:rsidRPr="00B46CB7">
        <w:rPr>
          <w:color w:val="000000" w:themeColor="text1"/>
          <w:lang w:val="en-GB"/>
        </w:rPr>
        <w:t xml:space="preserve"> guidance on the equality </w:t>
      </w:r>
      <w:r w:rsidR="00BF79E9" w:rsidRPr="00B46CB7">
        <w:rPr>
          <w:color w:val="000000" w:themeColor="text1"/>
          <w:lang w:val="en-GB"/>
        </w:rPr>
        <w:t>and human rights legal</w:t>
      </w:r>
      <w:r w:rsidRPr="00B46CB7">
        <w:rPr>
          <w:color w:val="000000" w:themeColor="text1"/>
          <w:lang w:val="en-GB"/>
        </w:rPr>
        <w:t xml:space="preserve"> framework </w:t>
      </w:r>
      <w:r w:rsidR="00BF79E9" w:rsidRPr="00B46CB7">
        <w:rPr>
          <w:color w:val="000000" w:themeColor="text1"/>
          <w:lang w:val="en-GB"/>
        </w:rPr>
        <w:t xml:space="preserve">which applies to </w:t>
      </w:r>
      <w:r w:rsidR="00B32BCE">
        <w:rPr>
          <w:color w:val="000000" w:themeColor="text1"/>
          <w:lang w:val="en-GB"/>
        </w:rPr>
        <w:t>freedom of expression</w:t>
      </w:r>
      <w:r w:rsidR="007A54FB" w:rsidRPr="00B46CB7">
        <w:rPr>
          <w:color w:val="000000" w:themeColor="text1"/>
          <w:lang w:val="en-GB"/>
        </w:rPr>
        <w:t xml:space="preserve"> in England and Wales and in Scotland</w:t>
      </w:r>
      <w:r w:rsidRPr="00B46CB7">
        <w:rPr>
          <w:lang w:val="en-GB"/>
        </w:rPr>
        <w:t>.</w:t>
      </w:r>
    </w:p>
    <w:p w:rsidR="009B6A5C" w:rsidRPr="00B46CB7" w:rsidRDefault="009B6A5C" w:rsidP="00C66881">
      <w:pPr>
        <w:pStyle w:val="L4Headers"/>
        <w:spacing w:after="90"/>
        <w:rPr>
          <w:lang w:val="en-GB"/>
        </w:rPr>
      </w:pPr>
      <w:bookmarkStart w:id="9" w:name="_Toc393443900"/>
      <w:bookmarkStart w:id="10" w:name="_Toc410639570"/>
      <w:bookmarkStart w:id="11" w:name="_Toc410651238"/>
      <w:r w:rsidRPr="00B46CB7">
        <w:rPr>
          <w:lang w:val="en-GB"/>
        </w:rPr>
        <w:t>Who is it for?</w:t>
      </w:r>
      <w:bookmarkEnd w:id="9"/>
      <w:bookmarkEnd w:id="10"/>
      <w:bookmarkEnd w:id="11"/>
    </w:p>
    <w:p w:rsidR="009B6A5C" w:rsidRPr="00B46CB7" w:rsidRDefault="009B6A5C" w:rsidP="00C66881">
      <w:pPr>
        <w:pStyle w:val="Parass"/>
        <w:spacing w:after="340"/>
        <w:rPr>
          <w:color w:val="000000" w:themeColor="text1"/>
          <w:lang w:val="en-GB" w:eastAsia="en-GB"/>
        </w:rPr>
      </w:pPr>
      <w:r w:rsidRPr="00B46CB7">
        <w:rPr>
          <w:color w:val="000000" w:themeColor="text1"/>
          <w:lang w:val="en-GB" w:eastAsia="en-GB"/>
        </w:rPr>
        <w:t xml:space="preserve">This guide is intended for </w:t>
      </w:r>
      <w:r w:rsidR="007A54FB" w:rsidRPr="00B46CB7">
        <w:rPr>
          <w:color w:val="000000" w:themeColor="text1"/>
          <w:lang w:val="en-GB" w:eastAsia="en-GB"/>
        </w:rPr>
        <w:t xml:space="preserve">a broad range of </w:t>
      </w:r>
      <w:r w:rsidR="00900E66">
        <w:rPr>
          <w:color w:val="000000" w:themeColor="text1"/>
          <w:lang w:val="en-GB" w:eastAsia="en-GB"/>
        </w:rPr>
        <w:t>people and organisations</w:t>
      </w:r>
      <w:r w:rsidR="007A54FB" w:rsidRPr="00B46CB7">
        <w:rPr>
          <w:color w:val="000000" w:themeColor="text1"/>
          <w:lang w:val="en-GB" w:eastAsia="en-GB"/>
        </w:rPr>
        <w:t xml:space="preserve"> who may be interested in how the law regulates</w:t>
      </w:r>
      <w:r w:rsidR="000E25D1">
        <w:rPr>
          <w:color w:val="000000" w:themeColor="text1"/>
          <w:lang w:val="en-GB" w:eastAsia="en-GB"/>
        </w:rPr>
        <w:t xml:space="preserve"> potentially</w:t>
      </w:r>
      <w:r w:rsidR="007A54FB" w:rsidRPr="00B46CB7">
        <w:rPr>
          <w:color w:val="000000" w:themeColor="text1"/>
          <w:lang w:val="en-GB" w:eastAsia="en-GB"/>
        </w:rPr>
        <w:t xml:space="preserve"> offensive </w:t>
      </w:r>
      <w:r w:rsidR="00900E66">
        <w:rPr>
          <w:color w:val="000000" w:themeColor="text1"/>
          <w:lang w:val="en-GB" w:eastAsia="en-GB"/>
        </w:rPr>
        <w:t>forms of expression</w:t>
      </w:r>
      <w:r w:rsidR="007A54FB" w:rsidRPr="00B46CB7">
        <w:rPr>
          <w:color w:val="000000" w:themeColor="text1"/>
          <w:lang w:val="en-GB" w:eastAsia="en-GB"/>
        </w:rPr>
        <w:t>, including parliamentarians, NGOs, journalists and members of the public.</w:t>
      </w:r>
    </w:p>
    <w:p w:rsidR="000034B2" w:rsidRPr="00B46CB7" w:rsidRDefault="009B6A5C" w:rsidP="00C66881">
      <w:pPr>
        <w:pStyle w:val="L4Headers"/>
        <w:spacing w:after="90"/>
        <w:rPr>
          <w:lang w:val="en-GB"/>
        </w:rPr>
      </w:pPr>
      <w:bookmarkStart w:id="12" w:name="_Toc393443901"/>
      <w:bookmarkStart w:id="13" w:name="_Toc410639571"/>
      <w:bookmarkStart w:id="14" w:name="_Toc410651239"/>
      <w:r w:rsidRPr="00B46CB7">
        <w:rPr>
          <w:lang w:val="en-GB"/>
        </w:rPr>
        <w:t>What is inside?</w:t>
      </w:r>
      <w:bookmarkEnd w:id="12"/>
      <w:bookmarkEnd w:id="13"/>
      <w:bookmarkEnd w:id="14"/>
    </w:p>
    <w:p w:rsidR="009B6A5C" w:rsidRPr="00B46CB7" w:rsidRDefault="009B6A5C" w:rsidP="009B6A5C">
      <w:pPr>
        <w:pStyle w:val="Parapre-bullets"/>
        <w:rPr>
          <w:lang w:val="en-GB"/>
        </w:rPr>
      </w:pPr>
      <w:r w:rsidRPr="00B46CB7">
        <w:rPr>
          <w:lang w:val="en-GB"/>
        </w:rPr>
        <w:t>Th</w:t>
      </w:r>
      <w:r w:rsidR="002B0EB5" w:rsidRPr="00B46CB7">
        <w:rPr>
          <w:lang w:val="en-GB"/>
        </w:rPr>
        <w:t>is</w:t>
      </w:r>
      <w:r w:rsidRPr="00B46CB7">
        <w:rPr>
          <w:lang w:val="en-GB"/>
        </w:rPr>
        <w:t xml:space="preserve"> guide covers:</w:t>
      </w:r>
    </w:p>
    <w:p w:rsidR="008D22FB" w:rsidRDefault="008D22FB">
      <w:pPr>
        <w:pStyle w:val="Bulletsbase"/>
        <w:numPr>
          <w:ilvl w:val="0"/>
          <w:numId w:val="24"/>
        </w:numPr>
        <w:spacing w:after="30"/>
      </w:pPr>
      <w:r>
        <w:t>The legal basis for f</w:t>
      </w:r>
      <w:r w:rsidR="00E7570E">
        <w:t>reedom of expression</w:t>
      </w:r>
      <w:r>
        <w:t xml:space="preserve"> in England, Scotland and Wales</w:t>
      </w:r>
    </w:p>
    <w:p w:rsidR="008D22FB" w:rsidRDefault="00F02A18">
      <w:pPr>
        <w:pStyle w:val="Bulletsbase"/>
        <w:numPr>
          <w:ilvl w:val="0"/>
          <w:numId w:val="24"/>
        </w:numPr>
        <w:spacing w:after="30"/>
      </w:pPr>
      <w:r>
        <w:t>Limitations on freedom of expression</w:t>
      </w:r>
      <w:r w:rsidR="00900E66" w:rsidRPr="00900E66">
        <w:t xml:space="preserve"> </w:t>
      </w:r>
      <w:r w:rsidR="00900E66">
        <w:t>in different contexts including those</w:t>
      </w:r>
      <w:r>
        <w:t xml:space="preserve"> relating to h</w:t>
      </w:r>
      <w:r w:rsidR="00FF2309">
        <w:t>ate speech</w:t>
      </w:r>
    </w:p>
    <w:p w:rsidR="00D44129" w:rsidRDefault="00FF2309">
      <w:pPr>
        <w:pStyle w:val="Bulletsbase"/>
        <w:numPr>
          <w:ilvl w:val="0"/>
          <w:numId w:val="24"/>
        </w:numPr>
        <w:spacing w:after="30"/>
      </w:pPr>
      <w:r>
        <w:t>Criminal offences</w:t>
      </w:r>
      <w:r w:rsidR="008D22FB">
        <w:t xml:space="preserve"> relating to hate speech</w:t>
      </w:r>
      <w:r w:rsidR="003236AE">
        <w:t xml:space="preserve"> and sentencing</w:t>
      </w:r>
    </w:p>
    <w:p w:rsidR="003236AE" w:rsidRDefault="003236AE">
      <w:pPr>
        <w:pStyle w:val="Bulletsbase"/>
        <w:numPr>
          <w:ilvl w:val="0"/>
          <w:numId w:val="24"/>
        </w:numPr>
        <w:spacing w:after="30"/>
      </w:pPr>
      <w:r>
        <w:t>Freedom of expression and the media</w:t>
      </w:r>
    </w:p>
    <w:p w:rsidR="003236AE" w:rsidRDefault="003236AE">
      <w:pPr>
        <w:pStyle w:val="Bulletsbase"/>
        <w:numPr>
          <w:ilvl w:val="0"/>
          <w:numId w:val="24"/>
        </w:numPr>
        <w:spacing w:after="30"/>
      </w:pPr>
      <w:r>
        <w:t>The role of public bodies in hate speech cases</w:t>
      </w:r>
    </w:p>
    <w:p w:rsidR="003236AE" w:rsidRDefault="003236AE" w:rsidP="003236AE">
      <w:pPr>
        <w:pStyle w:val="Bulletsbase"/>
        <w:numPr>
          <w:ilvl w:val="0"/>
          <w:numId w:val="24"/>
        </w:numPr>
        <w:spacing w:after="30"/>
      </w:pPr>
      <w:r>
        <w:t>The role of regulators</w:t>
      </w:r>
    </w:p>
    <w:p w:rsidR="00F57DBF" w:rsidRDefault="003236AE" w:rsidP="003236AE">
      <w:pPr>
        <w:pStyle w:val="Bulletsbase"/>
        <w:numPr>
          <w:ilvl w:val="0"/>
          <w:numId w:val="28"/>
        </w:numPr>
        <w:spacing w:after="30"/>
      </w:pPr>
      <w:r>
        <w:t xml:space="preserve">How freedom of expression applies in relation to: </w:t>
      </w:r>
    </w:p>
    <w:p w:rsidR="003236AE" w:rsidRDefault="003236AE" w:rsidP="00F57DBF">
      <w:pPr>
        <w:pStyle w:val="Bulletsbase"/>
        <w:numPr>
          <w:ilvl w:val="1"/>
          <w:numId w:val="28"/>
        </w:numPr>
        <w:spacing w:after="30"/>
      </w:pPr>
      <w:r>
        <w:t>Employment situations</w:t>
      </w:r>
    </w:p>
    <w:p w:rsidR="003236AE" w:rsidRDefault="003236AE" w:rsidP="00F57DBF">
      <w:pPr>
        <w:pStyle w:val="Bulletsbase"/>
        <w:numPr>
          <w:ilvl w:val="1"/>
          <w:numId w:val="28"/>
        </w:numPr>
        <w:spacing w:after="30"/>
      </w:pPr>
      <w:r>
        <w:t>Service provision</w:t>
      </w:r>
    </w:p>
    <w:p w:rsidR="003236AE" w:rsidRDefault="003236AE" w:rsidP="00F57DBF">
      <w:pPr>
        <w:pStyle w:val="Bulletsbase"/>
        <w:numPr>
          <w:ilvl w:val="1"/>
          <w:numId w:val="28"/>
        </w:numPr>
        <w:spacing w:after="30"/>
      </w:pPr>
      <w:r>
        <w:t>Education, and</w:t>
      </w:r>
    </w:p>
    <w:p w:rsidR="003236AE" w:rsidRDefault="003236AE" w:rsidP="00F57DBF">
      <w:pPr>
        <w:pStyle w:val="Bulletsbase"/>
        <w:numPr>
          <w:ilvl w:val="1"/>
          <w:numId w:val="28"/>
        </w:numPr>
        <w:spacing w:after="30"/>
      </w:pPr>
      <w:r>
        <w:t xml:space="preserve">Electoral conduct </w:t>
      </w:r>
    </w:p>
    <w:p w:rsidR="003236AE" w:rsidRDefault="003236AE" w:rsidP="00F57DBF">
      <w:pPr>
        <w:pStyle w:val="Bulletsbase"/>
        <w:numPr>
          <w:ilvl w:val="0"/>
          <w:numId w:val="28"/>
        </w:numPr>
        <w:spacing w:after="30"/>
      </w:pPr>
      <w:r>
        <w:t xml:space="preserve">The role of the Commission </w:t>
      </w:r>
    </w:p>
    <w:p w:rsidR="008D22FB" w:rsidRDefault="008D22FB" w:rsidP="00F57DBF">
      <w:pPr>
        <w:pStyle w:val="Bulletsbase"/>
        <w:numPr>
          <w:ilvl w:val="0"/>
          <w:numId w:val="0"/>
        </w:numPr>
        <w:spacing w:after="30"/>
        <w:ind w:left="2880" w:hanging="360"/>
      </w:pPr>
    </w:p>
    <w:p w:rsidR="009B6A5C" w:rsidRPr="00B46CB7" w:rsidRDefault="009B6A5C" w:rsidP="00C66881">
      <w:pPr>
        <w:pStyle w:val="L4Headers"/>
        <w:spacing w:after="90"/>
        <w:rPr>
          <w:lang w:val="en-GB"/>
        </w:rPr>
      </w:pPr>
      <w:bookmarkStart w:id="15" w:name="_Toc410639572"/>
      <w:bookmarkStart w:id="16" w:name="_Toc410651240"/>
      <w:r w:rsidRPr="00B46CB7">
        <w:rPr>
          <w:lang w:val="en-GB"/>
        </w:rPr>
        <w:t>Why has the Commission produced it?</w:t>
      </w:r>
      <w:bookmarkEnd w:id="15"/>
      <w:bookmarkEnd w:id="16"/>
    </w:p>
    <w:p w:rsidR="005E053C" w:rsidRPr="00A55B47" w:rsidRDefault="009B6A5C" w:rsidP="00497770">
      <w:pPr>
        <w:pStyle w:val="Parass"/>
        <w:rPr>
          <w:lang w:val="en-GB"/>
        </w:rPr>
      </w:pPr>
      <w:r w:rsidRPr="004B1B47">
        <w:rPr>
          <w:lang w:val="en-GB"/>
        </w:rPr>
        <w:t xml:space="preserve">The Equality and Human Rights </w:t>
      </w:r>
      <w:r w:rsidRPr="00A55B47">
        <w:rPr>
          <w:lang w:val="en-GB"/>
        </w:rPr>
        <w:t>Commission promotes and enforces the laws that protect our rights to fairness, dignity and respect</w:t>
      </w:r>
      <w:r w:rsidR="005E053C" w:rsidRPr="00A55B47">
        <w:rPr>
          <w:lang w:val="en-GB"/>
        </w:rPr>
        <w:t xml:space="preserve">. </w:t>
      </w:r>
    </w:p>
    <w:p w:rsidR="009B6A5C" w:rsidRPr="00B46CB7" w:rsidRDefault="009B6A5C" w:rsidP="00C66881">
      <w:pPr>
        <w:pStyle w:val="L4Headers"/>
        <w:spacing w:after="90"/>
        <w:rPr>
          <w:lang w:val="en-GB"/>
        </w:rPr>
      </w:pPr>
      <w:bookmarkStart w:id="17" w:name="_Toc410639573"/>
      <w:bookmarkStart w:id="18" w:name="_Toc410651241"/>
      <w:r w:rsidRPr="00B46CB7">
        <w:rPr>
          <w:lang w:val="en-GB"/>
        </w:rPr>
        <w:t>What formats are available?</w:t>
      </w:r>
      <w:bookmarkEnd w:id="17"/>
      <w:bookmarkEnd w:id="18"/>
    </w:p>
    <w:p w:rsidR="00B07550" w:rsidRPr="00B46CB7" w:rsidRDefault="009B6A5C" w:rsidP="00C66881">
      <w:pPr>
        <w:pStyle w:val="Parabase"/>
        <w:rPr>
          <w:lang w:val="en-GB"/>
        </w:rPr>
      </w:pPr>
      <w:r w:rsidRPr="00B46CB7">
        <w:rPr>
          <w:rFonts w:cs="Georgia"/>
          <w:lang w:val="en-GB"/>
        </w:rPr>
        <w:t xml:space="preserve">This guide is available from </w:t>
      </w:r>
      <w:hyperlink r:id="rId11" w:history="1">
        <w:r w:rsidRPr="00B46CB7">
          <w:rPr>
            <w:rStyle w:val="Hyperlink"/>
            <w:rFonts w:cs="Georgia-Bold"/>
            <w:bCs/>
            <w:lang w:val="en-GB"/>
          </w:rPr>
          <w:t>www.equalityhumanrights.com</w:t>
        </w:r>
      </w:hyperlink>
      <w:r w:rsidRPr="00B46CB7">
        <w:rPr>
          <w:rFonts w:cs="Georgia"/>
          <w:lang w:val="en-GB"/>
        </w:rPr>
        <w:t xml:space="preserve">. </w:t>
      </w:r>
      <w:r w:rsidRPr="00B46CB7">
        <w:rPr>
          <w:lang w:val="en-GB"/>
        </w:rPr>
        <w:t xml:space="preserve">For information on accessing a Commission publication in an alternative format, please contact: </w:t>
      </w:r>
      <w:hyperlink r:id="rId12" w:history="1">
        <w:r w:rsidRPr="00B46CB7">
          <w:rPr>
            <w:rStyle w:val="Hyperlink"/>
            <w:lang w:val="en-GB"/>
          </w:rPr>
          <w:t>correspondence@equalityhumanrights.com</w:t>
        </w:r>
      </w:hyperlink>
      <w:r w:rsidRPr="00B46CB7">
        <w:rPr>
          <w:lang w:val="en-GB"/>
        </w:rPr>
        <w:t>.</w:t>
      </w:r>
      <w:r w:rsidR="00B07550" w:rsidRPr="00B46CB7">
        <w:rPr>
          <w:lang w:val="en-GB"/>
        </w:rPr>
        <w:br w:type="page"/>
      </w:r>
    </w:p>
    <w:sdt>
      <w:sdtPr>
        <w:rPr>
          <w:rFonts w:ascii="Times New Roman" w:eastAsia="Times New Roman" w:hAnsi="Times New Roman" w:cs="Times New Roman"/>
          <w:b w:val="0"/>
          <w:color w:val="auto"/>
          <w:sz w:val="24"/>
          <w:szCs w:val="24"/>
          <w:lang w:eastAsia="en-US"/>
        </w:rPr>
        <w:id w:val="-930241262"/>
        <w:docPartObj>
          <w:docPartGallery w:val="Table of Contents"/>
          <w:docPartUnique/>
        </w:docPartObj>
      </w:sdtPr>
      <w:sdtContent>
        <w:bookmarkStart w:id="19" w:name="_Toc410651242" w:displacedByCustomXml="prev"/>
        <w:p w:rsidR="004600A8" w:rsidRDefault="004600A8" w:rsidP="004600A8">
          <w:pPr>
            <w:pStyle w:val="L3Headers"/>
          </w:pPr>
          <w:r>
            <w:t>Contents</w:t>
          </w:r>
          <w:bookmarkEnd w:id="19"/>
        </w:p>
        <w:p w:rsidR="001A4694" w:rsidRPr="001A4694" w:rsidRDefault="004553C2" w:rsidP="001A4694">
          <w:pPr>
            <w:pStyle w:val="TOC2"/>
            <w:tabs>
              <w:tab w:val="right" w:leader="dot" w:pos="9010"/>
            </w:tabs>
            <w:rPr>
              <w:rFonts w:ascii="Arial" w:eastAsiaTheme="minorEastAsia" w:hAnsi="Arial" w:cs="Arial"/>
              <w:noProof/>
              <w:sz w:val="22"/>
              <w:szCs w:val="22"/>
              <w:lang w:val="en-GB" w:eastAsia="en-GB"/>
            </w:rPr>
          </w:pPr>
          <w:r w:rsidRPr="001A4694">
            <w:rPr>
              <w:rFonts w:ascii="Arial" w:hAnsi="Arial" w:cs="Arial"/>
            </w:rPr>
            <w:fldChar w:fldCharType="begin"/>
          </w:r>
          <w:r w:rsidR="004600A8" w:rsidRPr="001A4694">
            <w:rPr>
              <w:rFonts w:ascii="Arial" w:hAnsi="Arial" w:cs="Arial"/>
            </w:rPr>
            <w:instrText xml:space="preserve"> TOC \o "1-3" \h \z \u </w:instrText>
          </w:r>
          <w:r w:rsidRPr="001A4694">
            <w:rPr>
              <w:rFonts w:ascii="Arial" w:hAnsi="Arial" w:cs="Arial"/>
            </w:rPr>
            <w:fldChar w:fldCharType="separate"/>
          </w:r>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3" w:history="1">
            <w:r w:rsidR="001A4694" w:rsidRPr="001A4694">
              <w:rPr>
                <w:rStyle w:val="Hyperlink"/>
                <w:rFonts w:ascii="Arial" w:hAnsi="Arial" w:cs="Arial"/>
                <w:noProof/>
                <w:lang w:val="en-GB"/>
              </w:rPr>
              <w:t>Introduction</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_Toc410651243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3</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4" w:history="1">
            <w:r w:rsidR="001A4694" w:rsidRPr="001A4694">
              <w:rPr>
                <w:rStyle w:val="Hyperlink"/>
                <w:rFonts w:ascii="Arial" w:hAnsi="Arial" w:cs="Arial"/>
                <w:noProof/>
                <w:lang w:val="en-GB"/>
              </w:rPr>
              <w:t>Summary of key points</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_Toc410651244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3</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5" w:history="1">
            <w:r w:rsidR="001A4694" w:rsidRPr="001A4694">
              <w:rPr>
                <w:rStyle w:val="Hyperlink"/>
                <w:rFonts w:ascii="Arial" w:hAnsi="Arial" w:cs="Arial"/>
                <w:noProof/>
                <w:lang w:val="en-GB"/>
              </w:rPr>
              <w:t>Article 10 of the European Convention on Human Rights</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_Toc410651245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4</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6" w:history="1">
            <w:r w:rsidR="001A4694" w:rsidRPr="001A4694">
              <w:rPr>
                <w:rStyle w:val="Hyperlink"/>
                <w:rFonts w:ascii="Arial" w:hAnsi="Arial" w:cs="Arial"/>
                <w:noProof/>
                <w:lang w:val="en-GB"/>
              </w:rPr>
              <w:t>The legal basis for freedom of expression</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_Toc410651246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5</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7" w:history="1">
            <w:r w:rsidR="001A4694" w:rsidRPr="001A4694">
              <w:rPr>
                <w:rStyle w:val="Hyperlink"/>
                <w:rFonts w:ascii="Arial" w:hAnsi="Arial" w:cs="Arial"/>
                <w:noProof/>
                <w:lang w:val="en-GB"/>
              </w:rPr>
              <w:t>Why is freedom of expression protected?</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_Toc410651247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5</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8" w:history="1">
            <w:r w:rsidR="001A4694" w:rsidRPr="001A4694">
              <w:rPr>
                <w:rStyle w:val="Hyperlink"/>
                <w:rFonts w:ascii="Arial" w:hAnsi="Arial" w:cs="Arial"/>
                <w:noProof/>
                <w:lang w:val="en-GB"/>
              </w:rPr>
              <w:t>Limitations on freedom of expression</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_Toc410651248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6</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49" w:history="1">
            <w:r w:rsidR="001A4694" w:rsidRPr="001A4694">
              <w:rPr>
                <w:rStyle w:val="Hyperlink"/>
                <w:rFonts w:ascii="Arial" w:hAnsi="Arial" w:cs="Arial"/>
                <w:noProof/>
                <w:lang w:val="en-GB"/>
              </w:rPr>
              <w:t>Hate speech</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_Toc410651249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7</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0" w:history="1">
            <w:r w:rsidR="001A4694" w:rsidRPr="001A4694">
              <w:rPr>
                <w:rStyle w:val="Hyperlink"/>
                <w:rFonts w:ascii="Arial" w:hAnsi="Arial" w:cs="Arial"/>
                <w:noProof/>
              </w:rPr>
              <w:t>Examples of how context affects whether communications are unlawful</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_Toc410651250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8</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1" w:history="1">
            <w:r w:rsidR="001A4694" w:rsidRPr="001A4694">
              <w:rPr>
                <w:rStyle w:val="Hyperlink"/>
                <w:rFonts w:ascii="Arial" w:hAnsi="Arial" w:cs="Arial"/>
                <w:noProof/>
                <w:lang w:val="en-GB"/>
              </w:rPr>
              <w:t>Hate speech in criminal law</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_Toc410651251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11</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2" w:history="1">
            <w:r w:rsidR="001A4694" w:rsidRPr="001A4694">
              <w:rPr>
                <w:rStyle w:val="Hyperlink"/>
                <w:rFonts w:ascii="Arial" w:hAnsi="Arial" w:cs="Arial"/>
                <w:noProof/>
                <w:lang w:val="en-GB"/>
              </w:rPr>
              <w:t>Freedom of expression and the media</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_Toc410651252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15</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3" w:history="1">
            <w:r w:rsidR="001A4694" w:rsidRPr="001A4694">
              <w:rPr>
                <w:rStyle w:val="Hyperlink"/>
                <w:rFonts w:ascii="Arial" w:hAnsi="Arial" w:cs="Arial"/>
                <w:noProof/>
                <w:lang w:val="en-GB"/>
              </w:rPr>
              <w:t>The role of public bodies in hate speech cases</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_Toc410651253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18</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4" w:history="1">
            <w:r w:rsidR="001A4694" w:rsidRPr="001A4694">
              <w:rPr>
                <w:rStyle w:val="Hyperlink"/>
                <w:rFonts w:ascii="Arial" w:hAnsi="Arial" w:cs="Arial"/>
                <w:noProof/>
                <w:lang w:val="en-GB"/>
              </w:rPr>
              <w:t>The role of regulators</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_Toc410651254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19</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5" w:history="1">
            <w:r w:rsidR="001A4694" w:rsidRPr="001A4694">
              <w:rPr>
                <w:rStyle w:val="Hyperlink"/>
                <w:rFonts w:ascii="Arial" w:hAnsi="Arial" w:cs="Arial"/>
                <w:noProof/>
                <w:lang w:val="en-GB"/>
              </w:rPr>
              <w:t>Employment</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_Toc410651255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19</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6" w:history="1">
            <w:r w:rsidR="001A4694" w:rsidRPr="001A4694">
              <w:rPr>
                <w:rStyle w:val="Hyperlink"/>
                <w:rFonts w:ascii="Arial" w:hAnsi="Arial" w:cs="Arial"/>
                <w:noProof/>
                <w:lang w:val="en-GB"/>
              </w:rPr>
              <w:t>Service providers</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_Toc410651256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20</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7" w:history="1">
            <w:r w:rsidR="001A4694" w:rsidRPr="001A4694">
              <w:rPr>
                <w:rStyle w:val="Hyperlink"/>
                <w:rFonts w:ascii="Arial" w:hAnsi="Arial" w:cs="Arial"/>
                <w:noProof/>
                <w:lang w:val="en-GB"/>
              </w:rPr>
              <w:t>Education</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_Toc410651257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21</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8" w:history="1">
            <w:r w:rsidR="001A4694" w:rsidRPr="001A4694">
              <w:rPr>
                <w:rStyle w:val="Hyperlink"/>
                <w:rFonts w:ascii="Arial" w:hAnsi="Arial" w:cs="Arial"/>
                <w:noProof/>
                <w:lang w:val="en-GB"/>
              </w:rPr>
              <w:t>Electoral conduct</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_Toc410651258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22</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59" w:history="1">
            <w:r w:rsidR="001A4694" w:rsidRPr="001A4694">
              <w:rPr>
                <w:rStyle w:val="Hyperlink"/>
                <w:rFonts w:ascii="Arial" w:hAnsi="Arial" w:cs="Arial"/>
                <w:noProof/>
              </w:rPr>
              <w:t>Electoral</w:t>
            </w:r>
            <w:r w:rsidR="001A4694" w:rsidRPr="001A4694">
              <w:rPr>
                <w:rStyle w:val="Hyperlink"/>
                <w:rFonts w:ascii="Arial" w:hAnsi="Arial" w:cs="Arial"/>
                <w:noProof/>
                <w:lang w:val="en-GB"/>
              </w:rPr>
              <w:t xml:space="preserve"> law</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_Toc410651259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23</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60" w:history="1">
            <w:r w:rsidR="001A4694" w:rsidRPr="001A4694">
              <w:rPr>
                <w:rStyle w:val="Hyperlink"/>
                <w:rFonts w:ascii="Arial" w:hAnsi="Arial" w:cs="Arial"/>
                <w:noProof/>
                <w:lang w:val="en-GB"/>
              </w:rPr>
              <w:t>The Equality and Human Rights Commission</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_Toc410651260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24</w:t>
            </w:r>
            <w:r w:rsidRPr="001A4694">
              <w:rPr>
                <w:rFonts w:ascii="Arial" w:hAnsi="Arial" w:cs="Arial"/>
                <w:noProof/>
                <w:webHidden/>
              </w:rPr>
              <w:fldChar w:fldCharType="end"/>
            </w:r>
          </w:hyperlink>
        </w:p>
        <w:p w:rsidR="001A4694" w:rsidRPr="001A4694" w:rsidRDefault="004553C2">
          <w:pPr>
            <w:pStyle w:val="TOC2"/>
            <w:tabs>
              <w:tab w:val="right" w:leader="dot" w:pos="9010"/>
            </w:tabs>
            <w:rPr>
              <w:rFonts w:ascii="Arial" w:eastAsiaTheme="minorEastAsia" w:hAnsi="Arial" w:cs="Arial"/>
              <w:noProof/>
              <w:sz w:val="22"/>
              <w:szCs w:val="22"/>
              <w:lang w:val="en-GB" w:eastAsia="en-GB"/>
            </w:rPr>
          </w:pPr>
          <w:hyperlink w:anchor="_Toc410651261" w:history="1">
            <w:r w:rsidR="001A4694" w:rsidRPr="001A4694">
              <w:rPr>
                <w:rStyle w:val="Hyperlink"/>
                <w:rFonts w:ascii="Arial" w:hAnsi="Arial" w:cs="Arial"/>
                <w:noProof/>
              </w:rPr>
              <w:t>Contacts</w:t>
            </w:r>
            <w:r w:rsidR="001A4694" w:rsidRPr="001A4694">
              <w:rPr>
                <w:rFonts w:ascii="Arial" w:hAnsi="Arial" w:cs="Arial"/>
                <w:noProof/>
                <w:webHidden/>
              </w:rPr>
              <w:tab/>
            </w:r>
            <w:r w:rsidRPr="001A4694">
              <w:rPr>
                <w:rFonts w:ascii="Arial" w:hAnsi="Arial" w:cs="Arial"/>
                <w:noProof/>
                <w:webHidden/>
              </w:rPr>
              <w:fldChar w:fldCharType="begin"/>
            </w:r>
            <w:r w:rsidR="001A4694" w:rsidRPr="001A4694">
              <w:rPr>
                <w:rFonts w:ascii="Arial" w:hAnsi="Arial" w:cs="Arial"/>
                <w:noProof/>
                <w:webHidden/>
              </w:rPr>
              <w:instrText xml:space="preserve"> PAGEREF _Toc410651261 \h </w:instrText>
            </w:r>
            <w:r w:rsidRPr="001A4694">
              <w:rPr>
                <w:rFonts w:ascii="Arial" w:hAnsi="Arial" w:cs="Arial"/>
                <w:noProof/>
                <w:webHidden/>
              </w:rPr>
            </w:r>
            <w:r w:rsidRPr="001A4694">
              <w:rPr>
                <w:rFonts w:ascii="Arial" w:hAnsi="Arial" w:cs="Arial"/>
                <w:noProof/>
                <w:webHidden/>
              </w:rPr>
              <w:fldChar w:fldCharType="separate"/>
            </w:r>
            <w:r w:rsidR="001A4694" w:rsidRPr="001A4694">
              <w:rPr>
                <w:rFonts w:ascii="Arial" w:hAnsi="Arial" w:cs="Arial"/>
                <w:noProof/>
                <w:webHidden/>
              </w:rPr>
              <w:t>26</w:t>
            </w:r>
            <w:r w:rsidRPr="001A4694">
              <w:rPr>
                <w:rFonts w:ascii="Arial" w:hAnsi="Arial" w:cs="Arial"/>
                <w:noProof/>
                <w:webHidden/>
              </w:rPr>
              <w:fldChar w:fldCharType="end"/>
            </w:r>
          </w:hyperlink>
        </w:p>
        <w:p w:rsidR="004600A8" w:rsidRDefault="004553C2">
          <w:r w:rsidRPr="001A4694">
            <w:rPr>
              <w:rFonts w:ascii="Arial" w:hAnsi="Arial" w:cs="Arial"/>
            </w:rPr>
            <w:fldChar w:fldCharType="end"/>
          </w:r>
        </w:p>
      </w:sdtContent>
    </w:sdt>
    <w:p w:rsidR="004600A8" w:rsidRDefault="004600A8">
      <w:pPr>
        <w:rPr>
          <w:rFonts w:ascii="Arial" w:eastAsia="Helvetica" w:hAnsi="Arial" w:cs="Arial"/>
          <w:b/>
          <w:color w:val="E36C0A" w:themeColor="accent6" w:themeShade="BF"/>
          <w:sz w:val="28"/>
          <w:szCs w:val="28"/>
          <w:lang w:val="en-GB" w:eastAsia="en-GB"/>
        </w:rPr>
      </w:pPr>
      <w:r>
        <w:rPr>
          <w:lang w:val="en-GB"/>
        </w:rPr>
        <w:br w:type="page"/>
      </w:r>
    </w:p>
    <w:p w:rsidR="00820267" w:rsidRPr="00B46CB7" w:rsidRDefault="00FD530B" w:rsidP="006028A1">
      <w:pPr>
        <w:pStyle w:val="L3Headers"/>
        <w:rPr>
          <w:lang w:val="en-GB"/>
        </w:rPr>
      </w:pPr>
      <w:bookmarkStart w:id="20" w:name="_Toc410651243"/>
      <w:r w:rsidRPr="00B46CB7">
        <w:rPr>
          <w:lang w:val="en-GB"/>
        </w:rPr>
        <w:lastRenderedPageBreak/>
        <w:t>Introduction</w:t>
      </w:r>
      <w:bookmarkEnd w:id="20"/>
    </w:p>
    <w:p w:rsidR="00670278" w:rsidRPr="00A55B47" w:rsidRDefault="00820267" w:rsidP="00A55B47">
      <w:pPr>
        <w:pStyle w:val="Parabase"/>
        <w:rPr>
          <w:lang w:val="en-GB"/>
        </w:rPr>
      </w:pPr>
      <w:r w:rsidRPr="00B46CB7">
        <w:rPr>
          <w:lang w:val="en-GB"/>
        </w:rPr>
        <w:t xml:space="preserve">This guide </w:t>
      </w:r>
      <w:r w:rsidR="00E7570E">
        <w:rPr>
          <w:lang w:val="en-GB"/>
        </w:rPr>
        <w:t>explains</w:t>
      </w:r>
      <w:r w:rsidRPr="00B46CB7">
        <w:rPr>
          <w:lang w:val="en-GB"/>
        </w:rPr>
        <w:t xml:space="preserve"> the legal framework which </w:t>
      </w:r>
      <w:r w:rsidR="000034B2">
        <w:rPr>
          <w:lang w:val="en-GB"/>
        </w:rPr>
        <w:t xml:space="preserve">protects freedom of </w:t>
      </w:r>
      <w:r w:rsidR="00AA2844">
        <w:rPr>
          <w:lang w:val="en-GB"/>
        </w:rPr>
        <w:t xml:space="preserve">expression </w:t>
      </w:r>
      <w:r w:rsidR="000034B2">
        <w:rPr>
          <w:lang w:val="en-GB"/>
        </w:rPr>
        <w:t xml:space="preserve">and </w:t>
      </w:r>
      <w:r w:rsidR="00A55B47">
        <w:rPr>
          <w:lang w:val="en-GB"/>
        </w:rPr>
        <w:t xml:space="preserve">the </w:t>
      </w:r>
      <w:r w:rsidR="000E2457">
        <w:rPr>
          <w:lang w:val="en-GB"/>
        </w:rPr>
        <w:t>circumstances in</w:t>
      </w:r>
      <w:r w:rsidR="00A55B47">
        <w:rPr>
          <w:lang w:val="en-GB"/>
        </w:rPr>
        <w:t xml:space="preserve"> which</w:t>
      </w:r>
      <w:r w:rsidR="000034B2">
        <w:rPr>
          <w:lang w:val="en-GB"/>
        </w:rPr>
        <w:t xml:space="preserve"> </w:t>
      </w:r>
      <w:r w:rsidR="00E3444D">
        <w:rPr>
          <w:lang w:val="en-GB"/>
        </w:rPr>
        <w:t>that freedom may be</w:t>
      </w:r>
      <w:r w:rsidR="000034B2">
        <w:rPr>
          <w:lang w:val="en-GB"/>
        </w:rPr>
        <w:t xml:space="preserve"> </w:t>
      </w:r>
      <w:r w:rsidR="00E3444D">
        <w:rPr>
          <w:lang w:val="en-GB"/>
        </w:rPr>
        <w:t>restricted</w:t>
      </w:r>
      <w:r w:rsidR="007C035C">
        <w:rPr>
          <w:lang w:val="en-GB"/>
        </w:rPr>
        <w:t xml:space="preserve"> in order to prevent violence</w:t>
      </w:r>
      <w:r w:rsidR="00A55B47">
        <w:rPr>
          <w:lang w:val="en-GB"/>
        </w:rPr>
        <w:t>, abuse</w:t>
      </w:r>
      <w:r w:rsidR="007C035C">
        <w:rPr>
          <w:lang w:val="en-GB"/>
        </w:rPr>
        <w:t xml:space="preserve"> or discrimination</w:t>
      </w:r>
      <w:r w:rsidR="000034B2">
        <w:rPr>
          <w:lang w:val="en-GB"/>
        </w:rPr>
        <w:t>. It explores the bound</w:t>
      </w:r>
      <w:r w:rsidR="00C21863" w:rsidRPr="00B46CB7">
        <w:rPr>
          <w:lang w:val="en-GB"/>
        </w:rPr>
        <w:t xml:space="preserve">aries between freedom of expression, unlawful </w:t>
      </w:r>
      <w:r w:rsidR="00AA2844">
        <w:rPr>
          <w:lang w:val="en-GB"/>
        </w:rPr>
        <w:t xml:space="preserve">discrimination and </w:t>
      </w:r>
      <w:r w:rsidR="00CB4757">
        <w:rPr>
          <w:lang w:val="en-GB"/>
        </w:rPr>
        <w:t>harassment</w:t>
      </w:r>
      <w:r w:rsidR="00C21863" w:rsidRPr="00B46CB7">
        <w:rPr>
          <w:lang w:val="en-GB"/>
        </w:rPr>
        <w:t xml:space="preserve">, and hate </w:t>
      </w:r>
      <w:r w:rsidR="00CB4757">
        <w:rPr>
          <w:lang w:val="en-GB"/>
        </w:rPr>
        <w:t>speech</w:t>
      </w:r>
      <w:r w:rsidR="00C21863" w:rsidRPr="00B46CB7">
        <w:rPr>
          <w:lang w:val="en-GB"/>
        </w:rPr>
        <w:t xml:space="preserve">. </w:t>
      </w:r>
      <w:r w:rsidR="00C6421D">
        <w:rPr>
          <w:lang w:val="en-GB"/>
        </w:rPr>
        <w:t>It also considers</w:t>
      </w:r>
      <w:r w:rsidR="00497770">
        <w:rPr>
          <w:lang w:val="en-GB"/>
        </w:rPr>
        <w:t xml:space="preserve"> </w:t>
      </w:r>
      <w:r w:rsidR="00C6421D">
        <w:rPr>
          <w:lang w:val="en-GB"/>
        </w:rPr>
        <w:t>various contexts in which freedom of expression is curtailed.</w:t>
      </w:r>
      <w:r w:rsidR="00497770">
        <w:rPr>
          <w:lang w:val="en-GB"/>
        </w:rPr>
        <w:t xml:space="preserve"> </w:t>
      </w:r>
      <w:r w:rsidR="0039408B">
        <w:rPr>
          <w:lang w:val="en-GB"/>
        </w:rPr>
        <w:t>There are, of course, other aspects of the right to freedom of expression (such as privacy, libel and defamation) which will be covered in future publications.</w:t>
      </w:r>
    </w:p>
    <w:p w:rsidR="008403D0" w:rsidRDefault="000034B2" w:rsidP="00497770">
      <w:pPr>
        <w:pStyle w:val="Parasection"/>
        <w:rPr>
          <w:lang w:val="en-GB"/>
        </w:rPr>
      </w:pPr>
      <w:r>
        <w:rPr>
          <w:lang w:val="en-GB"/>
        </w:rPr>
        <w:t xml:space="preserve">There is </w:t>
      </w:r>
      <w:r w:rsidR="0008321F">
        <w:rPr>
          <w:lang w:val="en-GB"/>
        </w:rPr>
        <w:t xml:space="preserve">considerable </w:t>
      </w:r>
      <w:r>
        <w:rPr>
          <w:lang w:val="en-GB"/>
        </w:rPr>
        <w:t xml:space="preserve">debate </w:t>
      </w:r>
      <w:r w:rsidR="0008321F">
        <w:rPr>
          <w:lang w:val="en-GB"/>
        </w:rPr>
        <w:t xml:space="preserve">at both </w:t>
      </w:r>
      <w:r>
        <w:rPr>
          <w:lang w:val="en-GB"/>
        </w:rPr>
        <w:t>national and international</w:t>
      </w:r>
      <w:r w:rsidR="0008321F">
        <w:rPr>
          <w:lang w:val="en-GB"/>
        </w:rPr>
        <w:t xml:space="preserve"> levels</w:t>
      </w:r>
      <w:r>
        <w:rPr>
          <w:lang w:val="en-GB"/>
        </w:rPr>
        <w:t xml:space="preserve"> </w:t>
      </w:r>
      <w:r w:rsidR="00AA2844">
        <w:rPr>
          <w:lang w:val="en-GB"/>
        </w:rPr>
        <w:t xml:space="preserve">about </w:t>
      </w:r>
      <w:r>
        <w:rPr>
          <w:lang w:val="en-GB"/>
        </w:rPr>
        <w:t xml:space="preserve">what types of </w:t>
      </w:r>
      <w:r w:rsidR="0039408B">
        <w:rPr>
          <w:lang w:val="en-GB"/>
        </w:rPr>
        <w:t xml:space="preserve">contentious </w:t>
      </w:r>
      <w:r>
        <w:rPr>
          <w:lang w:val="en-GB"/>
        </w:rPr>
        <w:t xml:space="preserve">language </w:t>
      </w:r>
      <w:r w:rsidR="000E2457">
        <w:rPr>
          <w:lang w:val="en-GB"/>
        </w:rPr>
        <w:t xml:space="preserve">or communication </w:t>
      </w:r>
      <w:r>
        <w:rPr>
          <w:lang w:val="en-GB"/>
        </w:rPr>
        <w:t>should be</w:t>
      </w:r>
      <w:r w:rsidR="0008321F">
        <w:rPr>
          <w:lang w:val="en-GB"/>
        </w:rPr>
        <w:t xml:space="preserve"> either</w:t>
      </w:r>
      <w:r>
        <w:rPr>
          <w:lang w:val="en-GB"/>
        </w:rPr>
        <w:t xml:space="preserve"> permitted or </w:t>
      </w:r>
      <w:r w:rsidR="00AA2844">
        <w:rPr>
          <w:lang w:val="en-GB"/>
        </w:rPr>
        <w:t>prohibited</w:t>
      </w:r>
      <w:r w:rsidR="0008321F">
        <w:rPr>
          <w:lang w:val="en-GB"/>
        </w:rPr>
        <w:t>.</w:t>
      </w:r>
      <w:r w:rsidR="00497770">
        <w:rPr>
          <w:lang w:val="en-GB"/>
        </w:rPr>
        <w:t xml:space="preserve"> </w:t>
      </w:r>
      <w:r w:rsidR="0008321F">
        <w:rPr>
          <w:lang w:val="en-GB"/>
        </w:rPr>
        <w:t>T</w:t>
      </w:r>
      <w:r>
        <w:rPr>
          <w:lang w:val="en-GB"/>
        </w:rPr>
        <w:t>his is reflected in different levels of protection in different countries.</w:t>
      </w:r>
      <w:r w:rsidR="00C6421D">
        <w:rPr>
          <w:lang w:val="en-GB"/>
        </w:rPr>
        <w:t xml:space="preserve"> Here we set out the legal framework in Great Britain.</w:t>
      </w:r>
    </w:p>
    <w:p w:rsidR="00820267" w:rsidRPr="00B46CB7" w:rsidRDefault="00820267" w:rsidP="007F1A96">
      <w:pPr>
        <w:pStyle w:val="L3Headers"/>
        <w:spacing w:before="240"/>
        <w:rPr>
          <w:rFonts w:eastAsia="ヒラギノ角ゴ Pro W3"/>
          <w:lang w:val="en-GB"/>
        </w:rPr>
      </w:pPr>
      <w:bookmarkStart w:id="21" w:name="_Toc410651244"/>
      <w:r w:rsidRPr="00B46CB7">
        <w:rPr>
          <w:lang w:val="en-GB"/>
        </w:rPr>
        <w:t>Summary of key points</w:t>
      </w:r>
      <w:bookmarkEnd w:id="21"/>
    </w:p>
    <w:p w:rsidR="00820267" w:rsidRPr="00AB00A0" w:rsidRDefault="00005EB6" w:rsidP="00356667">
      <w:pPr>
        <w:pStyle w:val="Bulletsbase"/>
        <w:numPr>
          <w:ilvl w:val="0"/>
          <w:numId w:val="4"/>
        </w:numPr>
      </w:pPr>
      <w:r w:rsidRPr="00B46CB7">
        <w:rPr>
          <w:rFonts w:eastAsia="Helvetica" w:hAnsi="Helvetica"/>
        </w:rPr>
        <w:t xml:space="preserve">Freedom of expression is </w:t>
      </w:r>
      <w:r w:rsidR="0050272A">
        <w:rPr>
          <w:rFonts w:eastAsia="Helvetica" w:hAnsi="Helvetica"/>
        </w:rPr>
        <w:t xml:space="preserve">a fundamental </w:t>
      </w:r>
      <w:r w:rsidR="00C95679">
        <w:rPr>
          <w:rFonts w:eastAsia="Helvetica" w:hAnsi="Helvetica"/>
        </w:rPr>
        <w:t xml:space="preserve">right </w:t>
      </w:r>
      <w:r w:rsidR="0050272A">
        <w:rPr>
          <w:rFonts w:eastAsia="Helvetica" w:hAnsi="Helvetica"/>
        </w:rPr>
        <w:t xml:space="preserve">protected </w:t>
      </w:r>
      <w:r w:rsidR="00C95679">
        <w:rPr>
          <w:rFonts w:eastAsia="Helvetica" w:hAnsi="Helvetica"/>
        </w:rPr>
        <w:t xml:space="preserve">under the Human Rights Act </w:t>
      </w:r>
      <w:r w:rsidR="00AA2844">
        <w:rPr>
          <w:rFonts w:eastAsia="Helvetica" w:hAnsi="Helvetica"/>
        </w:rPr>
        <w:t xml:space="preserve">1998 </w:t>
      </w:r>
      <w:r w:rsidR="0050272A">
        <w:rPr>
          <w:rFonts w:eastAsia="Helvetica" w:hAnsi="Helvetica"/>
        </w:rPr>
        <w:t>by Article 10 of the European Convention on Human Rights</w:t>
      </w:r>
      <w:r w:rsidR="00C95679">
        <w:rPr>
          <w:rFonts w:eastAsia="Helvetica" w:hAnsi="Helvetica"/>
        </w:rPr>
        <w:t xml:space="preserve">. It is also </w:t>
      </w:r>
      <w:r w:rsidR="005B4D31">
        <w:rPr>
          <w:rFonts w:eastAsia="Helvetica" w:hAnsi="Helvetica"/>
        </w:rPr>
        <w:t>protected</w:t>
      </w:r>
      <w:r w:rsidR="00D37794">
        <w:rPr>
          <w:rFonts w:eastAsia="Helvetica" w:hAnsi="Helvetica"/>
        </w:rPr>
        <w:t xml:space="preserve"> under</w:t>
      </w:r>
      <w:r w:rsidR="00C95679">
        <w:rPr>
          <w:rFonts w:eastAsia="Helvetica" w:hAnsi="Helvetica"/>
        </w:rPr>
        <w:t xml:space="preserve"> </w:t>
      </w:r>
      <w:r w:rsidR="00D37794">
        <w:rPr>
          <w:rFonts w:eastAsia="Helvetica" w:hAnsi="Helvetica"/>
        </w:rPr>
        <w:t xml:space="preserve">the </w:t>
      </w:r>
      <w:r w:rsidR="00C95679">
        <w:rPr>
          <w:rFonts w:eastAsia="Helvetica" w:hAnsi="Helvetica"/>
        </w:rPr>
        <w:t>common law</w:t>
      </w:r>
      <w:r w:rsidR="0050272A">
        <w:rPr>
          <w:rFonts w:eastAsia="Helvetica" w:hAnsi="Helvetica"/>
        </w:rPr>
        <w:t>.</w:t>
      </w:r>
    </w:p>
    <w:p w:rsidR="00BE6CF0" w:rsidRPr="00A55B47" w:rsidRDefault="00AA2844" w:rsidP="00BE6CF0">
      <w:pPr>
        <w:pStyle w:val="Bulletsbase"/>
        <w:numPr>
          <w:ilvl w:val="0"/>
          <w:numId w:val="4"/>
        </w:numPr>
      </w:pPr>
      <w:r>
        <w:rPr>
          <w:rFonts w:eastAsia="Helvetica" w:hAnsi="Helvetica"/>
        </w:rPr>
        <w:t>P</w:t>
      </w:r>
      <w:r w:rsidR="0022163D">
        <w:rPr>
          <w:rFonts w:eastAsia="Helvetica" w:hAnsi="Helvetica"/>
        </w:rPr>
        <w:t xml:space="preserve">rotection </w:t>
      </w:r>
      <w:r>
        <w:rPr>
          <w:rFonts w:eastAsia="Helvetica" w:hAnsi="Helvetica"/>
        </w:rPr>
        <w:t xml:space="preserve">under Article 10 </w:t>
      </w:r>
      <w:r w:rsidR="00A56A29">
        <w:rPr>
          <w:rFonts w:eastAsia="Helvetica" w:hAnsi="Helvetica"/>
        </w:rPr>
        <w:t>extends</w:t>
      </w:r>
      <w:r w:rsidR="00131950">
        <w:rPr>
          <w:rFonts w:eastAsia="Helvetica" w:hAnsi="Helvetica"/>
        </w:rPr>
        <w:t xml:space="preserve"> to the expression of views that </w:t>
      </w:r>
      <w:r w:rsidR="00C95679">
        <w:rPr>
          <w:rFonts w:eastAsia="Helvetica" w:hAnsi="Helvetica"/>
        </w:rPr>
        <w:t xml:space="preserve">may </w:t>
      </w:r>
      <w:r w:rsidR="00062CCE">
        <w:rPr>
          <w:rFonts w:eastAsia="Helvetica" w:hAnsi="Helvetica"/>
        </w:rPr>
        <w:t>shock</w:t>
      </w:r>
      <w:r>
        <w:rPr>
          <w:rFonts w:eastAsia="Helvetica" w:hAnsi="Helvetica"/>
        </w:rPr>
        <w:t>,</w:t>
      </w:r>
      <w:r w:rsidR="00062CCE">
        <w:rPr>
          <w:rFonts w:eastAsia="Helvetica" w:hAnsi="Helvetica"/>
        </w:rPr>
        <w:t xml:space="preserve"> disturb </w:t>
      </w:r>
      <w:r>
        <w:rPr>
          <w:rFonts w:eastAsia="Helvetica" w:hAnsi="Helvetica"/>
        </w:rPr>
        <w:t xml:space="preserve">or offend the deeply-held beliefs of </w:t>
      </w:r>
      <w:r w:rsidR="00062CCE">
        <w:rPr>
          <w:rFonts w:eastAsia="Helvetica" w:hAnsi="Helvetica"/>
        </w:rPr>
        <w:t xml:space="preserve">others. </w:t>
      </w:r>
    </w:p>
    <w:p w:rsidR="00BE6CF0" w:rsidRPr="00815D87" w:rsidRDefault="00BE6CF0" w:rsidP="00BE6CF0">
      <w:pPr>
        <w:pStyle w:val="Bulletsbase"/>
        <w:numPr>
          <w:ilvl w:val="0"/>
          <w:numId w:val="4"/>
        </w:numPr>
      </w:pPr>
      <w:r>
        <w:rPr>
          <w:rFonts w:eastAsia="Helvetica" w:hAnsi="Helvetica"/>
        </w:rPr>
        <w:t>Any restrictions on freedom of expression must always be clearly set out in law, necessary in a democratic society for a legitimate aim, and proportionate.</w:t>
      </w:r>
    </w:p>
    <w:p w:rsidR="00062CCE" w:rsidRPr="00A55B47" w:rsidRDefault="003C497B" w:rsidP="00356667">
      <w:pPr>
        <w:pStyle w:val="Bulletsbase"/>
        <w:numPr>
          <w:ilvl w:val="0"/>
          <w:numId w:val="4"/>
        </w:numPr>
      </w:pPr>
      <w:r>
        <w:rPr>
          <w:rFonts w:eastAsia="Helvetica" w:hAnsi="Helvetica"/>
        </w:rPr>
        <w:t>Subject to these conditions</w:t>
      </w:r>
      <w:r w:rsidR="00062CCE">
        <w:rPr>
          <w:rFonts w:eastAsia="Helvetica" w:hAnsi="Helvetica"/>
        </w:rPr>
        <w:t xml:space="preserve">, freedom of expression </w:t>
      </w:r>
      <w:r>
        <w:rPr>
          <w:rFonts w:eastAsia="Helvetica" w:hAnsi="Helvetica"/>
        </w:rPr>
        <w:t xml:space="preserve">may be limited in some circumstances and in particular </w:t>
      </w:r>
      <w:r w:rsidR="00062CCE">
        <w:rPr>
          <w:rFonts w:eastAsia="Helvetica" w:hAnsi="Helvetica"/>
        </w:rPr>
        <w:t xml:space="preserve">does not protect statements that </w:t>
      </w:r>
      <w:r w:rsidR="00AA2844">
        <w:rPr>
          <w:rFonts w:eastAsia="Helvetica" w:hAnsi="Helvetica"/>
        </w:rPr>
        <w:t xml:space="preserve">discriminate against or harass, or </w:t>
      </w:r>
      <w:r w:rsidR="00062CCE">
        <w:rPr>
          <w:rFonts w:eastAsia="Helvetica" w:hAnsi="Helvetica"/>
        </w:rPr>
        <w:t>incite violence</w:t>
      </w:r>
      <w:r w:rsidR="00AA2844">
        <w:rPr>
          <w:rFonts w:eastAsia="Helvetica" w:hAnsi="Helvetica"/>
        </w:rPr>
        <w:t xml:space="preserve"> or</w:t>
      </w:r>
      <w:r w:rsidR="00062CCE">
        <w:rPr>
          <w:rFonts w:eastAsia="Helvetica" w:hAnsi="Helvetica"/>
        </w:rPr>
        <w:t xml:space="preserve"> hatred against</w:t>
      </w:r>
      <w:r w:rsidR="00AA2844">
        <w:rPr>
          <w:rFonts w:eastAsia="Helvetica" w:hAnsi="Helvetica"/>
        </w:rPr>
        <w:t>,</w:t>
      </w:r>
      <w:r w:rsidR="00062CCE">
        <w:rPr>
          <w:rFonts w:eastAsia="Helvetica" w:hAnsi="Helvetica"/>
        </w:rPr>
        <w:t xml:space="preserve"> other persons and groups, particularly by reference to their </w:t>
      </w:r>
      <w:r w:rsidR="00AA2844">
        <w:rPr>
          <w:rFonts w:eastAsia="Helvetica" w:hAnsi="Helvetica"/>
        </w:rPr>
        <w:t>race</w:t>
      </w:r>
      <w:r w:rsidR="00062CCE">
        <w:rPr>
          <w:rFonts w:eastAsia="Helvetica" w:hAnsi="Helvetica"/>
        </w:rPr>
        <w:t>, religious belief, gender</w:t>
      </w:r>
      <w:r w:rsidR="00AA2844">
        <w:rPr>
          <w:rFonts w:eastAsia="Helvetica" w:hAnsi="Helvetica"/>
        </w:rPr>
        <w:t xml:space="preserve"> or</w:t>
      </w:r>
      <w:r w:rsidR="00062CCE">
        <w:rPr>
          <w:rFonts w:eastAsia="Helvetica" w:hAnsi="Helvetica"/>
        </w:rPr>
        <w:t xml:space="preserve"> sexual orientation</w:t>
      </w:r>
      <w:r w:rsidR="0054025A">
        <w:rPr>
          <w:rFonts w:eastAsia="Helvetica" w:hAnsi="Helvetica"/>
        </w:rPr>
        <w:t>.</w:t>
      </w:r>
    </w:p>
    <w:p w:rsidR="00486EF5" w:rsidRPr="00A55B47" w:rsidRDefault="000E2457" w:rsidP="00356667">
      <w:pPr>
        <w:pStyle w:val="Bulletsbase"/>
        <w:numPr>
          <w:ilvl w:val="0"/>
          <w:numId w:val="4"/>
        </w:numPr>
      </w:pPr>
      <w:r>
        <w:rPr>
          <w:rFonts w:eastAsia="Helvetica" w:hAnsi="Helvetica"/>
        </w:rPr>
        <w:t xml:space="preserve">No one can rely on the human right to freedom of expression to limit or undermine the human rights of others. </w:t>
      </w:r>
    </w:p>
    <w:p w:rsidR="00660C59" w:rsidRDefault="00D93614" w:rsidP="00660C59">
      <w:pPr>
        <w:pStyle w:val="Bulletsbase"/>
        <w:numPr>
          <w:ilvl w:val="0"/>
          <w:numId w:val="4"/>
        </w:numPr>
      </w:pPr>
      <w:r>
        <w:rPr>
          <w:rFonts w:eastAsia="Helvetica" w:hAnsi="Helvetica"/>
        </w:rPr>
        <w:t>It is not always easy to draw t</w:t>
      </w:r>
      <w:r w:rsidR="00660C59">
        <w:rPr>
          <w:rFonts w:eastAsia="Helvetica" w:hAnsi="Helvetica"/>
        </w:rPr>
        <w:t xml:space="preserve">he boundary between </w:t>
      </w:r>
      <w:r w:rsidR="000E2457">
        <w:rPr>
          <w:rFonts w:eastAsia="Helvetica" w:hAnsi="Helvetica"/>
        </w:rPr>
        <w:t xml:space="preserve">expressing </w:t>
      </w:r>
      <w:r w:rsidR="00660C59">
        <w:rPr>
          <w:rFonts w:eastAsia="Helvetica" w:hAnsi="Helvetica"/>
        </w:rPr>
        <w:t xml:space="preserve">intolerant or offensive views </w:t>
      </w:r>
      <w:r w:rsidR="0055120B">
        <w:rPr>
          <w:rFonts w:eastAsia="Helvetica" w:hAnsi="Helvetica"/>
        </w:rPr>
        <w:t xml:space="preserve">(which are </w:t>
      </w:r>
      <w:r w:rsidR="000E2457">
        <w:rPr>
          <w:rFonts w:eastAsia="Helvetica" w:hAnsi="Helvetica"/>
        </w:rPr>
        <w:t xml:space="preserve">afforded protection </w:t>
      </w:r>
      <w:r w:rsidR="0055120B">
        <w:rPr>
          <w:rFonts w:eastAsia="Helvetica" w:hAnsi="Helvetica"/>
        </w:rPr>
        <w:t xml:space="preserve">under Article 10) </w:t>
      </w:r>
      <w:r w:rsidR="00660C59">
        <w:rPr>
          <w:rFonts w:eastAsia="Helvetica" w:hAnsi="Helvetica"/>
        </w:rPr>
        <w:t>and ha</w:t>
      </w:r>
      <w:r w:rsidR="0054025A">
        <w:rPr>
          <w:rFonts w:eastAsia="Helvetica" w:hAnsi="Helvetica"/>
        </w:rPr>
        <w:t>te</w:t>
      </w:r>
      <w:r w:rsidR="00660C59">
        <w:rPr>
          <w:rFonts w:eastAsia="Helvetica" w:hAnsi="Helvetica"/>
        </w:rPr>
        <w:t xml:space="preserve"> speech</w:t>
      </w:r>
      <w:r w:rsidR="0055120B">
        <w:rPr>
          <w:rFonts w:eastAsia="Helvetica" w:hAnsi="Helvetica"/>
        </w:rPr>
        <w:t xml:space="preserve"> or other very offensive </w:t>
      </w:r>
      <w:r w:rsidR="000E2457">
        <w:rPr>
          <w:rFonts w:eastAsia="Helvetica" w:hAnsi="Helvetica"/>
        </w:rPr>
        <w:t xml:space="preserve">communication </w:t>
      </w:r>
      <w:r w:rsidR="0055120B">
        <w:rPr>
          <w:rFonts w:eastAsia="Helvetica" w:hAnsi="Helvetica"/>
        </w:rPr>
        <w:t>so serious that it is not so protected</w:t>
      </w:r>
      <w:r w:rsidR="00660C59">
        <w:rPr>
          <w:rFonts w:eastAsia="Helvetica" w:hAnsi="Helvetica"/>
        </w:rPr>
        <w:t xml:space="preserve">. </w:t>
      </w:r>
      <w:r w:rsidR="000E2457">
        <w:rPr>
          <w:rFonts w:eastAsia="Helvetica" w:hAnsi="Helvetica"/>
        </w:rPr>
        <w:t>F</w:t>
      </w:r>
      <w:r w:rsidR="00660C59">
        <w:rPr>
          <w:rFonts w:eastAsia="Helvetica" w:hAnsi="Helvetica"/>
        </w:rPr>
        <w:t>actors likely to be relevant</w:t>
      </w:r>
      <w:r w:rsidR="000E2457">
        <w:rPr>
          <w:rFonts w:eastAsia="Helvetica" w:hAnsi="Helvetica"/>
        </w:rPr>
        <w:t xml:space="preserve"> in making the distinction will include </w:t>
      </w:r>
      <w:r w:rsidR="00660C59">
        <w:rPr>
          <w:rFonts w:eastAsia="Helvetica" w:hAnsi="Helvetica"/>
        </w:rPr>
        <w:t xml:space="preserve">the intention of the person making the statement, the context in which they </w:t>
      </w:r>
      <w:r w:rsidR="000E2457">
        <w:rPr>
          <w:rFonts w:eastAsia="Helvetica" w:hAnsi="Helvetica"/>
        </w:rPr>
        <w:lastRenderedPageBreak/>
        <w:t xml:space="preserve">make </w:t>
      </w:r>
      <w:r w:rsidR="00660C59">
        <w:rPr>
          <w:rFonts w:eastAsia="Helvetica" w:hAnsi="Helvetica"/>
        </w:rPr>
        <w:t xml:space="preserve">it, the intended audience, and </w:t>
      </w:r>
      <w:r w:rsidR="00660C59" w:rsidRPr="00660C59">
        <w:rPr>
          <w:rFonts w:eastAsia="Helvetica" w:hAnsi="Helvetica"/>
        </w:rPr>
        <w:t xml:space="preserve">the particular words </w:t>
      </w:r>
      <w:r w:rsidR="007121FF">
        <w:rPr>
          <w:rFonts w:eastAsia="Helvetica" w:hAnsi="Helvetica"/>
        </w:rPr>
        <w:t>and form of communication</w:t>
      </w:r>
      <w:r w:rsidR="00660C59" w:rsidRPr="00660C59">
        <w:rPr>
          <w:rFonts w:eastAsia="Helvetica" w:hAnsi="Helvetica"/>
        </w:rPr>
        <w:t>.</w:t>
      </w:r>
    </w:p>
    <w:p w:rsidR="00BE6CF0" w:rsidRDefault="00BE6CF0" w:rsidP="00BE6CF0">
      <w:pPr>
        <w:pStyle w:val="Bulletsbase"/>
        <w:numPr>
          <w:ilvl w:val="0"/>
          <w:numId w:val="4"/>
        </w:numPr>
      </w:pPr>
      <w:r>
        <w:t xml:space="preserve">Freedom of expression is protected more strongly in some contexts than others. In particular, a wide degree of tolerance is accorded to political speech and debate during election campaigns. </w:t>
      </w:r>
    </w:p>
    <w:p w:rsidR="003B4E52" w:rsidRDefault="00BE6CF0" w:rsidP="00356667">
      <w:pPr>
        <w:pStyle w:val="Bulletsbase"/>
        <w:numPr>
          <w:ilvl w:val="0"/>
          <w:numId w:val="4"/>
        </w:numPr>
      </w:pPr>
      <w:r>
        <w:t>It is nonetheless a criminal offence to stir up hatred on racial or religious grounds or on the ground of sexual orientation. Offensive or insulting language may also constitute harassment</w:t>
      </w:r>
      <w:r w:rsidR="0054025A">
        <w:t>, either under the Equality Act 2010, or if directed at an individual under the</w:t>
      </w:r>
      <w:r w:rsidR="00447BEA">
        <w:t xml:space="preserve"> Protection from Harassment Act</w:t>
      </w:r>
      <w:r w:rsidR="00457197">
        <w:t>.</w:t>
      </w:r>
    </w:p>
    <w:p w:rsidR="00BE6CF0" w:rsidRDefault="00BE6CF0" w:rsidP="00356667">
      <w:pPr>
        <w:pStyle w:val="Bulletsbase"/>
        <w:numPr>
          <w:ilvl w:val="0"/>
          <w:numId w:val="4"/>
        </w:numPr>
      </w:pPr>
      <w:r>
        <w:t>In addition to the criminal law, there are a number of different contexts in which the law provides additional protection against offensive or harassing conduct</w:t>
      </w:r>
      <w:r w:rsidR="003C497B">
        <w:t xml:space="preserve">. These contexts include </w:t>
      </w:r>
      <w:r>
        <w:t>employment, service delivery and education.</w:t>
      </w:r>
    </w:p>
    <w:p w:rsidR="008403D0" w:rsidRDefault="00BE6CF0" w:rsidP="00356667">
      <w:pPr>
        <w:pStyle w:val="Bulletsbase"/>
        <w:numPr>
          <w:ilvl w:val="0"/>
          <w:numId w:val="4"/>
        </w:numPr>
      </w:pPr>
      <w:r>
        <w:t>Public bodies must respect the right</w:t>
      </w:r>
      <w:r w:rsidR="00055CF9">
        <w:t>s</w:t>
      </w:r>
      <w:r>
        <w:t xml:space="preserve"> to </w:t>
      </w:r>
      <w:r w:rsidR="00055CF9">
        <w:t xml:space="preserve">both </w:t>
      </w:r>
      <w:r>
        <w:t>freedom of expression and freedom from discrimination. They are also subject to particular</w:t>
      </w:r>
      <w:r w:rsidR="008403D0">
        <w:t xml:space="preserve"> duties </w:t>
      </w:r>
      <w:r w:rsidR="00632839">
        <w:t>which require</w:t>
      </w:r>
      <w:r w:rsidR="008403D0">
        <w:t xml:space="preserve"> </w:t>
      </w:r>
      <w:r>
        <w:t xml:space="preserve">them </w:t>
      </w:r>
      <w:r w:rsidR="008403D0">
        <w:t xml:space="preserve">to </w:t>
      </w:r>
      <w:r w:rsidR="00055CF9">
        <w:t xml:space="preserve">have due regard to the need to </w:t>
      </w:r>
      <w:r w:rsidR="008403D0">
        <w:t xml:space="preserve">promote good relations between different </w:t>
      </w:r>
      <w:r w:rsidR="007121FF">
        <w:t>communities protected by equality law. This may require them actively</w:t>
      </w:r>
      <w:r w:rsidR="00E40ABB">
        <w:t xml:space="preserve"> to</w:t>
      </w:r>
      <w:r w:rsidR="007121FF">
        <w:t xml:space="preserve"> </w:t>
      </w:r>
      <w:r w:rsidR="008403D0">
        <w:t xml:space="preserve">challenge the use of offensive </w:t>
      </w:r>
      <w:r w:rsidR="007121FF">
        <w:t>communication</w:t>
      </w:r>
      <w:r w:rsidR="008403D0">
        <w:t>.</w:t>
      </w:r>
    </w:p>
    <w:p w:rsidR="00497770" w:rsidRPr="00B46CB7" w:rsidRDefault="00497770" w:rsidP="00497770">
      <w:pPr>
        <w:pStyle w:val="Bulletsbase"/>
        <w:numPr>
          <w:ilvl w:val="0"/>
          <w:numId w:val="0"/>
        </w:numPr>
        <w:ind w:left="720"/>
      </w:pPr>
    </w:p>
    <w:p w:rsidR="005B4D31" w:rsidRDefault="005B4D31" w:rsidP="00F57DBF">
      <w:pPr>
        <w:pStyle w:val="L3Headers"/>
        <w:spacing w:before="240"/>
        <w:rPr>
          <w:lang w:val="en-GB"/>
        </w:rPr>
      </w:pPr>
      <w:bookmarkStart w:id="22" w:name="_Toc410651245"/>
      <w:r>
        <w:rPr>
          <w:lang w:val="en-GB"/>
        </w:rPr>
        <w:t>Article 10 of the European Convention on Human Rights</w:t>
      </w:r>
      <w:bookmarkEnd w:id="22"/>
    </w:p>
    <w:p w:rsidR="005B4D31" w:rsidRPr="00154C01" w:rsidRDefault="00CF654D" w:rsidP="00E05E0C">
      <w:pPr>
        <w:pStyle w:val="ListParagraph"/>
        <w:numPr>
          <w:ilvl w:val="0"/>
          <w:numId w:val="29"/>
        </w:numPr>
        <w:shd w:val="clear" w:color="auto" w:fill="FDE9D9" w:themeFill="accent6" w:themeFillTint="33"/>
        <w:spacing w:before="240" w:line="360" w:lineRule="atLeast"/>
        <w:rPr>
          <w:rFonts w:ascii="Arial" w:hAnsi="Arial" w:cs="Arial"/>
          <w:color w:val="000000"/>
          <w:lang w:eastAsia="en-GB"/>
        </w:rPr>
      </w:pPr>
      <w:r w:rsidRPr="00CF654D">
        <w:rPr>
          <w:rFonts w:ascii="Arial" w:hAnsi="Arial" w:cs="Arial"/>
          <w:color w:val="000000"/>
          <w:lang w:eastAsia="en-GB"/>
        </w:rPr>
        <w:t>Everyone has the right to freedom of expression. This right shall include freedom to hold opinions and to receive and impart information and ideas without interference by public authority and regardless of frontiers. This Article shall not prevent States from requiring the licensing of broadcasting, television or cinema enterprises.</w:t>
      </w:r>
      <w:r w:rsidRPr="00CF654D">
        <w:rPr>
          <w:rFonts w:ascii="Arial" w:hAnsi="Arial" w:cs="Arial"/>
          <w:b/>
          <w:bCs/>
          <w:vanish/>
          <w:color w:val="FFFFFF"/>
          <w:shd w:val="clear" w:color="auto" w:fill="660066"/>
          <w:lang w:eastAsia="en-GB"/>
        </w:rPr>
        <w:t>E+W+S+N.I.</w:t>
      </w:r>
    </w:p>
    <w:p w:rsidR="005B4D31" w:rsidRPr="00154C01" w:rsidRDefault="00CF654D" w:rsidP="00C715D5">
      <w:pPr>
        <w:pStyle w:val="ListParagraph"/>
        <w:numPr>
          <w:ilvl w:val="0"/>
          <w:numId w:val="29"/>
        </w:numPr>
        <w:shd w:val="clear" w:color="auto" w:fill="FDE9D9" w:themeFill="accent6" w:themeFillTint="33"/>
        <w:spacing w:before="240" w:line="360" w:lineRule="atLeast"/>
        <w:rPr>
          <w:rFonts w:ascii="Arial" w:hAnsi="Arial" w:cs="Arial"/>
          <w:color w:val="000000"/>
          <w:lang w:eastAsia="en-GB"/>
        </w:rPr>
      </w:pPr>
      <w:r w:rsidRPr="00CF654D">
        <w:rPr>
          <w:rFonts w:ascii="Arial" w:hAnsi="Arial" w:cs="Arial"/>
          <w:color w:val="000000"/>
          <w:lang w:eastAsia="en-GB"/>
        </w:rPr>
        <w:t>The exercise of these freedoms, since it carries with it duties and responsibilities, may be subject to such formalities, conditions, restrictions or penalties as are prescribed by law and are necessary in a democratic society, in the interests of national security, territorial integrity or public safety, for the prevention of disorder or crime, for the protection of health or morals, for the protection of the reputation or rights of others, for preventing the disclosure of information received in confidence, or for maintaining the authority and impartiality of the judiciary.</w:t>
      </w:r>
    </w:p>
    <w:p w:rsidR="00876A76" w:rsidRDefault="00876A76" w:rsidP="005B4D31">
      <w:pPr>
        <w:shd w:val="clear" w:color="auto" w:fill="FFFFFF"/>
        <w:spacing w:after="120" w:line="360" w:lineRule="atLeast"/>
        <w:rPr>
          <w:rFonts w:ascii="Arial" w:hAnsi="Arial" w:cs="Arial"/>
          <w:i/>
          <w:color w:val="000000"/>
          <w:lang w:eastAsia="en-GB"/>
        </w:rPr>
      </w:pPr>
    </w:p>
    <w:p w:rsidR="006749E2" w:rsidRDefault="006749E2" w:rsidP="005B4D31">
      <w:pPr>
        <w:shd w:val="clear" w:color="auto" w:fill="FFFFFF"/>
        <w:spacing w:after="120" w:line="360" w:lineRule="atLeast"/>
        <w:rPr>
          <w:rFonts w:ascii="Arial" w:hAnsi="Arial" w:cs="Arial"/>
          <w:i/>
          <w:color w:val="000000"/>
          <w:lang w:eastAsia="en-GB"/>
        </w:rPr>
      </w:pPr>
    </w:p>
    <w:p w:rsidR="00820267" w:rsidRPr="00B46CB7" w:rsidRDefault="00C6421D" w:rsidP="007F1A96">
      <w:pPr>
        <w:pStyle w:val="L3Headers"/>
        <w:spacing w:before="240"/>
        <w:rPr>
          <w:lang w:val="en-GB"/>
        </w:rPr>
      </w:pPr>
      <w:bookmarkStart w:id="23" w:name="_Toc410651246"/>
      <w:r>
        <w:rPr>
          <w:lang w:val="en-GB"/>
        </w:rPr>
        <w:lastRenderedPageBreak/>
        <w:t>The legal basis for f</w:t>
      </w:r>
      <w:r w:rsidR="00E7570E">
        <w:rPr>
          <w:lang w:val="en-GB"/>
        </w:rPr>
        <w:t>reedom of expression</w:t>
      </w:r>
      <w:bookmarkEnd w:id="23"/>
    </w:p>
    <w:p w:rsidR="008D22FB" w:rsidRDefault="00101EEC">
      <w:pPr>
        <w:pStyle w:val="Parabase"/>
        <w:rPr>
          <w:lang w:val="en-GB"/>
        </w:rPr>
      </w:pPr>
      <w:r w:rsidRPr="00B46CB7">
        <w:rPr>
          <w:lang w:val="en-GB"/>
        </w:rPr>
        <w:t xml:space="preserve">Freedom of expression is </w:t>
      </w:r>
      <w:r w:rsidR="00005EB6" w:rsidRPr="00B46CB7">
        <w:rPr>
          <w:lang w:val="en-GB"/>
        </w:rPr>
        <w:t xml:space="preserve">a fundamental </w:t>
      </w:r>
      <w:r w:rsidR="00182DB7">
        <w:rPr>
          <w:lang w:val="en-GB"/>
        </w:rPr>
        <w:t>right</w:t>
      </w:r>
      <w:r w:rsidR="00182DB7" w:rsidRPr="00B46CB7">
        <w:rPr>
          <w:lang w:val="en-GB"/>
        </w:rPr>
        <w:t xml:space="preserve"> </w:t>
      </w:r>
      <w:r w:rsidR="007910E6">
        <w:rPr>
          <w:lang w:val="en-GB"/>
        </w:rPr>
        <w:t xml:space="preserve">under </w:t>
      </w:r>
      <w:r w:rsidR="00744741">
        <w:rPr>
          <w:lang w:val="en-GB"/>
        </w:rPr>
        <w:t>British</w:t>
      </w:r>
      <w:r w:rsidR="007910E6">
        <w:rPr>
          <w:lang w:val="en-GB"/>
        </w:rPr>
        <w:t xml:space="preserve"> law,</w:t>
      </w:r>
      <w:r w:rsidR="00744741">
        <w:rPr>
          <w:lang w:val="en-GB"/>
        </w:rPr>
        <w:t xml:space="preserve"> as well as under</w:t>
      </w:r>
      <w:r w:rsidR="007910E6">
        <w:rPr>
          <w:lang w:val="en-GB"/>
        </w:rPr>
        <w:t xml:space="preserve"> E</w:t>
      </w:r>
      <w:r w:rsidR="00055CF9">
        <w:rPr>
          <w:lang w:val="en-GB"/>
        </w:rPr>
        <w:t xml:space="preserve">uropean </w:t>
      </w:r>
      <w:r w:rsidR="007910E6">
        <w:rPr>
          <w:lang w:val="en-GB"/>
        </w:rPr>
        <w:t>U</w:t>
      </w:r>
      <w:r w:rsidR="00055CF9">
        <w:rPr>
          <w:lang w:val="en-GB"/>
        </w:rPr>
        <w:t>nion</w:t>
      </w:r>
      <w:r w:rsidR="007910E6">
        <w:rPr>
          <w:lang w:val="en-GB"/>
        </w:rPr>
        <w:t xml:space="preserve"> law and international human rights law. </w:t>
      </w:r>
      <w:r w:rsidR="00A63E7D">
        <w:rPr>
          <w:lang w:val="en-GB"/>
        </w:rPr>
        <w:t>In particular, freedom of expression</w:t>
      </w:r>
      <w:r w:rsidR="007910E6">
        <w:rPr>
          <w:lang w:val="en-GB"/>
        </w:rPr>
        <w:t xml:space="preserve"> is protected by </w:t>
      </w:r>
      <w:r w:rsidRPr="00B46CB7">
        <w:rPr>
          <w:lang w:val="en-GB"/>
        </w:rPr>
        <w:t xml:space="preserve">Article 10 of the </w:t>
      </w:r>
      <w:r w:rsidR="005A0126" w:rsidRPr="00B46CB7">
        <w:rPr>
          <w:lang w:val="en-GB"/>
        </w:rPr>
        <w:t xml:space="preserve">European </w:t>
      </w:r>
      <w:r w:rsidRPr="00B46CB7">
        <w:rPr>
          <w:lang w:val="en-GB"/>
        </w:rPr>
        <w:t>Convention</w:t>
      </w:r>
      <w:r w:rsidR="005A0126" w:rsidRPr="00B46CB7">
        <w:rPr>
          <w:lang w:val="en-GB"/>
        </w:rPr>
        <w:t xml:space="preserve"> on Human Rights</w:t>
      </w:r>
      <w:r w:rsidR="00A63E7D">
        <w:rPr>
          <w:lang w:val="en-GB"/>
        </w:rPr>
        <w:t>. This is</w:t>
      </w:r>
      <w:r w:rsidR="002C0650" w:rsidRPr="002C0650">
        <w:rPr>
          <w:lang w:val="en-GB"/>
        </w:rPr>
        <w:t xml:space="preserve"> part of the law of England</w:t>
      </w:r>
      <w:r w:rsidR="002C0650">
        <w:rPr>
          <w:lang w:val="en-GB"/>
        </w:rPr>
        <w:t>, Scotland</w:t>
      </w:r>
      <w:r w:rsidR="002C0650" w:rsidRPr="002C0650">
        <w:rPr>
          <w:lang w:val="en-GB"/>
        </w:rPr>
        <w:t xml:space="preserve"> and Wales because it is included in the Human Rights Act 1998</w:t>
      </w:r>
      <w:r w:rsidR="00154C01">
        <w:rPr>
          <w:lang w:val="en-GB"/>
        </w:rPr>
        <w:t>.</w:t>
      </w:r>
      <w:r w:rsidR="008D22FB">
        <w:rPr>
          <w:rStyle w:val="FootnoteReference"/>
          <w:lang w:val="en-GB"/>
        </w:rPr>
        <w:footnoteReference w:id="1"/>
      </w:r>
      <w:r w:rsidR="00182DB7">
        <w:rPr>
          <w:lang w:val="en-GB"/>
        </w:rPr>
        <w:t xml:space="preserve"> The right to freedom of expression is also a fundamental common law right.</w:t>
      </w:r>
      <w:r w:rsidR="00182DB7">
        <w:rPr>
          <w:rStyle w:val="FootnoteReference"/>
          <w:lang w:val="en-GB"/>
        </w:rPr>
        <w:footnoteReference w:id="2"/>
      </w:r>
    </w:p>
    <w:p w:rsidR="008D22FB" w:rsidRDefault="006A6BBC">
      <w:pPr>
        <w:pStyle w:val="Parabase"/>
        <w:rPr>
          <w:lang w:val="en-GB"/>
        </w:rPr>
      </w:pPr>
      <w:r>
        <w:rPr>
          <w:lang w:val="en-GB"/>
        </w:rPr>
        <w:t xml:space="preserve">Freedom of expression </w:t>
      </w:r>
      <w:r w:rsidR="00E7570E">
        <w:rPr>
          <w:lang w:val="en-GB"/>
        </w:rPr>
        <w:t xml:space="preserve">applies to everyone, and means that people are generally free to talk about or write about </w:t>
      </w:r>
      <w:r w:rsidR="00055CF9">
        <w:rPr>
          <w:lang w:val="en-GB"/>
        </w:rPr>
        <w:t xml:space="preserve">or otherwise express </w:t>
      </w:r>
      <w:r w:rsidR="00E7570E">
        <w:rPr>
          <w:lang w:val="en-GB"/>
        </w:rPr>
        <w:t>their ideas and opinions</w:t>
      </w:r>
      <w:r w:rsidR="002C0650">
        <w:rPr>
          <w:lang w:val="en-GB"/>
        </w:rPr>
        <w:t xml:space="preserve"> without any censorship or interference from the state, subject only to </w:t>
      </w:r>
      <w:r w:rsidR="006669E9">
        <w:rPr>
          <w:lang w:val="en-GB"/>
        </w:rPr>
        <w:t xml:space="preserve">the </w:t>
      </w:r>
      <w:r w:rsidR="002C0650">
        <w:rPr>
          <w:lang w:val="en-GB"/>
        </w:rPr>
        <w:t>narrow exceptions</w:t>
      </w:r>
      <w:r w:rsidR="002145A2">
        <w:rPr>
          <w:lang w:val="en-GB"/>
        </w:rPr>
        <w:t xml:space="preserve"> </w:t>
      </w:r>
      <w:r w:rsidR="006669E9">
        <w:rPr>
          <w:lang w:val="en-GB"/>
        </w:rPr>
        <w:t>set out below.</w:t>
      </w:r>
      <w:r w:rsidR="00497770">
        <w:rPr>
          <w:lang w:val="en-GB"/>
        </w:rPr>
        <w:t xml:space="preserve"> </w:t>
      </w:r>
      <w:r w:rsidR="000D2F9C">
        <w:rPr>
          <w:lang w:val="en-GB"/>
        </w:rPr>
        <w:t>Those who enjoy the right</w:t>
      </w:r>
      <w:r w:rsidR="00497770">
        <w:rPr>
          <w:lang w:val="en-GB"/>
        </w:rPr>
        <w:t xml:space="preserve"> </w:t>
      </w:r>
      <w:r w:rsidR="00457197">
        <w:rPr>
          <w:lang w:val="en-GB"/>
        </w:rPr>
        <w:t xml:space="preserve">include </w:t>
      </w:r>
      <w:r w:rsidR="000C5FBB">
        <w:rPr>
          <w:lang w:val="en-GB"/>
        </w:rPr>
        <w:t>corporations, media organisations and campaign groups.</w:t>
      </w:r>
      <w:r w:rsidR="00497770">
        <w:rPr>
          <w:lang w:val="en-GB"/>
        </w:rPr>
        <w:t xml:space="preserve"> </w:t>
      </w:r>
    </w:p>
    <w:p w:rsidR="00A63E7D" w:rsidRDefault="00EB64A6" w:rsidP="00DE1EAF">
      <w:pPr>
        <w:pStyle w:val="Parabase"/>
        <w:rPr>
          <w:lang w:val="en-GB"/>
        </w:rPr>
      </w:pPr>
      <w:r>
        <w:rPr>
          <w:lang w:val="en-GB"/>
        </w:rPr>
        <w:t xml:space="preserve">Generally Article 10 </w:t>
      </w:r>
      <w:r w:rsidR="007910E6">
        <w:rPr>
          <w:lang w:val="en-GB"/>
        </w:rPr>
        <w:t xml:space="preserve">prohibits </w:t>
      </w:r>
      <w:r w:rsidR="00AD6BE5" w:rsidRPr="00F57DBF">
        <w:rPr>
          <w:lang w:val="en-GB"/>
        </w:rPr>
        <w:t>the state</w:t>
      </w:r>
      <w:r>
        <w:rPr>
          <w:lang w:val="en-GB"/>
        </w:rPr>
        <w:t xml:space="preserve"> </w:t>
      </w:r>
      <w:r w:rsidR="007910E6">
        <w:rPr>
          <w:lang w:val="en-GB"/>
        </w:rPr>
        <w:t>from</w:t>
      </w:r>
      <w:r>
        <w:rPr>
          <w:lang w:val="en-GB"/>
        </w:rPr>
        <w:t xml:space="preserve"> interfer</w:t>
      </w:r>
      <w:r w:rsidR="007910E6">
        <w:rPr>
          <w:lang w:val="en-GB"/>
        </w:rPr>
        <w:t>ing</w:t>
      </w:r>
      <w:r>
        <w:rPr>
          <w:lang w:val="en-GB"/>
        </w:rPr>
        <w:t xml:space="preserve"> with freedom of expression</w:t>
      </w:r>
      <w:r w:rsidR="00632839">
        <w:rPr>
          <w:lang w:val="en-GB"/>
        </w:rPr>
        <w:t>.</w:t>
      </w:r>
      <w:r w:rsidR="00497770">
        <w:rPr>
          <w:lang w:val="en-GB"/>
        </w:rPr>
        <w:t xml:space="preserve"> </w:t>
      </w:r>
      <w:r w:rsidR="00632839">
        <w:rPr>
          <w:lang w:val="en-GB"/>
        </w:rPr>
        <w:t xml:space="preserve">This </w:t>
      </w:r>
      <w:r w:rsidR="0010213E">
        <w:rPr>
          <w:lang w:val="en-GB"/>
        </w:rPr>
        <w:t>would prevent, for example, the government attempting to</w:t>
      </w:r>
      <w:r w:rsidR="007A3207">
        <w:rPr>
          <w:lang w:val="en-GB"/>
        </w:rPr>
        <w:t xml:space="preserve"> </w:t>
      </w:r>
      <w:r w:rsidR="00CD1488">
        <w:rPr>
          <w:lang w:val="en-GB"/>
        </w:rPr>
        <w:t>ban</w:t>
      </w:r>
      <w:r w:rsidR="007A3207">
        <w:rPr>
          <w:lang w:val="en-GB"/>
        </w:rPr>
        <w:t xml:space="preserve"> </w:t>
      </w:r>
      <w:r w:rsidR="008D22FB">
        <w:rPr>
          <w:lang w:val="en-GB"/>
        </w:rPr>
        <w:t>particular</w:t>
      </w:r>
      <w:r w:rsidR="007A3207">
        <w:rPr>
          <w:lang w:val="en-GB"/>
        </w:rPr>
        <w:t xml:space="preserve"> forms of political or artistic expression</w:t>
      </w:r>
      <w:r>
        <w:rPr>
          <w:lang w:val="en-GB"/>
        </w:rPr>
        <w:t xml:space="preserve">. </w:t>
      </w:r>
      <w:r w:rsidR="00B9525A">
        <w:rPr>
          <w:lang w:val="en-GB"/>
        </w:rPr>
        <w:t xml:space="preserve">The prohibition </w:t>
      </w:r>
      <w:r w:rsidR="007910E6">
        <w:rPr>
          <w:lang w:val="en-GB"/>
        </w:rPr>
        <w:t xml:space="preserve">is not limited to the government but also includes all public bodies </w:t>
      </w:r>
      <w:r w:rsidR="00A63E7D">
        <w:rPr>
          <w:lang w:val="en-GB"/>
        </w:rPr>
        <w:t xml:space="preserve">such as local authorities, schools and universities. </w:t>
      </w:r>
    </w:p>
    <w:p w:rsidR="007910E6" w:rsidRDefault="007910E6" w:rsidP="00DE1EAF">
      <w:pPr>
        <w:pStyle w:val="Parabase"/>
        <w:rPr>
          <w:lang w:val="en-GB"/>
        </w:rPr>
      </w:pPr>
      <w:r>
        <w:rPr>
          <w:lang w:val="en-GB"/>
        </w:rPr>
        <w:t xml:space="preserve">For the most part, Article 10 does not apply to decisions taken by companies or </w:t>
      </w:r>
      <w:r w:rsidR="00A63E7D">
        <w:rPr>
          <w:lang w:val="en-GB"/>
        </w:rPr>
        <w:t xml:space="preserve">private bodies. For example, the right to freedom of expression </w:t>
      </w:r>
      <w:r w:rsidR="00775DAD">
        <w:rPr>
          <w:lang w:val="en-GB"/>
        </w:rPr>
        <w:t>would</w:t>
      </w:r>
      <w:r w:rsidR="00A63E7D">
        <w:rPr>
          <w:lang w:val="en-GB"/>
        </w:rPr>
        <w:t xml:space="preserve"> not </w:t>
      </w:r>
      <w:r w:rsidR="00775DAD">
        <w:rPr>
          <w:lang w:val="en-GB"/>
        </w:rPr>
        <w:t>cover</w:t>
      </w:r>
      <w:r w:rsidR="00A63E7D">
        <w:rPr>
          <w:lang w:val="en-GB"/>
        </w:rPr>
        <w:t xml:space="preserve"> a newspaper editor’s refusal to publish a letter or a decision by Facebook or Google to remove content from their websites.</w:t>
      </w:r>
    </w:p>
    <w:p w:rsidR="00497770" w:rsidRDefault="0010213E" w:rsidP="006749E2">
      <w:pPr>
        <w:pStyle w:val="Parasection"/>
        <w:rPr>
          <w:lang w:val="en-GB"/>
        </w:rPr>
      </w:pPr>
      <w:r>
        <w:rPr>
          <w:lang w:val="en-GB"/>
        </w:rPr>
        <w:t xml:space="preserve">In some cases, however, Article 10 </w:t>
      </w:r>
      <w:r w:rsidR="00A63E7D">
        <w:rPr>
          <w:lang w:val="en-GB"/>
        </w:rPr>
        <w:t>can require</w:t>
      </w:r>
      <w:r>
        <w:rPr>
          <w:lang w:val="en-GB"/>
        </w:rPr>
        <w:t xml:space="preserve"> the government to take positive steps </w:t>
      </w:r>
      <w:r w:rsidR="006A6BBC">
        <w:rPr>
          <w:lang w:val="en-GB"/>
        </w:rPr>
        <w:t xml:space="preserve">in order </w:t>
      </w:r>
      <w:r>
        <w:rPr>
          <w:lang w:val="en-GB"/>
        </w:rPr>
        <w:t>to protect free expression</w:t>
      </w:r>
      <w:r w:rsidR="00FF5AE7">
        <w:rPr>
          <w:lang w:val="en-GB"/>
        </w:rPr>
        <w:t xml:space="preserve">. </w:t>
      </w:r>
      <w:r w:rsidR="009D1BD5">
        <w:rPr>
          <w:lang w:val="en-GB"/>
        </w:rPr>
        <w:t xml:space="preserve">In </w:t>
      </w:r>
      <w:r w:rsidR="000D2F9C">
        <w:rPr>
          <w:lang w:val="en-GB"/>
        </w:rPr>
        <w:t xml:space="preserve">relation to </w:t>
      </w:r>
      <w:r w:rsidR="002929B5">
        <w:rPr>
          <w:lang w:val="en-GB"/>
        </w:rPr>
        <w:t xml:space="preserve">state-funded </w:t>
      </w:r>
      <w:r w:rsidR="009D1BD5" w:rsidRPr="002929B5">
        <w:rPr>
          <w:lang w:val="en-GB"/>
        </w:rPr>
        <w:t>broadcasting</w:t>
      </w:r>
      <w:r w:rsidRPr="002929B5">
        <w:rPr>
          <w:lang w:val="en-GB"/>
        </w:rPr>
        <w:t>,</w:t>
      </w:r>
      <w:r>
        <w:rPr>
          <w:lang w:val="en-GB"/>
        </w:rPr>
        <w:t xml:space="preserve"> for example,</w:t>
      </w:r>
      <w:r w:rsidR="00EB64A6">
        <w:rPr>
          <w:lang w:val="en-GB"/>
        </w:rPr>
        <w:t xml:space="preserve"> </w:t>
      </w:r>
      <w:r>
        <w:rPr>
          <w:lang w:val="en-GB"/>
        </w:rPr>
        <w:t>t</w:t>
      </w:r>
      <w:r w:rsidR="00EB64A6" w:rsidRPr="00C94BF5">
        <w:rPr>
          <w:lang w:val="en-GB"/>
        </w:rPr>
        <w:t xml:space="preserve">he state has </w:t>
      </w:r>
      <w:r>
        <w:rPr>
          <w:lang w:val="en-GB"/>
        </w:rPr>
        <w:t xml:space="preserve">a duty to ensure that a </w:t>
      </w:r>
      <w:r w:rsidR="009D1BD5">
        <w:rPr>
          <w:lang w:val="en-GB"/>
        </w:rPr>
        <w:t>diverse range of views are</w:t>
      </w:r>
      <w:r w:rsidR="00BF5731">
        <w:rPr>
          <w:lang w:val="en-GB"/>
        </w:rPr>
        <w:t xml:space="preserve"> accessible</w:t>
      </w:r>
      <w:r w:rsidR="00EB64A6" w:rsidRPr="00C94BF5">
        <w:rPr>
          <w:lang w:val="en-GB"/>
        </w:rPr>
        <w:t>.</w:t>
      </w:r>
      <w:r w:rsidR="00EB64A6" w:rsidRPr="00C94BF5">
        <w:rPr>
          <w:vertAlign w:val="superscript"/>
          <w:lang w:val="en-GB"/>
        </w:rPr>
        <w:footnoteReference w:id="3"/>
      </w:r>
      <w:r w:rsidR="00EB64A6" w:rsidRPr="00C94BF5">
        <w:rPr>
          <w:lang w:val="en-GB"/>
        </w:rPr>
        <w:t xml:space="preserve"> </w:t>
      </w:r>
    </w:p>
    <w:p w:rsidR="008D22FB" w:rsidRDefault="002C0650">
      <w:pPr>
        <w:pStyle w:val="L3Headers"/>
        <w:spacing w:before="240"/>
        <w:rPr>
          <w:lang w:val="en-GB"/>
        </w:rPr>
      </w:pPr>
      <w:bookmarkStart w:id="24" w:name="_Toc410651247"/>
      <w:r>
        <w:rPr>
          <w:lang w:val="en-GB"/>
        </w:rPr>
        <w:t>Why is freedom of expression</w:t>
      </w:r>
      <w:r w:rsidR="00C3619E">
        <w:rPr>
          <w:lang w:val="en-GB"/>
        </w:rPr>
        <w:t xml:space="preserve"> protected</w:t>
      </w:r>
      <w:r>
        <w:rPr>
          <w:lang w:val="en-GB"/>
        </w:rPr>
        <w:t>?</w:t>
      </w:r>
      <w:bookmarkEnd w:id="24"/>
    </w:p>
    <w:p w:rsidR="008D22FB" w:rsidRDefault="009C591D">
      <w:pPr>
        <w:pStyle w:val="Parabase"/>
      </w:pPr>
      <w:r w:rsidRPr="00B46CB7">
        <w:rPr>
          <w:lang w:val="en-GB"/>
        </w:rPr>
        <w:t>The European Court of Human Rights (</w:t>
      </w:r>
      <w:proofErr w:type="spellStart"/>
      <w:r w:rsidRPr="00B46CB7">
        <w:rPr>
          <w:lang w:val="en-GB"/>
        </w:rPr>
        <w:t>ECtHR</w:t>
      </w:r>
      <w:proofErr w:type="spellEnd"/>
      <w:r w:rsidRPr="00B46CB7">
        <w:rPr>
          <w:lang w:val="en-GB"/>
        </w:rPr>
        <w:t xml:space="preserve">) has frequently </w:t>
      </w:r>
      <w:r w:rsidR="0010213E">
        <w:rPr>
          <w:lang w:val="en-GB"/>
        </w:rPr>
        <w:t>described</w:t>
      </w:r>
      <w:r w:rsidR="0010213E" w:rsidRPr="00B46CB7">
        <w:rPr>
          <w:lang w:val="en-GB"/>
        </w:rPr>
        <w:t xml:space="preserve"> </w:t>
      </w:r>
      <w:r w:rsidRPr="00B46CB7">
        <w:rPr>
          <w:lang w:val="en-GB"/>
        </w:rPr>
        <w:t>f</w:t>
      </w:r>
      <w:r w:rsidR="00101EEC" w:rsidRPr="00B46CB7">
        <w:rPr>
          <w:lang w:val="en-GB"/>
        </w:rPr>
        <w:t xml:space="preserve">reedom of </w:t>
      </w:r>
      <w:r w:rsidR="00101EEC" w:rsidRPr="00DE1EAF">
        <w:rPr>
          <w:lang w:val="en-GB"/>
        </w:rPr>
        <w:t>expression</w:t>
      </w:r>
      <w:r w:rsidR="00101EEC" w:rsidRPr="00B46CB7">
        <w:rPr>
          <w:lang w:val="en-GB"/>
        </w:rPr>
        <w:t xml:space="preserve"> </w:t>
      </w:r>
      <w:r w:rsidR="000647A5">
        <w:rPr>
          <w:lang w:val="en-GB"/>
        </w:rPr>
        <w:t xml:space="preserve">as </w:t>
      </w:r>
      <w:r w:rsidR="002C0650">
        <w:rPr>
          <w:lang w:val="en-GB"/>
        </w:rPr>
        <w:t xml:space="preserve">one of the </w:t>
      </w:r>
      <w:r w:rsidR="00154C01">
        <w:t>‘</w:t>
      </w:r>
      <w:r w:rsidR="004B4210" w:rsidRPr="004B4210">
        <w:t>essential foundations of a democratic society</w:t>
      </w:r>
      <w:r w:rsidR="00154C01">
        <w:t>’</w:t>
      </w:r>
      <w:r w:rsidR="002255E7">
        <w:rPr>
          <w:rStyle w:val="FootnoteReference"/>
        </w:rPr>
        <w:footnoteReference w:id="4"/>
      </w:r>
      <w:r w:rsidR="00497770">
        <w:t xml:space="preserve"> </w:t>
      </w:r>
      <w:r w:rsidR="00880576">
        <w:t>because it</w:t>
      </w:r>
      <w:r w:rsidR="00BB3D76">
        <w:t xml:space="preserve"> </w:t>
      </w:r>
      <w:r w:rsidR="00017C75">
        <w:lastRenderedPageBreak/>
        <w:t xml:space="preserve">guarantees the right of every person to exchange information, debate ideas and express opinions. This is especially important in the context of politics, in order that members of the public can </w:t>
      </w:r>
      <w:r w:rsidR="00775DAD">
        <w:t>decide</w:t>
      </w:r>
      <w:r w:rsidR="00017C75">
        <w:t xml:space="preserve"> </w:t>
      </w:r>
      <w:r w:rsidR="00B9525A">
        <w:t>how</w:t>
      </w:r>
      <w:r w:rsidR="00017C75">
        <w:t xml:space="preserve"> to vote and which policies to </w:t>
      </w:r>
      <w:r w:rsidR="000647A5">
        <w:t>support</w:t>
      </w:r>
      <w:r w:rsidR="00017C75">
        <w:t>. However, freedom</w:t>
      </w:r>
      <w:r w:rsidR="00BF5731">
        <w:t xml:space="preserve"> of expression also underpins </w:t>
      </w:r>
      <w:r w:rsidR="00BB3D76">
        <w:t>artistic, scientific and commercial development</w:t>
      </w:r>
      <w:r w:rsidR="00BF5731">
        <w:t xml:space="preserve">, and plays an essential role in </w:t>
      </w:r>
      <w:r w:rsidR="000647A5">
        <w:t>holding</w:t>
      </w:r>
      <w:r w:rsidR="00BF5731">
        <w:t xml:space="preserve"> public bodies </w:t>
      </w:r>
      <w:r w:rsidR="000647A5">
        <w:t xml:space="preserve">to account </w:t>
      </w:r>
      <w:r w:rsidR="00BF5731">
        <w:t xml:space="preserve">and </w:t>
      </w:r>
      <w:r w:rsidR="00B9525A">
        <w:t xml:space="preserve">in </w:t>
      </w:r>
      <w:r w:rsidR="00BF5731">
        <w:t>uncovering wrongdoing</w:t>
      </w:r>
      <w:r w:rsidR="00880576">
        <w:t>, such as the Watergate scandal</w:t>
      </w:r>
      <w:r w:rsidR="00BB3D76">
        <w:t>.</w:t>
      </w:r>
    </w:p>
    <w:p w:rsidR="008D22FB" w:rsidRDefault="004B4210">
      <w:pPr>
        <w:pStyle w:val="Parabase"/>
      </w:pPr>
      <w:r w:rsidRPr="004B4210">
        <w:t xml:space="preserve">Because </w:t>
      </w:r>
      <w:r w:rsidR="00A45FB9">
        <w:t>these objectives are</w:t>
      </w:r>
      <w:r w:rsidRPr="004B4210">
        <w:t xml:space="preserve"> considered so important, </w:t>
      </w:r>
      <w:r w:rsidR="00A45FB9">
        <w:t>the law</w:t>
      </w:r>
      <w:r w:rsidRPr="004B4210">
        <w:t xml:space="preserve"> protects not only the expression of opinions which are uncontroversial but also those that </w:t>
      </w:r>
      <w:r w:rsidR="00154C01">
        <w:t>‘</w:t>
      </w:r>
      <w:r w:rsidRPr="004B4210">
        <w:t>offend, shock or disturb</w:t>
      </w:r>
      <w:r w:rsidR="00154C01">
        <w:t>’.</w:t>
      </w:r>
      <w:r w:rsidR="00196008">
        <w:rPr>
          <w:rStyle w:val="FootnoteReference"/>
        </w:rPr>
        <w:footnoteReference w:id="5"/>
      </w:r>
      <w:r w:rsidR="00154C01">
        <w:t xml:space="preserve"> </w:t>
      </w:r>
      <w:r w:rsidR="00017C75">
        <w:t xml:space="preserve">Limits on freedom of expression can only be justified where it is strictly necessary to do so, </w:t>
      </w:r>
      <w:r w:rsidR="00880576">
        <w:t>as explained</w:t>
      </w:r>
      <w:r w:rsidR="003D6AC6">
        <w:t xml:space="preserve"> in the next section.</w:t>
      </w:r>
    </w:p>
    <w:p w:rsidR="008D22FB" w:rsidRDefault="00E337CB" w:rsidP="00497770">
      <w:pPr>
        <w:pStyle w:val="Parasection"/>
        <w:rPr>
          <w:lang w:val="en-GB"/>
        </w:rPr>
      </w:pPr>
      <w:r>
        <w:rPr>
          <w:lang w:val="en-GB"/>
        </w:rPr>
        <w:t>Although</w:t>
      </w:r>
      <w:r w:rsidR="00EB64A6">
        <w:rPr>
          <w:lang w:val="en-GB"/>
        </w:rPr>
        <w:t xml:space="preserve"> Article 10</w:t>
      </w:r>
      <w:r>
        <w:rPr>
          <w:lang w:val="en-GB"/>
        </w:rPr>
        <w:t xml:space="preserve"> protects many different kinds of expression, the </w:t>
      </w:r>
      <w:r w:rsidR="00A943C5">
        <w:rPr>
          <w:lang w:val="en-GB"/>
        </w:rPr>
        <w:t xml:space="preserve">particular </w:t>
      </w:r>
      <w:r>
        <w:rPr>
          <w:lang w:val="en-GB"/>
        </w:rPr>
        <w:t xml:space="preserve">level of protection </w:t>
      </w:r>
      <w:r w:rsidR="00A943C5">
        <w:rPr>
          <w:lang w:val="en-GB"/>
        </w:rPr>
        <w:t>can</w:t>
      </w:r>
      <w:r>
        <w:rPr>
          <w:lang w:val="en-GB"/>
        </w:rPr>
        <w:t xml:space="preserve"> vary</w:t>
      </w:r>
      <w:r w:rsidR="00A943C5">
        <w:rPr>
          <w:lang w:val="en-GB"/>
        </w:rPr>
        <w:t xml:space="preserve"> considerably</w:t>
      </w:r>
      <w:r>
        <w:rPr>
          <w:lang w:val="en-GB"/>
        </w:rPr>
        <w:t xml:space="preserve"> depending on the </w:t>
      </w:r>
      <w:r w:rsidR="00AD6BE5" w:rsidRPr="00A55B47">
        <w:rPr>
          <w:i/>
          <w:lang w:val="en-GB"/>
        </w:rPr>
        <w:t>type</w:t>
      </w:r>
      <w:r>
        <w:rPr>
          <w:lang w:val="en-GB"/>
        </w:rPr>
        <w:t xml:space="preserve"> of expression involved</w:t>
      </w:r>
      <w:r w:rsidR="00101EEC" w:rsidRPr="00B46CB7">
        <w:rPr>
          <w:lang w:val="en-GB"/>
        </w:rPr>
        <w:t>.</w:t>
      </w:r>
      <w:r>
        <w:rPr>
          <w:lang w:val="en-GB"/>
        </w:rPr>
        <w:t xml:space="preserve"> For example, </w:t>
      </w:r>
      <w:r w:rsidR="00A45FB9">
        <w:rPr>
          <w:lang w:val="en-GB"/>
        </w:rPr>
        <w:t>p</w:t>
      </w:r>
      <w:r w:rsidR="00CD1488">
        <w:rPr>
          <w:lang w:val="en-GB"/>
        </w:rPr>
        <w:t xml:space="preserve">olitical </w:t>
      </w:r>
      <w:r w:rsidR="000647A5">
        <w:rPr>
          <w:lang w:val="en-GB"/>
        </w:rPr>
        <w:t>campaigning</w:t>
      </w:r>
      <w:r w:rsidR="00A45FB9">
        <w:rPr>
          <w:lang w:val="en-GB"/>
        </w:rPr>
        <w:t>,</w:t>
      </w:r>
      <w:r w:rsidR="00CD1488">
        <w:rPr>
          <w:lang w:val="en-GB"/>
        </w:rPr>
        <w:t xml:space="preserve"> journalis</w:t>
      </w:r>
      <w:r w:rsidR="00A45FB9">
        <w:rPr>
          <w:lang w:val="en-GB"/>
        </w:rPr>
        <w:t>m</w:t>
      </w:r>
      <w:r w:rsidR="00CD1488">
        <w:rPr>
          <w:lang w:val="en-GB"/>
        </w:rPr>
        <w:t xml:space="preserve"> and commentary on matter</w:t>
      </w:r>
      <w:r w:rsidR="002145A2">
        <w:rPr>
          <w:lang w:val="en-GB"/>
        </w:rPr>
        <w:t>s</w:t>
      </w:r>
      <w:r w:rsidR="00CD1488">
        <w:rPr>
          <w:lang w:val="en-GB"/>
        </w:rPr>
        <w:t xml:space="preserve"> of public interest </w:t>
      </w:r>
      <w:r>
        <w:rPr>
          <w:lang w:val="en-GB"/>
        </w:rPr>
        <w:t>are generally given a very high degree of protection</w:t>
      </w:r>
      <w:r w:rsidR="00A45FB9">
        <w:rPr>
          <w:lang w:val="en-GB"/>
        </w:rPr>
        <w:t>.</w:t>
      </w:r>
      <w:r w:rsidR="00497770">
        <w:rPr>
          <w:lang w:val="en-GB"/>
        </w:rPr>
        <w:t xml:space="preserve"> </w:t>
      </w:r>
      <w:r w:rsidR="00A45FB9">
        <w:rPr>
          <w:lang w:val="en-GB"/>
        </w:rPr>
        <w:t xml:space="preserve">Accordingly, </w:t>
      </w:r>
      <w:r w:rsidR="00CD1488">
        <w:rPr>
          <w:lang w:val="en-GB"/>
        </w:rPr>
        <w:t xml:space="preserve">in those spheres very little interference </w:t>
      </w:r>
      <w:r w:rsidR="00A45FB9">
        <w:rPr>
          <w:lang w:val="en-GB"/>
        </w:rPr>
        <w:t>with</w:t>
      </w:r>
      <w:r w:rsidR="00CD1488">
        <w:rPr>
          <w:lang w:val="en-GB"/>
        </w:rPr>
        <w:t xml:space="preserve"> freedom of expression can be justified</w:t>
      </w:r>
      <w:r w:rsidR="00101EEC" w:rsidRPr="00B46CB7">
        <w:rPr>
          <w:lang w:val="en-GB"/>
        </w:rPr>
        <w:t xml:space="preserve">. </w:t>
      </w:r>
    </w:p>
    <w:p w:rsidR="008D22FB" w:rsidRDefault="00C3619E">
      <w:pPr>
        <w:pStyle w:val="L3Headers"/>
        <w:spacing w:before="240"/>
        <w:rPr>
          <w:lang w:val="en-GB"/>
        </w:rPr>
      </w:pPr>
      <w:bookmarkStart w:id="25" w:name="_Toc410651248"/>
      <w:r>
        <w:rPr>
          <w:lang w:val="en-GB"/>
        </w:rPr>
        <w:t>Limitations on freedom of expression</w:t>
      </w:r>
      <w:bookmarkEnd w:id="25"/>
    </w:p>
    <w:p w:rsidR="00FC0FAF" w:rsidRDefault="00AF5571" w:rsidP="00FC0FAF">
      <w:pPr>
        <w:pStyle w:val="Parabase"/>
        <w:rPr>
          <w:lang w:val="en-GB"/>
        </w:rPr>
      </w:pPr>
      <w:r>
        <w:rPr>
          <w:lang w:val="en-GB"/>
        </w:rPr>
        <w:t>Article 10 is not an absolute but a qualified right which means that the rights of the individual must be balanced against the interests of society.</w:t>
      </w:r>
      <w:r w:rsidR="00497770">
        <w:rPr>
          <w:lang w:val="en-GB"/>
        </w:rPr>
        <w:t xml:space="preserve"> </w:t>
      </w:r>
      <w:r w:rsidR="00294F22">
        <w:rPr>
          <w:lang w:val="en-GB"/>
        </w:rPr>
        <w:t>Whether</w:t>
      </w:r>
      <w:r w:rsidR="00FC0FAF">
        <w:rPr>
          <w:lang w:val="en-GB"/>
        </w:rPr>
        <w:t xml:space="preserve"> </w:t>
      </w:r>
      <w:r w:rsidR="00294F22">
        <w:rPr>
          <w:lang w:val="en-GB"/>
        </w:rPr>
        <w:t xml:space="preserve">a restriction on </w:t>
      </w:r>
      <w:r w:rsidR="00FC0FAF">
        <w:rPr>
          <w:lang w:val="en-GB"/>
        </w:rPr>
        <w:t xml:space="preserve">freedom of </w:t>
      </w:r>
      <w:r w:rsidR="000647A5">
        <w:rPr>
          <w:lang w:val="en-GB"/>
        </w:rPr>
        <w:t xml:space="preserve">expression </w:t>
      </w:r>
      <w:r w:rsidR="00294F22">
        <w:rPr>
          <w:lang w:val="en-GB"/>
        </w:rPr>
        <w:t xml:space="preserve">is justified is likely to </w:t>
      </w:r>
      <w:r w:rsidR="00FC0FAF">
        <w:rPr>
          <w:lang w:val="en-GB"/>
        </w:rPr>
        <w:t xml:space="preserve">depend on </w:t>
      </w:r>
      <w:r w:rsidR="00294F22">
        <w:rPr>
          <w:lang w:val="en-GB"/>
        </w:rPr>
        <w:t xml:space="preserve">a number of factors, including </w:t>
      </w:r>
      <w:r w:rsidR="00A45FB9">
        <w:rPr>
          <w:lang w:val="en-GB"/>
        </w:rPr>
        <w:t>the identi</w:t>
      </w:r>
      <w:r w:rsidR="00E337CB">
        <w:rPr>
          <w:lang w:val="en-GB"/>
        </w:rPr>
        <w:t>t</w:t>
      </w:r>
      <w:r w:rsidR="00A45FB9">
        <w:rPr>
          <w:lang w:val="en-GB"/>
        </w:rPr>
        <w:t>y of</w:t>
      </w:r>
      <w:r w:rsidR="00FC0FAF">
        <w:rPr>
          <w:lang w:val="en-GB"/>
        </w:rPr>
        <w:t xml:space="preserve"> the speaker, the context of the speech and its purpose, as well as the actual words spoken or written. </w:t>
      </w:r>
      <w:r w:rsidR="00294F22">
        <w:rPr>
          <w:lang w:val="en-GB"/>
        </w:rPr>
        <w:t>A great deal</w:t>
      </w:r>
      <w:r w:rsidR="00FC0FAF">
        <w:rPr>
          <w:lang w:val="en-GB"/>
        </w:rPr>
        <w:t xml:space="preserve"> will</w:t>
      </w:r>
      <w:r w:rsidR="00294F22">
        <w:rPr>
          <w:lang w:val="en-GB"/>
        </w:rPr>
        <w:t xml:space="preserve"> therefore</w:t>
      </w:r>
      <w:r w:rsidR="00FC0FAF">
        <w:rPr>
          <w:lang w:val="en-GB"/>
        </w:rPr>
        <w:t xml:space="preserve"> depend on </w:t>
      </w:r>
      <w:r w:rsidR="00E66353">
        <w:rPr>
          <w:lang w:val="en-GB"/>
        </w:rPr>
        <w:t xml:space="preserve">context, such as </w:t>
      </w:r>
      <w:r w:rsidR="00FC0FAF">
        <w:rPr>
          <w:lang w:val="en-GB"/>
        </w:rPr>
        <w:t>whether words are used</w:t>
      </w:r>
      <w:r w:rsidR="00294F22">
        <w:rPr>
          <w:lang w:val="en-GB"/>
        </w:rPr>
        <w:t xml:space="preserve"> </w:t>
      </w:r>
      <w:r w:rsidR="00FC0FAF">
        <w:rPr>
          <w:lang w:val="en-GB"/>
        </w:rPr>
        <w:t>at a social event, in an employment context, in the media</w:t>
      </w:r>
      <w:r w:rsidR="00E66353">
        <w:rPr>
          <w:lang w:val="en-GB"/>
        </w:rPr>
        <w:t xml:space="preserve"> or</w:t>
      </w:r>
      <w:r w:rsidR="00FC0FAF">
        <w:rPr>
          <w:lang w:val="en-GB"/>
        </w:rPr>
        <w:t xml:space="preserve"> when providing or receiving goods or services. These contexts are considered </w:t>
      </w:r>
      <w:r w:rsidR="00294F22">
        <w:rPr>
          <w:lang w:val="en-GB"/>
        </w:rPr>
        <w:t xml:space="preserve">in more detail </w:t>
      </w:r>
      <w:r w:rsidR="00FC0FAF">
        <w:rPr>
          <w:lang w:val="en-GB"/>
        </w:rPr>
        <w:t>below.</w:t>
      </w:r>
    </w:p>
    <w:p w:rsidR="002145A2" w:rsidRDefault="00AD6BE5" w:rsidP="00E93D40">
      <w:pPr>
        <w:pStyle w:val="Parabase"/>
        <w:rPr>
          <w:lang w:val="en-GB"/>
        </w:rPr>
      </w:pPr>
      <w:r w:rsidRPr="00F76800">
        <w:rPr>
          <w:lang w:val="en-GB"/>
        </w:rPr>
        <w:t>Speech</w:t>
      </w:r>
      <w:r w:rsidR="00545244" w:rsidRPr="00C96995">
        <w:rPr>
          <w:lang w:val="en-GB"/>
        </w:rPr>
        <w:t xml:space="preserve"> that is intended to inform rather than offend attracts greater protection, even if it could be construed as racist</w:t>
      </w:r>
      <w:r w:rsidR="005E6ED8">
        <w:rPr>
          <w:lang w:val="en-GB"/>
        </w:rPr>
        <w:t>.</w:t>
      </w:r>
      <w:r w:rsidR="00545244">
        <w:rPr>
          <w:rStyle w:val="FootnoteReference"/>
          <w:lang w:val="en-GB"/>
        </w:rPr>
        <w:footnoteReference w:id="6"/>
      </w:r>
      <w:r w:rsidR="00545244" w:rsidRPr="00C96995">
        <w:rPr>
          <w:lang w:val="en-GB"/>
        </w:rPr>
        <w:t xml:space="preserve"> </w:t>
      </w:r>
      <w:r w:rsidR="00E66353" w:rsidRPr="00C96995">
        <w:rPr>
          <w:lang w:val="en-GB"/>
        </w:rPr>
        <w:t xml:space="preserve">Beliefs, opinions and ideas </w:t>
      </w:r>
      <w:r w:rsidR="005E6ED8">
        <w:rPr>
          <w:lang w:val="en-GB"/>
        </w:rPr>
        <w:t xml:space="preserve">– even deeply-held beliefs </w:t>
      </w:r>
      <w:r w:rsidR="00577505">
        <w:rPr>
          <w:lang w:val="en-GB"/>
        </w:rPr>
        <w:t>–</w:t>
      </w:r>
      <w:r w:rsidR="005E6ED8">
        <w:rPr>
          <w:lang w:val="en-GB"/>
        </w:rPr>
        <w:t xml:space="preserve"> cannot</w:t>
      </w:r>
      <w:r w:rsidR="005E6ED8" w:rsidRPr="00C96995">
        <w:rPr>
          <w:lang w:val="en-GB"/>
        </w:rPr>
        <w:t xml:space="preserve"> </w:t>
      </w:r>
      <w:r w:rsidR="00E66353" w:rsidRPr="00C96995">
        <w:rPr>
          <w:lang w:val="en-GB"/>
        </w:rPr>
        <w:t>be immune to criticism</w:t>
      </w:r>
      <w:r w:rsidR="00880576">
        <w:rPr>
          <w:lang w:val="en-GB"/>
        </w:rPr>
        <w:t xml:space="preserve"> or satire</w:t>
      </w:r>
      <w:r w:rsidR="00E66353">
        <w:rPr>
          <w:lang w:val="en-GB"/>
        </w:rPr>
        <w:t>.</w:t>
      </w:r>
      <w:r w:rsidR="00497770">
        <w:rPr>
          <w:lang w:val="en-GB"/>
        </w:rPr>
        <w:t xml:space="preserve"> </w:t>
      </w:r>
      <w:r w:rsidR="00E66353">
        <w:rPr>
          <w:lang w:val="en-GB"/>
        </w:rPr>
        <w:t>Democracy</w:t>
      </w:r>
      <w:r w:rsidR="00E66353" w:rsidRPr="00C96995">
        <w:rPr>
          <w:lang w:val="en-GB"/>
        </w:rPr>
        <w:t xml:space="preserve"> depends on people being free to express, debate and criticise opposing viewpoints. </w:t>
      </w:r>
      <w:r w:rsidR="00545244" w:rsidRPr="00C96995">
        <w:rPr>
          <w:lang w:val="en-GB"/>
        </w:rPr>
        <w:t xml:space="preserve">The courts have generally held that </w:t>
      </w:r>
      <w:r w:rsidR="00E66353">
        <w:rPr>
          <w:lang w:val="en-GB"/>
        </w:rPr>
        <w:t xml:space="preserve">the right to </w:t>
      </w:r>
      <w:r w:rsidR="00545244" w:rsidRPr="00C96995">
        <w:rPr>
          <w:lang w:val="en-GB"/>
        </w:rPr>
        <w:t>free expression should not be curtailed simply because</w:t>
      </w:r>
      <w:r w:rsidR="00E66353">
        <w:rPr>
          <w:lang w:val="en-GB"/>
        </w:rPr>
        <w:t xml:space="preserve"> </w:t>
      </w:r>
      <w:r w:rsidR="005E6ED8">
        <w:rPr>
          <w:lang w:val="en-GB"/>
        </w:rPr>
        <w:t>other people may find it offensive or insulting</w:t>
      </w:r>
      <w:r w:rsidR="00545244" w:rsidRPr="00C96995">
        <w:rPr>
          <w:lang w:val="en-GB"/>
        </w:rPr>
        <w:t xml:space="preserve">. </w:t>
      </w:r>
      <w:r w:rsidR="00880576">
        <w:rPr>
          <w:lang w:val="en-GB"/>
        </w:rPr>
        <w:t>Article 10</w:t>
      </w:r>
      <w:r w:rsidR="003E4548">
        <w:rPr>
          <w:lang w:val="en-GB"/>
        </w:rPr>
        <w:t xml:space="preserve"> allows restrictions </w:t>
      </w:r>
      <w:r w:rsidR="00A1449D">
        <w:rPr>
          <w:lang w:val="en-GB"/>
        </w:rPr>
        <w:t>to</w:t>
      </w:r>
      <w:r w:rsidR="003E4548">
        <w:rPr>
          <w:lang w:val="en-GB"/>
        </w:rPr>
        <w:t xml:space="preserve"> be placed</w:t>
      </w:r>
      <w:r w:rsidR="00A1449D">
        <w:rPr>
          <w:lang w:val="en-GB"/>
        </w:rPr>
        <w:t xml:space="preserve"> </w:t>
      </w:r>
      <w:r w:rsidR="003E4548">
        <w:rPr>
          <w:lang w:val="en-GB"/>
        </w:rPr>
        <w:t>on freedom of expression for any of the following</w:t>
      </w:r>
      <w:r w:rsidR="00AF5571">
        <w:rPr>
          <w:lang w:val="en-GB"/>
        </w:rPr>
        <w:t xml:space="preserve"> specific</w:t>
      </w:r>
      <w:r w:rsidR="003E4548">
        <w:rPr>
          <w:lang w:val="en-GB"/>
        </w:rPr>
        <w:t xml:space="preserve"> purposes</w:t>
      </w:r>
      <w:r w:rsidR="002145A2">
        <w:rPr>
          <w:lang w:val="en-GB"/>
        </w:rPr>
        <w:t>:</w:t>
      </w:r>
    </w:p>
    <w:p w:rsidR="002145A2" w:rsidRDefault="002145A2" w:rsidP="00497770">
      <w:pPr>
        <w:pStyle w:val="Bulletsbase"/>
        <w:numPr>
          <w:ilvl w:val="0"/>
          <w:numId w:val="4"/>
        </w:numPr>
      </w:pPr>
      <w:r w:rsidRPr="004B4210">
        <w:lastRenderedPageBreak/>
        <w:t>in the interests of national security or public safety</w:t>
      </w:r>
      <w:r w:rsidR="00832A37">
        <w:t xml:space="preserve"> (</w:t>
      </w:r>
      <w:r>
        <w:t>for instance</w:t>
      </w:r>
      <w:r w:rsidR="00497770">
        <w:t xml:space="preserve"> </w:t>
      </w:r>
      <w:r>
        <w:t>to prohibit</w:t>
      </w:r>
      <w:r w:rsidR="00497770">
        <w:t xml:space="preserve"> </w:t>
      </w:r>
      <w:r>
        <w:t>hoax bomb claims</w:t>
      </w:r>
      <w:r w:rsidR="00832A37">
        <w:t>)</w:t>
      </w:r>
    </w:p>
    <w:p w:rsidR="002145A2" w:rsidRDefault="002145A2" w:rsidP="00497770">
      <w:pPr>
        <w:pStyle w:val="Bulletsbase"/>
        <w:numPr>
          <w:ilvl w:val="0"/>
          <w:numId w:val="4"/>
        </w:numPr>
      </w:pPr>
      <w:r w:rsidRPr="004B4210">
        <w:t>for the prevention of disorder or crime</w:t>
      </w:r>
      <w:r w:rsidR="00832A37">
        <w:t xml:space="preserve"> (</w:t>
      </w:r>
      <w:r>
        <w:t xml:space="preserve">for instance to prohibit incitement to </w:t>
      </w:r>
      <w:r w:rsidR="00294F22">
        <w:t>violence</w:t>
      </w:r>
      <w:r w:rsidR="00832A37">
        <w:t>)</w:t>
      </w:r>
      <w:r w:rsidR="00497770">
        <w:t xml:space="preserve"> </w:t>
      </w:r>
    </w:p>
    <w:p w:rsidR="002145A2" w:rsidRDefault="00880576" w:rsidP="00497770">
      <w:pPr>
        <w:pStyle w:val="Bulletsbase"/>
        <w:numPr>
          <w:ilvl w:val="0"/>
          <w:numId w:val="4"/>
        </w:numPr>
      </w:pPr>
      <w:r>
        <w:t>to protect</w:t>
      </w:r>
      <w:r w:rsidR="002145A2" w:rsidRPr="004B4210">
        <w:t xml:space="preserve"> health or morals</w:t>
      </w:r>
      <w:r w:rsidR="00832A37">
        <w:t xml:space="preserve"> (</w:t>
      </w:r>
      <w:r w:rsidR="002145A2">
        <w:t>for instance laws against certain types of pornography</w:t>
      </w:r>
      <w:r w:rsidR="00832A37">
        <w:t>)</w:t>
      </w:r>
    </w:p>
    <w:p w:rsidR="002145A2" w:rsidRDefault="002145A2" w:rsidP="00497770">
      <w:pPr>
        <w:pStyle w:val="Bulletsbase"/>
        <w:numPr>
          <w:ilvl w:val="0"/>
          <w:numId w:val="4"/>
        </w:numPr>
      </w:pPr>
      <w:r w:rsidRPr="004B4210">
        <w:t>for the protection of the reputation or rights of others</w:t>
      </w:r>
      <w:r w:rsidR="00832A37">
        <w:t xml:space="preserve"> (</w:t>
      </w:r>
      <w:r>
        <w:t>as reflected in our defamation law</w:t>
      </w:r>
      <w:r w:rsidR="00F14E8E">
        <w:t xml:space="preserve"> and </w:t>
      </w:r>
      <w:r w:rsidR="00F76800">
        <w:t>the prohibition on</w:t>
      </w:r>
      <w:r w:rsidR="00A1449D">
        <w:t xml:space="preserve"> harassment under </w:t>
      </w:r>
      <w:r w:rsidR="00F76800">
        <w:t>the Equality Act 2010)</w:t>
      </w:r>
    </w:p>
    <w:p w:rsidR="002145A2" w:rsidRDefault="002145A2" w:rsidP="00497770">
      <w:pPr>
        <w:pStyle w:val="Bulletsbase"/>
        <w:numPr>
          <w:ilvl w:val="0"/>
          <w:numId w:val="4"/>
        </w:numPr>
      </w:pPr>
      <w:r w:rsidRPr="004B4210">
        <w:t>for preventing the disclosure of information received in confidence</w:t>
      </w:r>
      <w:r w:rsidR="00832A37">
        <w:t xml:space="preserve"> (</w:t>
      </w:r>
      <w:r>
        <w:t>for example, trade secrets</w:t>
      </w:r>
      <w:r w:rsidR="00832A37">
        <w:t>)</w:t>
      </w:r>
      <w:r>
        <w:t xml:space="preserve">, </w:t>
      </w:r>
      <w:r w:rsidRPr="004B4210">
        <w:t xml:space="preserve">or </w:t>
      </w:r>
    </w:p>
    <w:p w:rsidR="002145A2" w:rsidRDefault="002145A2" w:rsidP="007F6FF5">
      <w:pPr>
        <w:pStyle w:val="Bulletsgroup"/>
        <w:numPr>
          <w:ilvl w:val="0"/>
          <w:numId w:val="4"/>
        </w:numPr>
      </w:pPr>
      <w:r w:rsidRPr="004B4210">
        <w:t>for maintaining the authority and impartiality of the judiciary.</w:t>
      </w:r>
    </w:p>
    <w:p w:rsidR="00A943C5" w:rsidRDefault="003E4548" w:rsidP="002145A2">
      <w:pPr>
        <w:pStyle w:val="Parabase"/>
        <w:rPr>
          <w:lang w:val="en-GB"/>
        </w:rPr>
      </w:pPr>
      <w:r>
        <w:rPr>
          <w:lang w:val="en-GB"/>
        </w:rPr>
        <w:t xml:space="preserve">Even where a restriction is for </w:t>
      </w:r>
      <w:r w:rsidR="00880576">
        <w:rPr>
          <w:lang w:val="en-GB"/>
        </w:rPr>
        <w:t xml:space="preserve">one of these </w:t>
      </w:r>
      <w:r>
        <w:rPr>
          <w:lang w:val="en-GB"/>
        </w:rPr>
        <w:t>legitimate purpose</w:t>
      </w:r>
      <w:r w:rsidR="00880576">
        <w:rPr>
          <w:lang w:val="en-GB"/>
        </w:rPr>
        <w:t>s</w:t>
      </w:r>
      <w:r>
        <w:rPr>
          <w:lang w:val="en-GB"/>
        </w:rPr>
        <w:t>, it must also be shown that the restriction is lawful (</w:t>
      </w:r>
      <w:r w:rsidR="00B9525A">
        <w:rPr>
          <w:lang w:val="en-GB"/>
        </w:rPr>
        <w:t>meaning that</w:t>
      </w:r>
      <w:r>
        <w:rPr>
          <w:lang w:val="en-GB"/>
        </w:rPr>
        <w:t xml:space="preserve"> it is clearly set out in legislation</w:t>
      </w:r>
      <w:r w:rsidR="00A1449D">
        <w:rPr>
          <w:lang w:val="en-GB"/>
        </w:rPr>
        <w:t xml:space="preserve"> </w:t>
      </w:r>
      <w:r>
        <w:rPr>
          <w:lang w:val="en-GB"/>
        </w:rPr>
        <w:t xml:space="preserve">and that the interference with freedom of expression is </w:t>
      </w:r>
      <w:r w:rsidR="00577505">
        <w:rPr>
          <w:lang w:val="en-GB"/>
        </w:rPr>
        <w:t>‘</w:t>
      </w:r>
      <w:r>
        <w:rPr>
          <w:lang w:val="en-GB"/>
        </w:rPr>
        <w:t>necessary in a democratic society</w:t>
      </w:r>
      <w:r w:rsidR="00577505">
        <w:rPr>
          <w:lang w:val="en-GB"/>
        </w:rPr>
        <w:t>’</w:t>
      </w:r>
      <w:r w:rsidR="00AF5571">
        <w:rPr>
          <w:lang w:val="en-GB"/>
        </w:rPr>
        <w:t>)</w:t>
      </w:r>
      <w:r>
        <w:rPr>
          <w:lang w:val="en-GB"/>
        </w:rPr>
        <w:t>. The court has interpreted this to mean that, i</w:t>
      </w:r>
      <w:r w:rsidR="002145A2">
        <w:rPr>
          <w:lang w:val="en-GB"/>
        </w:rPr>
        <w:t>n every case where there is an</w:t>
      </w:r>
      <w:r w:rsidR="002145A2" w:rsidRPr="00B46CB7">
        <w:rPr>
          <w:lang w:val="en-GB"/>
        </w:rPr>
        <w:t xml:space="preserve"> interference </w:t>
      </w:r>
      <w:r w:rsidR="002145A2">
        <w:rPr>
          <w:lang w:val="en-GB"/>
        </w:rPr>
        <w:t>with freedom of expression</w:t>
      </w:r>
      <w:r w:rsidR="00832A37">
        <w:rPr>
          <w:lang w:val="en-GB"/>
        </w:rPr>
        <w:t>,</w:t>
      </w:r>
      <w:r w:rsidR="002145A2">
        <w:rPr>
          <w:lang w:val="en-GB"/>
        </w:rPr>
        <w:t xml:space="preserve"> a balance </w:t>
      </w:r>
      <w:r w:rsidR="00294F22">
        <w:rPr>
          <w:lang w:val="en-GB"/>
        </w:rPr>
        <w:t xml:space="preserve">must </w:t>
      </w:r>
      <w:r w:rsidR="002145A2">
        <w:rPr>
          <w:lang w:val="en-GB"/>
        </w:rPr>
        <w:t>be struck</w:t>
      </w:r>
      <w:r w:rsidR="00294F22">
        <w:rPr>
          <w:lang w:val="en-GB"/>
        </w:rPr>
        <w:t xml:space="preserve"> between the right of the individual to express himself or herself and the broader public interest</w:t>
      </w:r>
      <w:r>
        <w:rPr>
          <w:lang w:val="en-GB"/>
        </w:rPr>
        <w:t xml:space="preserve"> justifying the interference (</w:t>
      </w:r>
      <w:r w:rsidR="00B9525A">
        <w:rPr>
          <w:lang w:val="en-GB"/>
        </w:rPr>
        <w:t>for example,</w:t>
      </w:r>
      <w:r>
        <w:rPr>
          <w:lang w:val="en-GB"/>
        </w:rPr>
        <w:t xml:space="preserve"> the </w:t>
      </w:r>
      <w:r w:rsidR="00A1449D">
        <w:rPr>
          <w:lang w:val="en-GB"/>
        </w:rPr>
        <w:t xml:space="preserve">protection of the </w:t>
      </w:r>
      <w:r>
        <w:rPr>
          <w:lang w:val="en-GB"/>
        </w:rPr>
        <w:t>rights of others)</w:t>
      </w:r>
      <w:r w:rsidR="002145A2">
        <w:rPr>
          <w:lang w:val="en-GB"/>
        </w:rPr>
        <w:t xml:space="preserve">. </w:t>
      </w:r>
      <w:r w:rsidR="00294F22">
        <w:rPr>
          <w:lang w:val="en-GB"/>
        </w:rPr>
        <w:t xml:space="preserve">In particular, the </w:t>
      </w:r>
      <w:r w:rsidR="002145A2">
        <w:rPr>
          <w:lang w:val="en-GB"/>
        </w:rPr>
        <w:t xml:space="preserve">restriction </w:t>
      </w:r>
      <w:r w:rsidR="002145A2" w:rsidRPr="00B46CB7">
        <w:rPr>
          <w:lang w:val="en-GB"/>
        </w:rPr>
        <w:t xml:space="preserve">must be </w:t>
      </w:r>
      <w:r w:rsidR="00CF654D" w:rsidRPr="00CF654D">
        <w:rPr>
          <w:i/>
          <w:lang w:val="en-GB"/>
        </w:rPr>
        <w:t>proportionate</w:t>
      </w:r>
      <w:r w:rsidR="002145A2" w:rsidRPr="00B46CB7">
        <w:rPr>
          <w:lang w:val="en-GB"/>
        </w:rPr>
        <w:t xml:space="preserve"> to the </w:t>
      </w:r>
      <w:r w:rsidR="00880576">
        <w:rPr>
          <w:lang w:val="en-GB"/>
        </w:rPr>
        <w:t>legitimate purpose that the state or public bodies are seeking to uphold.</w:t>
      </w:r>
      <w:r w:rsidR="00497770">
        <w:rPr>
          <w:lang w:val="en-GB"/>
        </w:rPr>
        <w:t xml:space="preserve"> </w:t>
      </w:r>
    </w:p>
    <w:p w:rsidR="002145A2" w:rsidRDefault="00843A92" w:rsidP="00497770">
      <w:pPr>
        <w:pStyle w:val="Parasection"/>
        <w:rPr>
          <w:rStyle w:val="sb8d990e2"/>
        </w:rPr>
      </w:pPr>
      <w:r>
        <w:rPr>
          <w:lang w:val="en-GB"/>
        </w:rPr>
        <w:t xml:space="preserve">In one case, for example, a journalist in Denmark who made a documentary on young extremists was convicted of helping to spread racist statements, which was a criminal offence in Denmark. The </w:t>
      </w:r>
      <w:proofErr w:type="spellStart"/>
      <w:r w:rsidR="00067818">
        <w:rPr>
          <w:lang w:val="en-GB"/>
        </w:rPr>
        <w:t>ECtHR</w:t>
      </w:r>
      <w:proofErr w:type="spellEnd"/>
      <w:r>
        <w:rPr>
          <w:lang w:val="en-GB"/>
        </w:rPr>
        <w:t xml:space="preserve"> held that the journalist’s conviction violated his right to freedom of expression under Article 10 because the Danish prohibition against spreading racist statements, although a legitimate restriction</w:t>
      </w:r>
      <w:r w:rsidR="0022070D">
        <w:rPr>
          <w:lang w:val="en-GB"/>
        </w:rPr>
        <w:t xml:space="preserve"> in general</w:t>
      </w:r>
      <w:r>
        <w:rPr>
          <w:lang w:val="en-GB"/>
        </w:rPr>
        <w:t xml:space="preserve">, had been applied too broadly in his case. As an example of how context matters, the Court noted that the statements had been broadcast </w:t>
      </w:r>
      <w:r w:rsidR="002145A2">
        <w:rPr>
          <w:rStyle w:val="sb8d990e2"/>
        </w:rPr>
        <w:t xml:space="preserve">as part of a serious news </w:t>
      </w:r>
      <w:proofErr w:type="spellStart"/>
      <w:r w:rsidR="002145A2">
        <w:rPr>
          <w:rStyle w:val="sb8d990e2"/>
        </w:rPr>
        <w:t>programme</w:t>
      </w:r>
      <w:proofErr w:type="spellEnd"/>
      <w:r w:rsidR="002145A2">
        <w:rPr>
          <w:rStyle w:val="sb8d990e2"/>
        </w:rPr>
        <w:t xml:space="preserve"> and </w:t>
      </w:r>
      <w:r>
        <w:rPr>
          <w:rStyle w:val="sb8d990e2"/>
        </w:rPr>
        <w:t>were</w:t>
      </w:r>
      <w:r w:rsidR="002145A2">
        <w:rPr>
          <w:rStyle w:val="sb8d990e2"/>
        </w:rPr>
        <w:t xml:space="preserve"> intended for a</w:t>
      </w:r>
      <w:r w:rsidR="00890E97">
        <w:rPr>
          <w:rStyle w:val="sb8d990e2"/>
        </w:rPr>
        <w:t xml:space="preserve">n </w:t>
      </w:r>
      <w:r w:rsidR="002145A2">
        <w:rPr>
          <w:rStyle w:val="sb8d990e2"/>
        </w:rPr>
        <w:t>informed audience.</w:t>
      </w:r>
      <w:r w:rsidR="002145A2">
        <w:rPr>
          <w:rStyle w:val="FootnoteReference"/>
        </w:rPr>
        <w:footnoteReference w:id="7"/>
      </w:r>
      <w:r w:rsidR="00497770">
        <w:rPr>
          <w:rStyle w:val="sb8d990e2"/>
        </w:rPr>
        <w:t xml:space="preserve"> </w:t>
      </w:r>
    </w:p>
    <w:p w:rsidR="008D22FB" w:rsidRDefault="00545244">
      <w:pPr>
        <w:pStyle w:val="L3Headers"/>
        <w:spacing w:before="240"/>
        <w:rPr>
          <w:lang w:val="en-GB"/>
        </w:rPr>
      </w:pPr>
      <w:bookmarkStart w:id="26" w:name="_Toc410651249"/>
      <w:r>
        <w:rPr>
          <w:lang w:val="en-GB"/>
        </w:rPr>
        <w:t>Hate speech</w:t>
      </w:r>
      <w:bookmarkEnd w:id="26"/>
      <w:r w:rsidR="00F758AD">
        <w:rPr>
          <w:lang w:val="en-GB"/>
        </w:rPr>
        <w:t xml:space="preserve"> </w:t>
      </w:r>
    </w:p>
    <w:p w:rsidR="004D2374" w:rsidRDefault="004D2374" w:rsidP="005B2445">
      <w:pPr>
        <w:pStyle w:val="Parabase"/>
        <w:rPr>
          <w:lang w:val="en-GB"/>
        </w:rPr>
      </w:pPr>
      <w:r>
        <w:rPr>
          <w:lang w:val="en-GB"/>
        </w:rPr>
        <w:t xml:space="preserve">Although there is no universally accepted definition, </w:t>
      </w:r>
      <w:r w:rsidRPr="00F645D2">
        <w:rPr>
          <w:i/>
          <w:lang w:val="en-GB"/>
        </w:rPr>
        <w:t>hate speech</w:t>
      </w:r>
      <w:r>
        <w:rPr>
          <w:lang w:val="en-GB"/>
        </w:rPr>
        <w:t xml:space="preserve"> is generally understood to describe </w:t>
      </w:r>
      <w:r w:rsidR="00103079">
        <w:rPr>
          <w:lang w:val="en-GB"/>
        </w:rPr>
        <w:t xml:space="preserve">forms of </w:t>
      </w:r>
      <w:r>
        <w:rPr>
          <w:lang w:val="en-GB"/>
        </w:rPr>
        <w:t>expression</w:t>
      </w:r>
      <w:r w:rsidR="00497770">
        <w:rPr>
          <w:lang w:val="en-GB"/>
        </w:rPr>
        <w:t xml:space="preserve"> </w:t>
      </w:r>
      <w:r w:rsidR="005B2445" w:rsidRPr="00B46CB7">
        <w:rPr>
          <w:lang w:val="en-GB"/>
        </w:rPr>
        <w:t xml:space="preserve">which </w:t>
      </w:r>
      <w:r>
        <w:rPr>
          <w:lang w:val="en-GB"/>
        </w:rPr>
        <w:t xml:space="preserve">incite violence, hatred or </w:t>
      </w:r>
      <w:r>
        <w:rPr>
          <w:lang w:val="en-GB"/>
        </w:rPr>
        <w:lastRenderedPageBreak/>
        <w:t>discrimination against other persons</w:t>
      </w:r>
      <w:r w:rsidR="00F11F2E">
        <w:rPr>
          <w:lang w:val="en-GB"/>
        </w:rPr>
        <w:t xml:space="preserve"> and groups</w:t>
      </w:r>
      <w:r>
        <w:rPr>
          <w:lang w:val="en-GB"/>
        </w:rPr>
        <w:t xml:space="preserve">, particularly </w:t>
      </w:r>
      <w:r w:rsidR="00F11F2E">
        <w:rPr>
          <w:lang w:val="en-GB"/>
        </w:rPr>
        <w:t xml:space="preserve">by reference to their </w:t>
      </w:r>
      <w:r>
        <w:rPr>
          <w:lang w:val="en-GB"/>
        </w:rPr>
        <w:t>ethnicity, religious belief, gender or sexual orientation, language, national origin or immigration status.</w:t>
      </w:r>
      <w:r>
        <w:rPr>
          <w:rStyle w:val="FootnoteReference"/>
          <w:lang w:val="en-GB"/>
        </w:rPr>
        <w:footnoteReference w:id="8"/>
      </w:r>
    </w:p>
    <w:p w:rsidR="00E0214D" w:rsidRDefault="00F11F2E" w:rsidP="005B2445">
      <w:pPr>
        <w:pStyle w:val="Parabase"/>
        <w:rPr>
          <w:lang w:val="en-GB"/>
        </w:rPr>
      </w:pPr>
      <w:r>
        <w:rPr>
          <w:lang w:val="en-GB"/>
        </w:rPr>
        <w:t>Like the right to freedom of expression, the right of each person to be protected from discrimination and violence are fundamental human rights.</w:t>
      </w:r>
      <w:r>
        <w:rPr>
          <w:rStyle w:val="FootnoteReference"/>
          <w:lang w:val="en-GB"/>
        </w:rPr>
        <w:footnoteReference w:id="9"/>
      </w:r>
      <w:r>
        <w:rPr>
          <w:lang w:val="en-GB"/>
        </w:rPr>
        <w:t xml:space="preserve"> In particular, Article 20(2) of the International Covenant on Civil and Political Rights requires that </w:t>
      </w:r>
      <w:r w:rsidR="002C4913">
        <w:rPr>
          <w:lang w:val="en-GB"/>
        </w:rPr>
        <w:t>‘</w:t>
      </w:r>
      <w:r>
        <w:rPr>
          <w:lang w:val="en-GB"/>
        </w:rPr>
        <w:t>any advocacy of national, racial or religious hatred that constitutes incitement to discrimination, hostility or violence shall be prohibited by law</w:t>
      </w:r>
      <w:r w:rsidR="002C4913">
        <w:rPr>
          <w:lang w:val="en-GB"/>
        </w:rPr>
        <w:t>’</w:t>
      </w:r>
      <w:r>
        <w:rPr>
          <w:lang w:val="en-GB"/>
        </w:rPr>
        <w:t>.</w:t>
      </w:r>
      <w:r>
        <w:rPr>
          <w:rStyle w:val="FootnoteReference"/>
          <w:lang w:val="en-GB"/>
        </w:rPr>
        <w:footnoteReference w:id="10"/>
      </w:r>
      <w:r w:rsidR="002C4913">
        <w:rPr>
          <w:lang w:val="en-GB"/>
        </w:rPr>
        <w:t xml:space="preserve"> </w:t>
      </w:r>
      <w:r w:rsidR="00720302">
        <w:rPr>
          <w:lang w:val="en-GB"/>
        </w:rPr>
        <w:t>Thus</w:t>
      </w:r>
      <w:r w:rsidR="00744741">
        <w:rPr>
          <w:lang w:val="en-GB"/>
        </w:rPr>
        <w:t xml:space="preserve"> the right to freedom of expression does not protect expression which seeks </w:t>
      </w:r>
      <w:r w:rsidR="00CF654D" w:rsidRPr="00CF654D">
        <w:rPr>
          <w:lang w:val="en-GB"/>
        </w:rPr>
        <w:t xml:space="preserve">to </w:t>
      </w:r>
      <w:r w:rsidR="00CF654D" w:rsidRPr="00CF654D">
        <w:rPr>
          <w:i/>
          <w:lang w:val="en-GB"/>
        </w:rPr>
        <w:t>incite violence, hatred or discrimination</w:t>
      </w:r>
      <w:r w:rsidR="00744741">
        <w:rPr>
          <w:lang w:val="en-GB"/>
        </w:rPr>
        <w:t xml:space="preserve"> against others.</w:t>
      </w:r>
      <w:r w:rsidR="00744741">
        <w:rPr>
          <w:rStyle w:val="FootnoteReference"/>
          <w:lang w:val="en-GB"/>
        </w:rPr>
        <w:footnoteReference w:id="11"/>
      </w:r>
      <w:r w:rsidR="00744741">
        <w:rPr>
          <w:lang w:val="en-GB"/>
        </w:rPr>
        <w:t xml:space="preserve"> </w:t>
      </w:r>
      <w:r w:rsidR="00E0214D">
        <w:rPr>
          <w:lang w:val="en-GB"/>
        </w:rPr>
        <w:t xml:space="preserve">Accordingly, the </w:t>
      </w:r>
      <w:proofErr w:type="spellStart"/>
      <w:r w:rsidR="00E0214D">
        <w:rPr>
          <w:lang w:val="en-GB"/>
        </w:rPr>
        <w:t>E</w:t>
      </w:r>
      <w:r w:rsidR="00067818">
        <w:rPr>
          <w:lang w:val="en-GB"/>
        </w:rPr>
        <w:t>CtHR</w:t>
      </w:r>
      <w:proofErr w:type="spellEnd"/>
      <w:r w:rsidR="00E0214D">
        <w:rPr>
          <w:lang w:val="en-GB"/>
        </w:rPr>
        <w:t xml:space="preserve"> has </w:t>
      </w:r>
      <w:r w:rsidR="00720302">
        <w:rPr>
          <w:lang w:val="en-GB"/>
        </w:rPr>
        <w:t xml:space="preserve">confirmed </w:t>
      </w:r>
      <w:r w:rsidR="00E0214D">
        <w:rPr>
          <w:lang w:val="en-GB"/>
        </w:rPr>
        <w:t xml:space="preserve">that it </w:t>
      </w:r>
      <w:r w:rsidR="002C4913">
        <w:rPr>
          <w:lang w:val="en-GB"/>
        </w:rPr>
        <w:t>‘</w:t>
      </w:r>
      <w:r w:rsidR="00E0214D">
        <w:rPr>
          <w:lang w:val="en-GB"/>
        </w:rPr>
        <w:t>may be considered necessary in certain democratic societies to sanction or even prevent all forms of expression which spread, incite or justify hatred based on intolerance</w:t>
      </w:r>
      <w:r w:rsidR="002C4913">
        <w:rPr>
          <w:lang w:val="en-GB"/>
        </w:rPr>
        <w:t>’</w:t>
      </w:r>
      <w:r w:rsidR="00E0214D">
        <w:rPr>
          <w:lang w:val="en-GB"/>
        </w:rPr>
        <w:t>.</w:t>
      </w:r>
      <w:r w:rsidR="00E0214D">
        <w:rPr>
          <w:rStyle w:val="FootnoteReference"/>
          <w:lang w:val="en-GB"/>
        </w:rPr>
        <w:footnoteReference w:id="12"/>
      </w:r>
    </w:p>
    <w:p w:rsidR="00C2241C" w:rsidRDefault="00FF3FCF" w:rsidP="005B2445">
      <w:pPr>
        <w:pStyle w:val="Parabase"/>
        <w:rPr>
          <w:lang w:val="en-GB"/>
        </w:rPr>
      </w:pPr>
      <w:r>
        <w:rPr>
          <w:lang w:val="en-GB"/>
        </w:rPr>
        <w:t xml:space="preserve">Even in the context of apparently intolerant statements, however, </w:t>
      </w:r>
      <w:r w:rsidR="00C2241C">
        <w:rPr>
          <w:lang w:val="en-GB"/>
        </w:rPr>
        <w:t xml:space="preserve">a balance must still be struck between the right of individuals to express points of view which others may find offensive or insulting, and the rights of others to be protected from hatred and discrimination. For this reason, the </w:t>
      </w:r>
      <w:r w:rsidR="00C2241C">
        <w:rPr>
          <w:i/>
          <w:lang w:val="en-GB"/>
        </w:rPr>
        <w:t>context</w:t>
      </w:r>
      <w:r w:rsidR="00C2241C">
        <w:rPr>
          <w:lang w:val="en-GB"/>
        </w:rPr>
        <w:t xml:space="preserve"> in which the statement was made</w:t>
      </w:r>
      <w:r w:rsidR="00880576">
        <w:rPr>
          <w:lang w:val="en-GB"/>
        </w:rPr>
        <w:t xml:space="preserve"> is highly relevant</w:t>
      </w:r>
      <w:r w:rsidR="00C2241C">
        <w:rPr>
          <w:lang w:val="en-GB"/>
        </w:rPr>
        <w:t xml:space="preserve">. </w:t>
      </w:r>
    </w:p>
    <w:p w:rsidR="00C975CD" w:rsidRDefault="00C975CD" w:rsidP="005B2445">
      <w:pPr>
        <w:pStyle w:val="Parabase"/>
        <w:rPr>
          <w:lang w:val="en-GB"/>
        </w:rPr>
      </w:pPr>
    </w:p>
    <w:p w:rsidR="002929B5" w:rsidRDefault="002929B5" w:rsidP="002929B5">
      <w:pPr>
        <w:pStyle w:val="L3Headers"/>
      </w:pPr>
      <w:bookmarkStart w:id="27" w:name="_Toc410651250"/>
      <w:r>
        <w:t xml:space="preserve">Examples of how context </w:t>
      </w:r>
      <w:r w:rsidR="00C228E5">
        <w:t>affects</w:t>
      </w:r>
      <w:r>
        <w:t xml:space="preserve"> whether communications are unlawful</w:t>
      </w:r>
      <w:bookmarkEnd w:id="27"/>
      <w:r>
        <w:t xml:space="preserve"> </w:t>
      </w:r>
    </w:p>
    <w:p w:rsidR="00C975CD" w:rsidRDefault="00C975CD" w:rsidP="00C975CD">
      <w:pPr>
        <w:pStyle w:val="Parabase"/>
        <w:rPr>
          <w:lang w:val="en-GB"/>
        </w:rPr>
      </w:pPr>
      <w:r>
        <w:rPr>
          <w:lang w:val="en-GB"/>
        </w:rPr>
        <w:t>Individual members of the public are free to say anything that is not specifically prohibited by law</w:t>
      </w:r>
      <w:r w:rsidR="00B9525A">
        <w:rPr>
          <w:lang w:val="en-GB"/>
        </w:rPr>
        <w:t>,</w:t>
      </w:r>
      <w:r>
        <w:rPr>
          <w:lang w:val="en-GB"/>
        </w:rPr>
        <w:t xml:space="preserve"> provided that they do not defame </w:t>
      </w:r>
      <w:r w:rsidR="00AC6DAD">
        <w:rPr>
          <w:lang w:val="en-GB"/>
        </w:rPr>
        <w:t xml:space="preserve">or harass </w:t>
      </w:r>
      <w:r>
        <w:rPr>
          <w:lang w:val="en-GB"/>
        </w:rPr>
        <w:t xml:space="preserve">others </w:t>
      </w:r>
      <w:r>
        <w:t>or commit a criminal offence</w:t>
      </w:r>
      <w:r>
        <w:rPr>
          <w:lang w:val="en-GB"/>
        </w:rPr>
        <w:t xml:space="preserve">. </w:t>
      </w:r>
    </w:p>
    <w:p w:rsidR="00C975CD" w:rsidRPr="00C975CD" w:rsidRDefault="00C975CD" w:rsidP="00497770">
      <w:pPr>
        <w:pStyle w:val="Parapre-bullets"/>
      </w:pPr>
      <w:r w:rsidRPr="00C975CD">
        <w:t>However, additional restrictions may arise in many situations, for instance:</w:t>
      </w:r>
    </w:p>
    <w:p w:rsidR="00C975CD" w:rsidRPr="00C975CD" w:rsidRDefault="00C975CD" w:rsidP="00497770">
      <w:pPr>
        <w:pStyle w:val="Bulletsbase"/>
        <w:numPr>
          <w:ilvl w:val="0"/>
          <w:numId w:val="4"/>
        </w:numPr>
      </w:pPr>
      <w:r w:rsidRPr="00C975CD">
        <w:t>in the workplace</w:t>
      </w:r>
    </w:p>
    <w:p w:rsidR="00C975CD" w:rsidRPr="00C975CD" w:rsidRDefault="00C975CD" w:rsidP="00497770">
      <w:pPr>
        <w:pStyle w:val="Bulletsbase"/>
        <w:numPr>
          <w:ilvl w:val="0"/>
          <w:numId w:val="4"/>
        </w:numPr>
      </w:pPr>
      <w:r w:rsidRPr="00C975CD">
        <w:t>when providing or receiving goods and services</w:t>
      </w:r>
    </w:p>
    <w:p w:rsidR="00C975CD" w:rsidRPr="00C975CD" w:rsidRDefault="00C975CD" w:rsidP="00497770">
      <w:pPr>
        <w:pStyle w:val="Bulletsbase"/>
        <w:numPr>
          <w:ilvl w:val="0"/>
          <w:numId w:val="4"/>
        </w:numPr>
      </w:pPr>
      <w:r w:rsidRPr="00C975CD">
        <w:lastRenderedPageBreak/>
        <w:t>in education settings, and</w:t>
      </w:r>
    </w:p>
    <w:p w:rsidR="00C975CD" w:rsidRPr="00C975CD" w:rsidRDefault="00C975CD" w:rsidP="00497770">
      <w:pPr>
        <w:pStyle w:val="Bulletsbase"/>
        <w:numPr>
          <w:ilvl w:val="0"/>
          <w:numId w:val="4"/>
        </w:numPr>
      </w:pPr>
      <w:r w:rsidRPr="00C975CD">
        <w:t>during election campaigns.</w:t>
      </w:r>
    </w:p>
    <w:p w:rsidR="00C975CD" w:rsidRDefault="00C975CD" w:rsidP="002929B5">
      <w:pPr>
        <w:pStyle w:val="Parabase"/>
        <w:spacing w:line="360" w:lineRule="auto"/>
        <w:rPr>
          <w:lang w:val="en-GB"/>
        </w:rPr>
      </w:pPr>
    </w:p>
    <w:tbl>
      <w:tblPr>
        <w:tblStyle w:val="TableGrid"/>
        <w:tblW w:w="0" w:type="auto"/>
        <w:tblLook w:val="04A0"/>
      </w:tblPr>
      <w:tblGrid>
        <w:gridCol w:w="9236"/>
      </w:tblGrid>
      <w:tr w:rsidR="000D2F9C" w:rsidTr="00596678">
        <w:tc>
          <w:tcPr>
            <w:tcW w:w="9236" w:type="dxa"/>
            <w:tcBorders>
              <w:top w:val="nil"/>
              <w:left w:val="nil"/>
              <w:bottom w:val="nil"/>
              <w:right w:val="nil"/>
            </w:tcBorders>
            <w:shd w:val="clear" w:color="auto" w:fill="FDE9D9" w:themeFill="accent6" w:themeFillTint="33"/>
          </w:tcPr>
          <w:p w:rsidR="000D2F9C" w:rsidRDefault="002C4913">
            <w:pPr>
              <w:pStyle w:val="PlainText"/>
              <w:spacing w:line="360" w:lineRule="auto"/>
              <w:rPr>
                <w:sz w:val="24"/>
              </w:rPr>
            </w:pPr>
            <w:r>
              <w:rPr>
                <w:sz w:val="24"/>
              </w:rPr>
              <w:t>‘</w:t>
            </w:r>
            <w:r w:rsidR="000D2F9C" w:rsidRPr="00C975CD">
              <w:rPr>
                <w:sz w:val="24"/>
              </w:rPr>
              <w:t>Everyone on disability benefit is a fraud</w:t>
            </w:r>
            <w:r>
              <w:rPr>
                <w:sz w:val="24"/>
              </w:rPr>
              <w:t>’</w:t>
            </w:r>
            <w:r w:rsidR="000D2F9C" w:rsidRPr="00C975CD">
              <w:rPr>
                <w:sz w:val="24"/>
              </w:rPr>
              <w:t xml:space="preserve"> </w:t>
            </w:r>
            <w:r w:rsidRPr="00596678">
              <w:rPr>
                <w:sz w:val="24"/>
              </w:rPr>
              <w:t>–</w:t>
            </w:r>
            <w:r w:rsidR="000D2F9C" w:rsidRPr="00C975CD">
              <w:rPr>
                <w:sz w:val="24"/>
              </w:rPr>
              <w:t xml:space="preserve"> is an example of a pejorative and </w:t>
            </w:r>
            <w:r w:rsidR="005260E9">
              <w:rPr>
                <w:sz w:val="24"/>
              </w:rPr>
              <w:t>factually incorrect</w:t>
            </w:r>
            <w:r w:rsidR="005260E9" w:rsidRPr="00C975CD">
              <w:rPr>
                <w:sz w:val="24"/>
              </w:rPr>
              <w:t xml:space="preserve"> </w:t>
            </w:r>
            <w:r w:rsidR="000D2F9C" w:rsidRPr="00C975CD">
              <w:rPr>
                <w:sz w:val="24"/>
              </w:rPr>
              <w:t xml:space="preserve">statement that would not ordinarily be actionable if made by a private individual but would certainly be subject to restriction in the context of </w:t>
            </w:r>
            <w:r w:rsidR="000D2F9C">
              <w:rPr>
                <w:sz w:val="24"/>
              </w:rPr>
              <w:t>schools</w:t>
            </w:r>
            <w:r w:rsidR="000D2F9C" w:rsidRPr="00C975CD">
              <w:rPr>
                <w:sz w:val="24"/>
              </w:rPr>
              <w:t xml:space="preserve">, for </w:t>
            </w:r>
            <w:r w:rsidR="000D2F9C">
              <w:rPr>
                <w:sz w:val="24"/>
              </w:rPr>
              <w:t>example</w:t>
            </w:r>
            <w:r w:rsidR="000D2F9C" w:rsidRPr="00C975CD">
              <w:rPr>
                <w:sz w:val="24"/>
              </w:rPr>
              <w:t>. If it w</w:t>
            </w:r>
            <w:r w:rsidR="000D2F9C">
              <w:rPr>
                <w:sz w:val="24"/>
              </w:rPr>
              <w:t>ere</w:t>
            </w:r>
            <w:r w:rsidR="000D2F9C" w:rsidRPr="00C975CD">
              <w:rPr>
                <w:sz w:val="24"/>
              </w:rPr>
              <w:t xml:space="preserve"> specifically targeted at an individual</w:t>
            </w:r>
            <w:r>
              <w:rPr>
                <w:sz w:val="24"/>
              </w:rPr>
              <w:t>,</w:t>
            </w:r>
            <w:r w:rsidR="000D2F9C">
              <w:rPr>
                <w:sz w:val="24"/>
              </w:rPr>
              <w:t xml:space="preserve"> such as</w:t>
            </w:r>
            <w:r w:rsidR="000D2F9C" w:rsidRPr="00C975CD">
              <w:rPr>
                <w:sz w:val="24"/>
              </w:rPr>
              <w:t xml:space="preserve"> a political opponent in an electoral context, then </w:t>
            </w:r>
            <w:r w:rsidR="000D2F9C">
              <w:rPr>
                <w:sz w:val="24"/>
              </w:rPr>
              <w:t xml:space="preserve">it </w:t>
            </w:r>
            <w:r w:rsidR="000D2F9C" w:rsidRPr="00C975CD">
              <w:rPr>
                <w:sz w:val="24"/>
              </w:rPr>
              <w:t>might be defamatory.</w:t>
            </w:r>
          </w:p>
        </w:tc>
      </w:tr>
    </w:tbl>
    <w:p w:rsidR="00C506BF" w:rsidRDefault="00C506BF" w:rsidP="002929B5">
      <w:pPr>
        <w:pStyle w:val="Parabase"/>
        <w:spacing w:line="360" w:lineRule="auto"/>
        <w:rPr>
          <w:lang w:val="en-GB"/>
        </w:rPr>
      </w:pPr>
    </w:p>
    <w:p w:rsidR="00C975CD" w:rsidRDefault="00720302" w:rsidP="002929B5">
      <w:pPr>
        <w:pStyle w:val="Parabase"/>
        <w:spacing w:line="360" w:lineRule="auto"/>
        <w:rPr>
          <w:lang w:val="en-GB"/>
        </w:rPr>
      </w:pPr>
      <w:r>
        <w:rPr>
          <w:lang w:val="en-GB"/>
        </w:rPr>
        <w:t>A</w:t>
      </w:r>
      <w:r w:rsidR="00324582">
        <w:rPr>
          <w:lang w:val="en-GB"/>
        </w:rPr>
        <w:t xml:space="preserve">n intolerant </w:t>
      </w:r>
      <w:r w:rsidR="0039408B">
        <w:rPr>
          <w:lang w:val="en-GB"/>
        </w:rPr>
        <w:t>expression of a</w:t>
      </w:r>
      <w:r w:rsidR="00324582">
        <w:rPr>
          <w:lang w:val="en-GB"/>
        </w:rPr>
        <w:t xml:space="preserve"> point of view</w:t>
      </w:r>
      <w:r w:rsidR="0039408B">
        <w:rPr>
          <w:lang w:val="en-GB"/>
        </w:rPr>
        <w:t xml:space="preserve"> which offends some people</w:t>
      </w:r>
      <w:r w:rsidR="00324582">
        <w:rPr>
          <w:lang w:val="en-GB"/>
        </w:rPr>
        <w:t xml:space="preserve"> </w:t>
      </w:r>
      <w:r w:rsidR="00324582" w:rsidRPr="00324582">
        <w:rPr>
          <w:lang w:val="en-GB"/>
        </w:rPr>
        <w:t xml:space="preserve">is less likely to </w:t>
      </w:r>
      <w:r w:rsidR="00324582">
        <w:rPr>
          <w:lang w:val="en-GB"/>
        </w:rPr>
        <w:t xml:space="preserve">be considered </w:t>
      </w:r>
      <w:r w:rsidR="00324582" w:rsidRPr="00324582">
        <w:rPr>
          <w:lang w:val="en-GB"/>
        </w:rPr>
        <w:t xml:space="preserve">hate speech if </w:t>
      </w:r>
      <w:r w:rsidR="00065FB9">
        <w:rPr>
          <w:lang w:val="en-GB"/>
        </w:rPr>
        <w:t>expressed</w:t>
      </w:r>
      <w:r w:rsidR="00324582" w:rsidRPr="00324582">
        <w:rPr>
          <w:lang w:val="en-GB"/>
        </w:rPr>
        <w:t xml:space="preserve"> in a political speech or a </w:t>
      </w:r>
      <w:r w:rsidR="00324582">
        <w:rPr>
          <w:lang w:val="en-GB"/>
        </w:rPr>
        <w:t xml:space="preserve">public </w:t>
      </w:r>
      <w:r w:rsidR="00324582" w:rsidRPr="00324582">
        <w:rPr>
          <w:lang w:val="en-GB"/>
        </w:rPr>
        <w:t>debate</w:t>
      </w:r>
      <w:r w:rsidR="00FF3FCF">
        <w:rPr>
          <w:lang w:val="en-GB"/>
        </w:rPr>
        <w:t xml:space="preserve"> in which different points of views are being exchanged and are open to challenge</w:t>
      </w:r>
      <w:r w:rsidR="00324582" w:rsidRPr="00324582">
        <w:rPr>
          <w:lang w:val="en-GB"/>
        </w:rPr>
        <w:t>.</w:t>
      </w:r>
      <w:r w:rsidR="00FF3FCF">
        <w:rPr>
          <w:rStyle w:val="FootnoteReference"/>
          <w:lang w:val="en-GB"/>
        </w:rPr>
        <w:footnoteReference w:id="13"/>
      </w:r>
      <w:r w:rsidR="00324582" w:rsidRPr="00324582">
        <w:rPr>
          <w:lang w:val="en-GB"/>
        </w:rPr>
        <w:t xml:space="preserve"> </w:t>
      </w:r>
    </w:p>
    <w:p w:rsidR="000D2F9C" w:rsidRDefault="00296E11" w:rsidP="002929B5">
      <w:pPr>
        <w:pStyle w:val="PlainText"/>
        <w:spacing w:line="360" w:lineRule="auto"/>
        <w:rPr>
          <w:sz w:val="24"/>
        </w:rPr>
      </w:pPr>
      <w:r>
        <w:rPr>
          <w:sz w:val="24"/>
        </w:rPr>
        <w:t>When referring to race, religion or other characteristic, there is a fine line to be drawn between political expressions that are legitimate and communications that may not be protected by Article 10.</w:t>
      </w:r>
      <w:r w:rsidR="00497770">
        <w:rPr>
          <w:sz w:val="24"/>
        </w:rPr>
        <w:t xml:space="preserve"> </w:t>
      </w:r>
    </w:p>
    <w:p w:rsidR="000D2F9C" w:rsidRDefault="000D2F9C" w:rsidP="002929B5">
      <w:pPr>
        <w:pStyle w:val="PlainText"/>
        <w:spacing w:line="360" w:lineRule="auto"/>
        <w:rPr>
          <w:sz w:val="24"/>
        </w:rPr>
      </w:pPr>
    </w:p>
    <w:tbl>
      <w:tblPr>
        <w:tblStyle w:val="TableGrid"/>
        <w:tblW w:w="0" w:type="auto"/>
        <w:tblLook w:val="04A0"/>
      </w:tblPr>
      <w:tblGrid>
        <w:gridCol w:w="9236"/>
      </w:tblGrid>
      <w:tr w:rsidR="000D2F9C" w:rsidTr="00596678">
        <w:tc>
          <w:tcPr>
            <w:tcW w:w="9236" w:type="dxa"/>
            <w:tcBorders>
              <w:top w:val="nil"/>
              <w:left w:val="nil"/>
              <w:bottom w:val="nil"/>
              <w:right w:val="nil"/>
            </w:tcBorders>
            <w:shd w:val="clear" w:color="auto" w:fill="FDE9D9" w:themeFill="accent6" w:themeFillTint="33"/>
          </w:tcPr>
          <w:p w:rsidR="000D2F9C" w:rsidRDefault="001E6686" w:rsidP="00F645D2">
            <w:pPr>
              <w:pStyle w:val="PlainText"/>
              <w:spacing w:line="360" w:lineRule="auto"/>
              <w:rPr>
                <w:sz w:val="24"/>
              </w:rPr>
            </w:pPr>
            <w:r>
              <w:rPr>
                <w:sz w:val="24"/>
              </w:rPr>
              <w:t>‘</w:t>
            </w:r>
            <w:r w:rsidR="000D2F9C" w:rsidRPr="00C975CD">
              <w:rPr>
                <w:sz w:val="24"/>
              </w:rPr>
              <w:t>Romanians should</w:t>
            </w:r>
            <w:r w:rsidR="000D2F9C">
              <w:rPr>
                <w:sz w:val="24"/>
              </w:rPr>
              <w:t xml:space="preserve"> not be let into our country</w:t>
            </w:r>
            <w:r>
              <w:rPr>
                <w:sz w:val="24"/>
              </w:rPr>
              <w:t>’</w:t>
            </w:r>
            <w:r w:rsidR="000D2F9C">
              <w:rPr>
                <w:sz w:val="24"/>
              </w:rPr>
              <w:t xml:space="preserve">, although offensive, </w:t>
            </w:r>
            <w:r w:rsidR="000D2F9C" w:rsidRPr="00C975CD">
              <w:rPr>
                <w:sz w:val="24"/>
              </w:rPr>
              <w:t xml:space="preserve">would </w:t>
            </w:r>
            <w:r w:rsidR="000D2F9C">
              <w:rPr>
                <w:sz w:val="24"/>
              </w:rPr>
              <w:t xml:space="preserve">normally </w:t>
            </w:r>
            <w:r w:rsidR="000D2F9C" w:rsidRPr="00C975CD">
              <w:rPr>
                <w:sz w:val="24"/>
              </w:rPr>
              <w:t>be protected as political speech under Article 10 ECHR, on the basis that EU freedom of movement is a legitimate issue of political debate.</w:t>
            </w:r>
            <w:r w:rsidR="000D2F9C">
              <w:rPr>
                <w:sz w:val="24"/>
              </w:rPr>
              <w:t xml:space="preserve"> However a Belgian convicted for handing out leaflets stating </w:t>
            </w:r>
            <w:r>
              <w:rPr>
                <w:sz w:val="24"/>
              </w:rPr>
              <w:t>‘</w:t>
            </w:r>
            <w:r w:rsidR="000D2F9C">
              <w:rPr>
                <w:sz w:val="24"/>
              </w:rPr>
              <w:t>Send non-European job-seekers home</w:t>
            </w:r>
            <w:r>
              <w:rPr>
                <w:sz w:val="24"/>
              </w:rPr>
              <w:t xml:space="preserve">’ </w:t>
            </w:r>
            <w:r w:rsidR="000D2F9C">
              <w:rPr>
                <w:sz w:val="24"/>
              </w:rPr>
              <w:t xml:space="preserve">and </w:t>
            </w:r>
            <w:r>
              <w:rPr>
                <w:sz w:val="24"/>
              </w:rPr>
              <w:t>‘</w:t>
            </w:r>
            <w:r w:rsidR="000D2F9C">
              <w:rPr>
                <w:sz w:val="24"/>
              </w:rPr>
              <w:t xml:space="preserve">Stand </w:t>
            </w:r>
            <w:r w:rsidR="00C54354">
              <w:rPr>
                <w:sz w:val="24"/>
              </w:rPr>
              <w:t xml:space="preserve">up </w:t>
            </w:r>
            <w:r w:rsidR="00F645D2">
              <w:rPr>
                <w:sz w:val="24"/>
              </w:rPr>
              <w:t xml:space="preserve">against </w:t>
            </w:r>
            <w:r w:rsidR="000D2F9C">
              <w:rPr>
                <w:sz w:val="24"/>
              </w:rPr>
              <w:t xml:space="preserve">the </w:t>
            </w:r>
            <w:proofErr w:type="spellStart"/>
            <w:r w:rsidR="000D2F9C">
              <w:rPr>
                <w:sz w:val="24"/>
              </w:rPr>
              <w:t>Islamification</w:t>
            </w:r>
            <w:proofErr w:type="spellEnd"/>
            <w:r w:rsidR="000D2F9C">
              <w:rPr>
                <w:sz w:val="24"/>
              </w:rPr>
              <w:t xml:space="preserve"> of Belgium</w:t>
            </w:r>
            <w:r>
              <w:rPr>
                <w:sz w:val="24"/>
              </w:rPr>
              <w:t>’</w:t>
            </w:r>
            <w:r w:rsidR="000D2F9C">
              <w:rPr>
                <w:sz w:val="24"/>
              </w:rPr>
              <w:t xml:space="preserve"> could not rely on his Article 10 right to overturn his conviction.</w:t>
            </w:r>
            <w:r w:rsidR="000D2F9C">
              <w:rPr>
                <w:rStyle w:val="FootnoteReference"/>
                <w:sz w:val="24"/>
              </w:rPr>
              <w:footnoteReference w:id="14"/>
            </w:r>
            <w:r w:rsidR="00497770">
              <w:rPr>
                <w:sz w:val="24"/>
              </w:rPr>
              <w:t xml:space="preserve"> </w:t>
            </w:r>
          </w:p>
        </w:tc>
      </w:tr>
    </w:tbl>
    <w:p w:rsidR="002929B5" w:rsidRDefault="002929B5" w:rsidP="002929B5">
      <w:pPr>
        <w:pStyle w:val="PlainText"/>
        <w:spacing w:line="360" w:lineRule="auto"/>
        <w:rPr>
          <w:sz w:val="24"/>
        </w:rPr>
      </w:pPr>
    </w:p>
    <w:p w:rsidR="00C975CD" w:rsidRDefault="00D93614" w:rsidP="002929B5">
      <w:pPr>
        <w:pStyle w:val="PlainText"/>
        <w:spacing w:line="360" w:lineRule="auto"/>
        <w:rPr>
          <w:sz w:val="24"/>
        </w:rPr>
      </w:pPr>
      <w:r>
        <w:rPr>
          <w:sz w:val="24"/>
        </w:rPr>
        <w:t xml:space="preserve">However, </w:t>
      </w:r>
      <w:r w:rsidR="00C506BF">
        <w:rPr>
          <w:sz w:val="24"/>
        </w:rPr>
        <w:t>i</w:t>
      </w:r>
      <w:r w:rsidR="00CB4BD5">
        <w:rPr>
          <w:sz w:val="24"/>
        </w:rPr>
        <w:t>n certain circumstances</w:t>
      </w:r>
      <w:r>
        <w:rPr>
          <w:sz w:val="24"/>
        </w:rPr>
        <w:t>, the</w:t>
      </w:r>
      <w:r w:rsidR="00C975CD" w:rsidRPr="00C975CD">
        <w:rPr>
          <w:sz w:val="24"/>
        </w:rPr>
        <w:t xml:space="preserve"> statement could cross the line into incitement to hatred. A statement likely to inflame an already tense situation or provoke conflict is more likely to be viewed as hate speech by the courts.</w:t>
      </w:r>
    </w:p>
    <w:p w:rsidR="002929B5" w:rsidRDefault="002929B5" w:rsidP="002929B5">
      <w:pPr>
        <w:pStyle w:val="PlainText"/>
        <w:spacing w:line="360" w:lineRule="auto"/>
        <w:rPr>
          <w:sz w:val="24"/>
        </w:rPr>
      </w:pPr>
    </w:p>
    <w:tbl>
      <w:tblPr>
        <w:tblStyle w:val="TableGrid"/>
        <w:tblW w:w="0" w:type="auto"/>
        <w:tblLook w:val="04A0"/>
      </w:tblPr>
      <w:tblGrid>
        <w:gridCol w:w="9236"/>
      </w:tblGrid>
      <w:tr w:rsidR="00036672" w:rsidTr="00596678">
        <w:tc>
          <w:tcPr>
            <w:tcW w:w="9236" w:type="dxa"/>
            <w:tcBorders>
              <w:top w:val="nil"/>
              <w:left w:val="nil"/>
              <w:bottom w:val="nil"/>
              <w:right w:val="nil"/>
            </w:tcBorders>
            <w:shd w:val="clear" w:color="auto" w:fill="FDE9D9" w:themeFill="accent6" w:themeFillTint="33"/>
          </w:tcPr>
          <w:p w:rsidR="00036672" w:rsidRDefault="001E6686" w:rsidP="00F645D2">
            <w:pPr>
              <w:pStyle w:val="PlainText"/>
              <w:spacing w:line="360" w:lineRule="auto"/>
              <w:rPr>
                <w:sz w:val="24"/>
              </w:rPr>
            </w:pPr>
            <w:r>
              <w:rPr>
                <w:sz w:val="24"/>
              </w:rPr>
              <w:t>‘</w:t>
            </w:r>
            <w:proofErr w:type="spellStart"/>
            <w:r w:rsidR="00811377">
              <w:rPr>
                <w:sz w:val="24"/>
              </w:rPr>
              <w:t>Gypos</w:t>
            </w:r>
            <w:proofErr w:type="spellEnd"/>
            <w:r w:rsidR="00811377">
              <w:rPr>
                <w:sz w:val="24"/>
              </w:rPr>
              <w:t xml:space="preserve"> cause all the crime around here</w:t>
            </w:r>
            <w:r>
              <w:rPr>
                <w:sz w:val="24"/>
              </w:rPr>
              <w:t>’</w:t>
            </w:r>
            <w:r w:rsidR="00036672" w:rsidRPr="00C975CD">
              <w:rPr>
                <w:sz w:val="24"/>
              </w:rPr>
              <w:t xml:space="preserve"> </w:t>
            </w:r>
            <w:r w:rsidRPr="00596678">
              <w:rPr>
                <w:sz w:val="24"/>
              </w:rPr>
              <w:t>–</w:t>
            </w:r>
            <w:r w:rsidR="00036672" w:rsidRPr="00C975CD">
              <w:rPr>
                <w:sz w:val="24"/>
              </w:rPr>
              <w:t xml:space="preserve"> is </w:t>
            </w:r>
            <w:r>
              <w:rPr>
                <w:sz w:val="24"/>
              </w:rPr>
              <w:t>a</w:t>
            </w:r>
            <w:r w:rsidR="00F645D2">
              <w:rPr>
                <w:sz w:val="24"/>
              </w:rPr>
              <w:t xml:space="preserve">n </w:t>
            </w:r>
            <w:r w:rsidR="00036672" w:rsidRPr="00C975CD">
              <w:rPr>
                <w:sz w:val="24"/>
              </w:rPr>
              <w:t xml:space="preserve">offensive statement that a private individual could </w:t>
            </w:r>
            <w:r w:rsidR="00036672">
              <w:rPr>
                <w:sz w:val="24"/>
              </w:rPr>
              <w:t xml:space="preserve">lawfully </w:t>
            </w:r>
            <w:r w:rsidR="00036672" w:rsidRPr="00C975CD">
              <w:rPr>
                <w:sz w:val="24"/>
              </w:rPr>
              <w:t xml:space="preserve">express to another in a </w:t>
            </w:r>
            <w:r w:rsidR="00036672">
              <w:rPr>
                <w:sz w:val="24"/>
              </w:rPr>
              <w:t xml:space="preserve">purely </w:t>
            </w:r>
            <w:r w:rsidR="00036672" w:rsidRPr="00C975CD">
              <w:rPr>
                <w:sz w:val="24"/>
              </w:rPr>
              <w:t xml:space="preserve">private context </w:t>
            </w:r>
            <w:r w:rsidR="00036672">
              <w:rPr>
                <w:sz w:val="24"/>
              </w:rPr>
              <w:t xml:space="preserve">provided </w:t>
            </w:r>
            <w:r w:rsidR="00B9525A">
              <w:rPr>
                <w:sz w:val="24"/>
              </w:rPr>
              <w:t>it involved</w:t>
            </w:r>
            <w:r w:rsidR="00036672">
              <w:rPr>
                <w:sz w:val="24"/>
              </w:rPr>
              <w:t xml:space="preserve"> no harassment.</w:t>
            </w:r>
            <w:r w:rsidR="00497770">
              <w:rPr>
                <w:sz w:val="24"/>
              </w:rPr>
              <w:t xml:space="preserve"> </w:t>
            </w:r>
            <w:r w:rsidR="00036672" w:rsidRPr="00C975CD">
              <w:rPr>
                <w:sz w:val="24"/>
              </w:rPr>
              <w:t>However</w:t>
            </w:r>
            <w:r w:rsidR="00B9525A">
              <w:rPr>
                <w:sz w:val="24"/>
              </w:rPr>
              <w:t>,</w:t>
            </w:r>
            <w:r w:rsidR="00036672" w:rsidRPr="00C975CD">
              <w:rPr>
                <w:sz w:val="24"/>
              </w:rPr>
              <w:t xml:space="preserve"> once made in a public context this could give rise </w:t>
            </w:r>
            <w:r w:rsidR="00036672" w:rsidRPr="00C975CD">
              <w:rPr>
                <w:sz w:val="24"/>
              </w:rPr>
              <w:lastRenderedPageBreak/>
              <w:t xml:space="preserve">to a prosecution for incitement, for example, if made over a loudspeaker in front of a volatile crowd with the intention of inciting </w:t>
            </w:r>
            <w:r w:rsidR="00036672">
              <w:rPr>
                <w:sz w:val="24"/>
              </w:rPr>
              <w:t xml:space="preserve">racial </w:t>
            </w:r>
            <w:r w:rsidR="00036672" w:rsidRPr="00C975CD">
              <w:rPr>
                <w:sz w:val="24"/>
              </w:rPr>
              <w:t>hatred.</w:t>
            </w:r>
          </w:p>
        </w:tc>
      </w:tr>
    </w:tbl>
    <w:p w:rsidR="00C975CD" w:rsidRDefault="00C975CD" w:rsidP="002929B5">
      <w:pPr>
        <w:pStyle w:val="PlainText"/>
        <w:spacing w:line="360" w:lineRule="auto"/>
        <w:rPr>
          <w:sz w:val="24"/>
        </w:rPr>
      </w:pPr>
    </w:p>
    <w:p w:rsidR="00C975CD" w:rsidRPr="00C975CD" w:rsidRDefault="00C975CD" w:rsidP="002929B5">
      <w:pPr>
        <w:pStyle w:val="PlainText"/>
        <w:spacing w:line="360" w:lineRule="auto"/>
        <w:rPr>
          <w:sz w:val="24"/>
        </w:rPr>
      </w:pPr>
      <w:r w:rsidRPr="00C975CD">
        <w:rPr>
          <w:sz w:val="24"/>
        </w:rPr>
        <w:t xml:space="preserve">The ability of others to avoid being exposed to </w:t>
      </w:r>
      <w:r w:rsidR="00F645D2">
        <w:rPr>
          <w:sz w:val="24"/>
        </w:rPr>
        <w:t>an</w:t>
      </w:r>
      <w:r w:rsidRPr="00C975CD">
        <w:rPr>
          <w:sz w:val="24"/>
        </w:rPr>
        <w:t xml:space="preserve"> offensive expression can also be a factor. An image published in a book or website which must be sought out is more likely to be protected than a poster displayed in public.</w:t>
      </w:r>
    </w:p>
    <w:p w:rsidR="00C975CD" w:rsidRDefault="00C975CD" w:rsidP="002929B5">
      <w:pPr>
        <w:pStyle w:val="PlainText"/>
        <w:spacing w:line="360" w:lineRule="auto"/>
      </w:pPr>
    </w:p>
    <w:tbl>
      <w:tblPr>
        <w:tblStyle w:val="TableGrid"/>
        <w:tblW w:w="0" w:type="auto"/>
        <w:tblLook w:val="04A0"/>
      </w:tblPr>
      <w:tblGrid>
        <w:gridCol w:w="9236"/>
      </w:tblGrid>
      <w:tr w:rsidR="00833E69" w:rsidTr="00596678">
        <w:tc>
          <w:tcPr>
            <w:tcW w:w="9236" w:type="dxa"/>
            <w:tcBorders>
              <w:top w:val="nil"/>
              <w:left w:val="nil"/>
              <w:bottom w:val="nil"/>
              <w:right w:val="nil"/>
            </w:tcBorders>
            <w:shd w:val="clear" w:color="auto" w:fill="FDE9D9" w:themeFill="accent6" w:themeFillTint="33"/>
          </w:tcPr>
          <w:p w:rsidR="00833E69" w:rsidRDefault="001E6686">
            <w:pPr>
              <w:pStyle w:val="PlainText"/>
              <w:spacing w:line="360" w:lineRule="auto"/>
            </w:pPr>
            <w:r>
              <w:rPr>
                <w:sz w:val="24"/>
              </w:rPr>
              <w:t>‘</w:t>
            </w:r>
            <w:r w:rsidR="00833E69">
              <w:rPr>
                <w:sz w:val="24"/>
              </w:rPr>
              <w:t>24 signs she's a slut</w:t>
            </w:r>
            <w:r>
              <w:rPr>
                <w:sz w:val="24"/>
              </w:rPr>
              <w:t>’</w:t>
            </w:r>
            <w:r w:rsidR="00F645D2">
              <w:rPr>
                <w:sz w:val="24"/>
              </w:rPr>
              <w:t xml:space="preserve"> is the kind of</w:t>
            </w:r>
            <w:r w:rsidR="00833E69" w:rsidRPr="00C975CD">
              <w:rPr>
                <w:sz w:val="24"/>
              </w:rPr>
              <w:t xml:space="preserve"> material available on the </w:t>
            </w:r>
            <w:r w:rsidR="00B9525A">
              <w:rPr>
                <w:sz w:val="24"/>
              </w:rPr>
              <w:t>i</w:t>
            </w:r>
            <w:r w:rsidR="00833E69" w:rsidRPr="00C975CD">
              <w:rPr>
                <w:sz w:val="24"/>
              </w:rPr>
              <w:t>nternet that is unlikely to be actionable purely by being posted. If</w:t>
            </w:r>
            <w:r w:rsidR="00B9525A">
              <w:rPr>
                <w:sz w:val="24"/>
              </w:rPr>
              <w:t>,</w:t>
            </w:r>
            <w:r w:rsidR="00833E69" w:rsidRPr="00C975CD">
              <w:rPr>
                <w:sz w:val="24"/>
              </w:rPr>
              <w:t xml:space="preserve"> however</w:t>
            </w:r>
            <w:r w:rsidR="00B9525A">
              <w:rPr>
                <w:sz w:val="24"/>
              </w:rPr>
              <w:t>,</w:t>
            </w:r>
            <w:r w:rsidR="00833E69" w:rsidRPr="00C975CD">
              <w:rPr>
                <w:sz w:val="24"/>
              </w:rPr>
              <w:t xml:space="preserve"> it is specifically communicated to</w:t>
            </w:r>
            <w:r w:rsidR="00833E69">
              <w:rPr>
                <w:sz w:val="24"/>
              </w:rPr>
              <w:t>,</w:t>
            </w:r>
            <w:r w:rsidR="00833E69" w:rsidRPr="00C975CD">
              <w:rPr>
                <w:sz w:val="24"/>
              </w:rPr>
              <w:t xml:space="preserve"> or directed at</w:t>
            </w:r>
            <w:r w:rsidR="00833E69">
              <w:rPr>
                <w:sz w:val="24"/>
              </w:rPr>
              <w:t>,</w:t>
            </w:r>
            <w:r w:rsidR="00833E69" w:rsidRPr="00C975CD">
              <w:rPr>
                <w:sz w:val="24"/>
              </w:rPr>
              <w:t xml:space="preserve"> an individual or group it could result in legal action. </w:t>
            </w:r>
            <w:r w:rsidR="00833E69">
              <w:rPr>
                <w:sz w:val="24"/>
              </w:rPr>
              <w:t xml:space="preserve">In </w:t>
            </w:r>
            <w:r w:rsidR="00833E69" w:rsidRPr="00C975CD">
              <w:rPr>
                <w:sz w:val="24"/>
              </w:rPr>
              <w:t>the workplace</w:t>
            </w:r>
            <w:r w:rsidR="00B9525A">
              <w:rPr>
                <w:sz w:val="24"/>
              </w:rPr>
              <w:t>,</w:t>
            </w:r>
            <w:r w:rsidR="00833E69" w:rsidRPr="00C975CD">
              <w:rPr>
                <w:sz w:val="24"/>
              </w:rPr>
              <w:t xml:space="preserve"> it could give rise to dismissal or disciplinary action. Repetition of </w:t>
            </w:r>
            <w:r w:rsidR="00833E69">
              <w:rPr>
                <w:sz w:val="24"/>
              </w:rPr>
              <w:t>any</w:t>
            </w:r>
            <w:r w:rsidR="00833E69" w:rsidRPr="00C975CD">
              <w:rPr>
                <w:sz w:val="24"/>
              </w:rPr>
              <w:t xml:space="preserve"> statement against the recipient's wishes will increase t</w:t>
            </w:r>
            <w:r w:rsidR="00833E69">
              <w:rPr>
                <w:sz w:val="24"/>
              </w:rPr>
              <w:t xml:space="preserve">he likelihood of it constituting harassment. </w:t>
            </w:r>
          </w:p>
        </w:tc>
      </w:tr>
    </w:tbl>
    <w:p w:rsidR="00833E69" w:rsidRDefault="00833E69" w:rsidP="002929B5">
      <w:pPr>
        <w:pStyle w:val="PlainText"/>
        <w:spacing w:line="360" w:lineRule="auto"/>
      </w:pPr>
    </w:p>
    <w:p w:rsidR="00E85ACD" w:rsidRDefault="00065FB9" w:rsidP="005B2445">
      <w:pPr>
        <w:pStyle w:val="Parabase"/>
        <w:rPr>
          <w:lang w:val="en-GB"/>
        </w:rPr>
      </w:pPr>
      <w:r>
        <w:rPr>
          <w:lang w:val="en-GB"/>
        </w:rPr>
        <w:t>Extreme</w:t>
      </w:r>
      <w:r w:rsidR="00C9791C">
        <w:rPr>
          <w:lang w:val="en-GB"/>
        </w:rPr>
        <w:t xml:space="preserve"> hate speech </w:t>
      </w:r>
      <w:r>
        <w:rPr>
          <w:lang w:val="en-GB"/>
        </w:rPr>
        <w:t xml:space="preserve">will sometimes </w:t>
      </w:r>
      <w:r w:rsidR="00C9791C">
        <w:rPr>
          <w:lang w:val="en-GB"/>
        </w:rPr>
        <w:t>fall outside the scope of Article 10 entirely. This is because Article 17 of the European Conve</w:t>
      </w:r>
      <w:r w:rsidR="001D145F">
        <w:rPr>
          <w:lang w:val="en-GB"/>
        </w:rPr>
        <w:t xml:space="preserve">ntion on Human Rights </w:t>
      </w:r>
      <w:r w:rsidR="00E85ACD">
        <w:rPr>
          <w:lang w:val="en-GB"/>
        </w:rPr>
        <w:t>states that Convention rights cannot be relied upon in order to</w:t>
      </w:r>
      <w:r w:rsidR="001D145F">
        <w:rPr>
          <w:lang w:val="en-GB"/>
        </w:rPr>
        <w:t xml:space="preserve"> </w:t>
      </w:r>
      <w:r w:rsidR="001E6686">
        <w:rPr>
          <w:lang w:val="en-GB"/>
        </w:rPr>
        <w:t>‘</w:t>
      </w:r>
      <w:r w:rsidR="001D145F">
        <w:rPr>
          <w:lang w:val="en-GB"/>
        </w:rPr>
        <w:t>engage in any activity or perform any act aimed at the destruction of any of the rights and freedoms</w:t>
      </w:r>
      <w:r w:rsidR="001E6686">
        <w:rPr>
          <w:lang w:val="en-GB"/>
        </w:rPr>
        <w:t>’</w:t>
      </w:r>
      <w:r w:rsidR="001D145F">
        <w:rPr>
          <w:lang w:val="en-GB"/>
        </w:rPr>
        <w:t xml:space="preserve"> </w:t>
      </w:r>
      <w:r w:rsidR="00E85ACD">
        <w:rPr>
          <w:lang w:val="en-GB"/>
        </w:rPr>
        <w:t>of others</w:t>
      </w:r>
      <w:r w:rsidR="001D145F">
        <w:rPr>
          <w:lang w:val="en-GB"/>
        </w:rPr>
        <w:t xml:space="preserve">. </w:t>
      </w:r>
    </w:p>
    <w:tbl>
      <w:tblPr>
        <w:tblStyle w:val="TableGrid"/>
        <w:tblW w:w="0" w:type="auto"/>
        <w:tblCellMar>
          <w:top w:w="142" w:type="dxa"/>
          <w:left w:w="142" w:type="dxa"/>
          <w:bottom w:w="142" w:type="dxa"/>
          <w:right w:w="142" w:type="dxa"/>
        </w:tblCellMar>
        <w:tblLook w:val="04A0"/>
      </w:tblPr>
      <w:tblGrid>
        <w:gridCol w:w="9236"/>
      </w:tblGrid>
      <w:tr w:rsidR="00A41BD4" w:rsidTr="00B127EF">
        <w:tc>
          <w:tcPr>
            <w:tcW w:w="9236" w:type="dxa"/>
            <w:tcBorders>
              <w:top w:val="nil"/>
              <w:left w:val="nil"/>
              <w:bottom w:val="nil"/>
              <w:right w:val="nil"/>
            </w:tcBorders>
            <w:shd w:val="clear" w:color="auto" w:fill="FDE9D9" w:themeFill="accent6" w:themeFillTint="33"/>
          </w:tcPr>
          <w:p w:rsidR="00A41BD4" w:rsidRDefault="00A41BD4" w:rsidP="005B2445">
            <w:pPr>
              <w:pStyle w:val="Parabase"/>
              <w:rPr>
                <w:lang w:val="en-GB"/>
              </w:rPr>
            </w:pPr>
            <w:r>
              <w:rPr>
                <w:lang w:val="en-GB"/>
              </w:rPr>
              <w:t xml:space="preserve">Shortly after the 9/11 attacks, a man in Shropshire put up in his window a poster which showed the Twin Towers in flame and which read ‘Islam out of Britain – Protect the British People’. He was subsequently convicted of causing an aggravated offence under the Public Order Act 1986. When he complained to the </w:t>
            </w:r>
            <w:proofErr w:type="spellStart"/>
            <w:r>
              <w:rPr>
                <w:lang w:val="en-GB"/>
              </w:rPr>
              <w:t>ECtHR</w:t>
            </w:r>
            <w:proofErr w:type="spellEnd"/>
            <w:r>
              <w:rPr>
                <w:lang w:val="en-GB"/>
              </w:rPr>
              <w:t xml:space="preserve"> that his criminal conviction had violated his right to freedom of expression, the Court rejected his complaint on the basis that ‘the words and images on the poster amounted to a public expression of attack on all Muslims in the UK’.</w:t>
            </w:r>
            <w:r>
              <w:rPr>
                <w:rStyle w:val="FootnoteReference"/>
                <w:lang w:val="en-GB"/>
              </w:rPr>
              <w:footnoteReference w:id="15"/>
            </w:r>
            <w:r>
              <w:rPr>
                <w:lang w:val="en-GB"/>
              </w:rPr>
              <w:t xml:space="preserve"> Since the poster was ‘</w:t>
            </w:r>
            <w:r w:rsidRPr="00E85ACD">
              <w:rPr>
                <w:lang w:val="en-GB"/>
              </w:rPr>
              <w:t>a general, vehement attack against a religious group, linking the group as a whol</w:t>
            </w:r>
            <w:r>
              <w:rPr>
                <w:lang w:val="en-GB"/>
              </w:rPr>
              <w:t>e with a grave act of terrorism’, the man could not rely on Article 10.</w:t>
            </w:r>
          </w:p>
        </w:tc>
      </w:tr>
    </w:tbl>
    <w:p w:rsidR="00E85ACD" w:rsidRDefault="00E85ACD" w:rsidP="005B2445">
      <w:pPr>
        <w:pStyle w:val="Parabase"/>
        <w:rPr>
          <w:lang w:val="en-GB"/>
        </w:rPr>
      </w:pPr>
    </w:p>
    <w:tbl>
      <w:tblPr>
        <w:tblStyle w:val="TableGrid"/>
        <w:tblW w:w="0" w:type="auto"/>
        <w:tblCellMar>
          <w:top w:w="142" w:type="dxa"/>
          <w:left w:w="142" w:type="dxa"/>
          <w:bottom w:w="142" w:type="dxa"/>
          <w:right w:w="142" w:type="dxa"/>
        </w:tblCellMar>
        <w:tblLook w:val="04A0"/>
      </w:tblPr>
      <w:tblGrid>
        <w:gridCol w:w="9236"/>
      </w:tblGrid>
      <w:tr w:rsidR="00A41BD4" w:rsidTr="00B127EF">
        <w:trPr>
          <w:trHeight w:val="1351"/>
        </w:trPr>
        <w:tc>
          <w:tcPr>
            <w:tcW w:w="9236" w:type="dxa"/>
            <w:tcBorders>
              <w:top w:val="nil"/>
              <w:left w:val="nil"/>
              <w:bottom w:val="nil"/>
              <w:right w:val="nil"/>
            </w:tcBorders>
            <w:shd w:val="clear" w:color="auto" w:fill="FDE9D9" w:themeFill="accent6" w:themeFillTint="33"/>
          </w:tcPr>
          <w:p w:rsidR="00A41BD4" w:rsidRDefault="00A41BD4" w:rsidP="00B127EF">
            <w:pPr>
              <w:pStyle w:val="Parabase"/>
              <w:rPr>
                <w:lang w:val="en-GB"/>
              </w:rPr>
            </w:pPr>
            <w:r>
              <w:rPr>
                <w:lang w:val="en-GB"/>
              </w:rPr>
              <w:lastRenderedPageBreak/>
              <w:t xml:space="preserve">In a similar case in France, the </w:t>
            </w:r>
            <w:proofErr w:type="spellStart"/>
            <w:r>
              <w:rPr>
                <w:lang w:val="en-GB"/>
              </w:rPr>
              <w:t>ECtHR</w:t>
            </w:r>
            <w:proofErr w:type="spellEnd"/>
            <w:r>
              <w:rPr>
                <w:lang w:val="en-GB"/>
              </w:rPr>
              <w:t xml:space="preserve"> rejected a complaint from a writer who had been convicted of publishing a book which denied the existence of the Holocaust. In that case, the Court held that ‘denying crimes against humanity [was] one of the most serious forms of racial defamation of Jews and of incitement to hatred of them’.</w:t>
            </w:r>
            <w:r>
              <w:rPr>
                <w:rStyle w:val="FootnoteReference"/>
                <w:lang w:val="en-GB"/>
              </w:rPr>
              <w:footnoteReference w:id="16"/>
            </w:r>
            <w:r>
              <w:rPr>
                <w:lang w:val="en-GB"/>
              </w:rPr>
              <w:t xml:space="preserve"> Again, it held that the prohibition against abusing rights under Article 17 of the Convention prevented the writer from relying on the right to freedom of expression.</w:t>
            </w:r>
          </w:p>
          <w:p w:rsidR="00A41BD4" w:rsidRDefault="00A41BD4">
            <w:pPr>
              <w:pStyle w:val="Parabase"/>
              <w:rPr>
                <w:lang w:val="en-GB"/>
              </w:rPr>
            </w:pPr>
          </w:p>
        </w:tc>
      </w:tr>
    </w:tbl>
    <w:p w:rsidR="00497770" w:rsidRDefault="001300A0">
      <w:pPr>
        <w:pStyle w:val="Parasection"/>
        <w:rPr>
          <w:lang w:val="en-GB"/>
        </w:rPr>
      </w:pPr>
      <w:r>
        <w:rPr>
          <w:lang w:val="en-GB"/>
        </w:rPr>
        <w:t>However, e</w:t>
      </w:r>
      <w:r w:rsidR="00F52AA7">
        <w:rPr>
          <w:lang w:val="en-GB"/>
        </w:rPr>
        <w:t xml:space="preserve">ven if Article 17 </w:t>
      </w:r>
      <w:r w:rsidR="00065FB9">
        <w:rPr>
          <w:lang w:val="en-GB"/>
        </w:rPr>
        <w:t xml:space="preserve">had </w:t>
      </w:r>
      <w:r w:rsidR="00F52AA7">
        <w:rPr>
          <w:lang w:val="en-GB"/>
        </w:rPr>
        <w:t>not appl</w:t>
      </w:r>
      <w:r w:rsidR="00065FB9">
        <w:rPr>
          <w:lang w:val="en-GB"/>
        </w:rPr>
        <w:t xml:space="preserve">ied, the courts would </w:t>
      </w:r>
      <w:r>
        <w:rPr>
          <w:lang w:val="en-GB"/>
        </w:rPr>
        <w:t xml:space="preserve">probably </w:t>
      </w:r>
      <w:r w:rsidR="00065FB9">
        <w:rPr>
          <w:lang w:val="en-GB"/>
        </w:rPr>
        <w:t xml:space="preserve">have found that Britain and France had acted proportionately in limiting </w:t>
      </w:r>
      <w:r>
        <w:rPr>
          <w:lang w:val="en-GB"/>
        </w:rPr>
        <w:t xml:space="preserve">through criminal sanctions </w:t>
      </w:r>
      <w:r w:rsidR="00065FB9">
        <w:rPr>
          <w:lang w:val="en-GB"/>
        </w:rPr>
        <w:t xml:space="preserve">these forms of expression. </w:t>
      </w:r>
    </w:p>
    <w:p w:rsidR="008D22FB" w:rsidRDefault="00B516AC">
      <w:pPr>
        <w:pStyle w:val="L3Headers"/>
        <w:rPr>
          <w:lang w:val="en-GB"/>
        </w:rPr>
      </w:pPr>
      <w:bookmarkStart w:id="28" w:name="_Toc410651251"/>
      <w:r>
        <w:rPr>
          <w:lang w:val="en-GB"/>
        </w:rPr>
        <w:t>Hate speech in criminal law</w:t>
      </w:r>
      <w:bookmarkEnd w:id="28"/>
    </w:p>
    <w:p w:rsidR="00440519" w:rsidRDefault="00440519" w:rsidP="00440519">
      <w:pPr>
        <w:pStyle w:val="Parapre-bullets"/>
        <w:rPr>
          <w:lang w:val="en-GB"/>
        </w:rPr>
      </w:pPr>
      <w:r w:rsidRPr="00440519">
        <w:rPr>
          <w:lang w:val="en-GB"/>
        </w:rPr>
        <w:t xml:space="preserve">Legislation has provided three </w:t>
      </w:r>
      <w:r>
        <w:rPr>
          <w:lang w:val="en-GB"/>
        </w:rPr>
        <w:t>methods to</w:t>
      </w:r>
      <w:r w:rsidRPr="00440519">
        <w:rPr>
          <w:lang w:val="en-GB"/>
        </w:rPr>
        <w:t xml:space="preserve"> combat</w:t>
      </w:r>
      <w:r>
        <w:rPr>
          <w:lang w:val="en-GB"/>
        </w:rPr>
        <w:t xml:space="preserve"> </w:t>
      </w:r>
      <w:r w:rsidRPr="00440519">
        <w:rPr>
          <w:lang w:val="en-GB"/>
        </w:rPr>
        <w:t xml:space="preserve">hate crime. These are: </w:t>
      </w:r>
    </w:p>
    <w:p w:rsidR="00440519" w:rsidRPr="00596678" w:rsidRDefault="00440519" w:rsidP="00596678">
      <w:pPr>
        <w:pStyle w:val="Bulletsbase"/>
        <w:numPr>
          <w:ilvl w:val="0"/>
          <w:numId w:val="4"/>
        </w:numPr>
      </w:pPr>
      <w:r w:rsidRPr="00596678">
        <w:t>Specific offences classified as hate crime</w:t>
      </w:r>
      <w:r w:rsidR="00D93614" w:rsidRPr="00596678">
        <w:t>s</w:t>
      </w:r>
    </w:p>
    <w:p w:rsidR="00440519" w:rsidRPr="00596678" w:rsidRDefault="00440519" w:rsidP="007F6FF5">
      <w:pPr>
        <w:pStyle w:val="Bulletsbase"/>
        <w:numPr>
          <w:ilvl w:val="0"/>
          <w:numId w:val="4"/>
        </w:numPr>
      </w:pPr>
      <w:r w:rsidRPr="00596678">
        <w:t xml:space="preserve">An aggravating factor </w:t>
      </w:r>
      <w:r w:rsidRPr="007F6FF5">
        <w:t>for</w:t>
      </w:r>
      <w:r w:rsidRPr="00596678">
        <w:t xml:space="preserve"> any other offences committed through racial or religious hostility </w:t>
      </w:r>
    </w:p>
    <w:p w:rsidR="00440519" w:rsidRDefault="00440519" w:rsidP="007F6FF5">
      <w:pPr>
        <w:pStyle w:val="Bulletsgroup"/>
        <w:numPr>
          <w:ilvl w:val="0"/>
          <w:numId w:val="4"/>
        </w:numPr>
      </w:pPr>
      <w:r w:rsidRPr="00596678">
        <w:t>Enhanced sentencing for any hate crime offence.</w:t>
      </w:r>
      <w:r w:rsidRPr="00596678">
        <w:rPr>
          <w:rStyle w:val="FootnoteReference"/>
        </w:rPr>
        <w:footnoteReference w:id="17"/>
      </w:r>
    </w:p>
    <w:p w:rsidR="00FB55D9" w:rsidRPr="00596678" w:rsidRDefault="00FB55D9" w:rsidP="00FB55D9">
      <w:pPr>
        <w:pStyle w:val="Bulletsgroup"/>
        <w:numPr>
          <w:ilvl w:val="0"/>
          <w:numId w:val="0"/>
        </w:numPr>
        <w:ind w:left="720"/>
      </w:pPr>
    </w:p>
    <w:p w:rsidR="009B6862" w:rsidRDefault="00440519" w:rsidP="00A32E56">
      <w:pPr>
        <w:pStyle w:val="L4Header"/>
        <w:rPr>
          <w:lang w:val="en-GB"/>
        </w:rPr>
      </w:pPr>
      <w:r w:rsidRPr="00440519">
        <w:rPr>
          <w:lang w:val="en-GB"/>
        </w:rPr>
        <w:t xml:space="preserve">Specific offences </w:t>
      </w:r>
      <w:r>
        <w:rPr>
          <w:lang w:val="en-GB"/>
        </w:rPr>
        <w:t xml:space="preserve">classified as </w:t>
      </w:r>
      <w:r w:rsidRPr="00440519">
        <w:t>hate</w:t>
      </w:r>
      <w:r>
        <w:rPr>
          <w:lang w:val="en-GB"/>
        </w:rPr>
        <w:t xml:space="preserve"> crime</w:t>
      </w:r>
      <w:r w:rsidR="00D93614">
        <w:rPr>
          <w:lang w:val="en-GB"/>
        </w:rPr>
        <w:t>s</w:t>
      </w:r>
      <w:r w:rsidRPr="004B4210" w:rsidDel="00440519">
        <w:rPr>
          <w:lang w:val="en-GB"/>
        </w:rPr>
        <w:t xml:space="preserve"> </w:t>
      </w:r>
    </w:p>
    <w:p w:rsidR="00457197" w:rsidRDefault="009B6862" w:rsidP="00596678">
      <w:pPr>
        <w:pStyle w:val="Parass"/>
        <w:rPr>
          <w:lang w:val="en-GB"/>
        </w:rPr>
      </w:pPr>
      <w:r w:rsidRPr="00440519">
        <w:rPr>
          <w:lang w:val="en-GB"/>
        </w:rPr>
        <w:t>S</w:t>
      </w:r>
      <w:r w:rsidR="000B64F3">
        <w:rPr>
          <w:lang w:val="en-GB"/>
        </w:rPr>
        <w:t>ome s</w:t>
      </w:r>
      <w:r w:rsidRPr="00440519">
        <w:rPr>
          <w:lang w:val="en-GB"/>
        </w:rPr>
        <w:t xml:space="preserve">pecific offences </w:t>
      </w:r>
      <w:r>
        <w:rPr>
          <w:lang w:val="en-GB"/>
        </w:rPr>
        <w:t xml:space="preserve">classified as </w:t>
      </w:r>
      <w:r w:rsidRPr="00440519">
        <w:t>hate</w:t>
      </w:r>
      <w:r>
        <w:rPr>
          <w:lang w:val="en-GB"/>
        </w:rPr>
        <w:t xml:space="preserve"> crime</w:t>
      </w:r>
      <w:r w:rsidR="00D93614">
        <w:rPr>
          <w:lang w:val="en-GB"/>
        </w:rPr>
        <w:t>s</w:t>
      </w:r>
      <w:r w:rsidRPr="004B4210" w:rsidDel="00440519">
        <w:rPr>
          <w:lang w:val="en-GB"/>
        </w:rPr>
        <w:t xml:space="preserve"> </w:t>
      </w:r>
      <w:r w:rsidR="00B9525A">
        <w:rPr>
          <w:lang w:val="en-GB"/>
        </w:rPr>
        <w:t>which</w:t>
      </w:r>
      <w:r w:rsidR="000B64F3">
        <w:rPr>
          <w:lang w:val="en-GB"/>
        </w:rPr>
        <w:t xml:space="preserve"> may be relevant to freedom </w:t>
      </w:r>
      <w:r w:rsidR="00B9525A">
        <w:rPr>
          <w:lang w:val="en-GB"/>
        </w:rPr>
        <w:t xml:space="preserve">of </w:t>
      </w:r>
      <w:r w:rsidR="000B64F3">
        <w:rPr>
          <w:lang w:val="en-GB"/>
        </w:rPr>
        <w:t xml:space="preserve">expression </w:t>
      </w:r>
      <w:r>
        <w:rPr>
          <w:lang w:val="en-GB"/>
        </w:rPr>
        <w:t>include: stirring up hatred, sending t</w:t>
      </w:r>
      <w:r w:rsidRPr="009B6862">
        <w:rPr>
          <w:lang w:val="en-GB"/>
        </w:rPr>
        <w:t>hreatening and grossly offensive communications</w:t>
      </w:r>
      <w:r w:rsidR="000B64F3">
        <w:rPr>
          <w:lang w:val="en-GB"/>
        </w:rPr>
        <w:t xml:space="preserve"> and</w:t>
      </w:r>
      <w:r>
        <w:rPr>
          <w:lang w:val="en-GB"/>
        </w:rPr>
        <w:t xml:space="preserve"> h</w:t>
      </w:r>
      <w:r w:rsidRPr="009B6862">
        <w:rPr>
          <w:lang w:val="en-GB"/>
        </w:rPr>
        <w:t>arassment contrary to the Protection from Harassment Act</w:t>
      </w:r>
      <w:r w:rsidR="00FB55D9">
        <w:rPr>
          <w:lang w:val="en-GB"/>
        </w:rPr>
        <w:t xml:space="preserve"> as well as, in Scotland, offences aggravated by prejudice</w:t>
      </w:r>
      <w:r w:rsidR="00763598">
        <w:rPr>
          <w:lang w:val="en-GB"/>
        </w:rPr>
        <w:t>.</w:t>
      </w:r>
      <w:r>
        <w:rPr>
          <w:lang w:val="en-GB"/>
        </w:rPr>
        <w:t xml:space="preserve"> </w:t>
      </w:r>
    </w:p>
    <w:p w:rsidR="008D22FB" w:rsidRPr="00A32E56" w:rsidRDefault="004B4210" w:rsidP="00A32E56">
      <w:pPr>
        <w:pStyle w:val="Parabase"/>
        <w:rPr>
          <w:i/>
          <w:lang w:val="en-GB"/>
        </w:rPr>
      </w:pPr>
      <w:r w:rsidRPr="00A32E56">
        <w:rPr>
          <w:i/>
          <w:lang w:val="en-GB"/>
        </w:rPr>
        <w:t xml:space="preserve">Stirring up hatred </w:t>
      </w:r>
    </w:p>
    <w:p w:rsidR="007C035C" w:rsidRDefault="007F48A0" w:rsidP="00381F68">
      <w:pPr>
        <w:pStyle w:val="Parabase"/>
        <w:rPr>
          <w:lang w:val="en-GB"/>
        </w:rPr>
      </w:pPr>
      <w:r w:rsidRPr="00720302">
        <w:rPr>
          <w:b/>
          <w:lang w:val="en-GB"/>
        </w:rPr>
        <w:t>In England and Wales</w:t>
      </w:r>
      <w:r w:rsidR="00CF654D" w:rsidRPr="00CF654D">
        <w:rPr>
          <w:lang w:val="en-GB"/>
        </w:rPr>
        <w:t>,</w:t>
      </w:r>
      <w:r>
        <w:rPr>
          <w:lang w:val="en-GB"/>
        </w:rPr>
        <w:t xml:space="preserve"> </w:t>
      </w:r>
      <w:r w:rsidR="003145AD">
        <w:rPr>
          <w:lang w:val="en-GB"/>
        </w:rPr>
        <w:t xml:space="preserve">the use of hate speech may </w:t>
      </w:r>
      <w:r w:rsidR="00011862">
        <w:rPr>
          <w:lang w:val="en-GB"/>
        </w:rPr>
        <w:t>constitute</w:t>
      </w:r>
      <w:r w:rsidR="003145AD">
        <w:rPr>
          <w:lang w:val="en-GB"/>
        </w:rPr>
        <w:t xml:space="preserve"> the </w:t>
      </w:r>
      <w:r w:rsidR="00381F68" w:rsidRPr="00B46CB7">
        <w:rPr>
          <w:lang w:val="en-GB"/>
        </w:rPr>
        <w:t>criminal offence under the Public Orde</w:t>
      </w:r>
      <w:r w:rsidR="00381F68">
        <w:rPr>
          <w:lang w:val="en-GB"/>
        </w:rPr>
        <w:t>r Act 1986 of inciting racial hatred</w:t>
      </w:r>
      <w:r w:rsidR="00AD6BE5" w:rsidRPr="00A55B47">
        <w:rPr>
          <w:lang w:val="en-GB"/>
        </w:rPr>
        <w:t xml:space="preserve"> </w:t>
      </w:r>
      <w:r w:rsidR="00381F68">
        <w:rPr>
          <w:lang w:val="en-GB"/>
        </w:rPr>
        <w:t xml:space="preserve">or of stirring up hatred on the grounds of </w:t>
      </w:r>
      <w:r w:rsidR="001D32D2">
        <w:rPr>
          <w:lang w:val="en-GB"/>
        </w:rPr>
        <w:t xml:space="preserve">religion or </w:t>
      </w:r>
      <w:r w:rsidR="001300A0">
        <w:rPr>
          <w:lang w:val="en-GB"/>
        </w:rPr>
        <w:t xml:space="preserve">of </w:t>
      </w:r>
      <w:r w:rsidR="00381F68">
        <w:rPr>
          <w:lang w:val="en-GB"/>
        </w:rPr>
        <w:t>sexual orientation.</w:t>
      </w:r>
      <w:r w:rsidR="009D0A95" w:rsidRPr="00B46CB7">
        <w:rPr>
          <w:vertAlign w:val="superscript"/>
          <w:lang w:val="en-GB"/>
        </w:rPr>
        <w:footnoteReference w:id="18"/>
      </w:r>
      <w:r w:rsidR="007C035C">
        <w:rPr>
          <w:vertAlign w:val="superscript"/>
          <w:lang w:val="en-GB"/>
        </w:rPr>
        <w:t xml:space="preserve"> </w:t>
      </w:r>
    </w:p>
    <w:p w:rsidR="00607D34" w:rsidRDefault="00607D34" w:rsidP="00607D34">
      <w:pPr>
        <w:pStyle w:val="Parabase"/>
        <w:rPr>
          <w:lang w:val="en-GB"/>
        </w:rPr>
      </w:pPr>
      <w:r>
        <w:rPr>
          <w:lang w:val="en-GB"/>
        </w:rPr>
        <w:lastRenderedPageBreak/>
        <w:t xml:space="preserve">Incitement </w:t>
      </w:r>
      <w:r w:rsidRPr="00B46CB7">
        <w:rPr>
          <w:lang w:val="en-GB"/>
        </w:rPr>
        <w:t xml:space="preserve">can </w:t>
      </w:r>
      <w:r>
        <w:rPr>
          <w:lang w:val="en-GB"/>
        </w:rPr>
        <w:t>be carried out by</w:t>
      </w:r>
      <w:r w:rsidRPr="00B46CB7">
        <w:rPr>
          <w:lang w:val="en-GB"/>
        </w:rPr>
        <w:t xml:space="preserve"> making a speech, displaying a racist poster, publishing written material, performing a play or broadcasting in the media.</w:t>
      </w:r>
      <w:r w:rsidRPr="0036259A">
        <w:rPr>
          <w:rStyle w:val="FootnoteReference"/>
          <w:lang w:val="en-GB"/>
        </w:rPr>
        <w:t xml:space="preserve"> </w:t>
      </w:r>
    </w:p>
    <w:p w:rsidR="00381F68" w:rsidRPr="0036259A" w:rsidRDefault="00381F68" w:rsidP="00381F68">
      <w:pPr>
        <w:pStyle w:val="Parabase"/>
        <w:rPr>
          <w:lang w:val="en-GB"/>
        </w:rPr>
      </w:pPr>
      <w:r w:rsidRPr="0036259A">
        <w:rPr>
          <w:lang w:val="en-GB"/>
        </w:rPr>
        <w:t>The</w:t>
      </w:r>
      <w:r w:rsidR="001300A0">
        <w:rPr>
          <w:lang w:val="en-GB"/>
        </w:rPr>
        <w:t xml:space="preserve"> </w:t>
      </w:r>
      <w:r w:rsidR="00FB3D61">
        <w:rPr>
          <w:lang w:val="en-GB"/>
        </w:rPr>
        <w:t>elements to the offence of</w:t>
      </w:r>
      <w:r w:rsidRPr="0036259A">
        <w:rPr>
          <w:lang w:val="en-GB"/>
        </w:rPr>
        <w:t xml:space="preserve"> stirring up racial hatred </w:t>
      </w:r>
      <w:r w:rsidR="001D32D2">
        <w:rPr>
          <w:lang w:val="en-GB"/>
        </w:rPr>
        <w:t xml:space="preserve">differ </w:t>
      </w:r>
      <w:r w:rsidR="00FB3D61">
        <w:rPr>
          <w:lang w:val="en-GB"/>
        </w:rPr>
        <w:t>from</w:t>
      </w:r>
      <w:r w:rsidR="00831217">
        <w:rPr>
          <w:lang w:val="en-GB"/>
        </w:rPr>
        <w:t xml:space="preserve"> </w:t>
      </w:r>
      <w:r w:rsidR="001D32D2">
        <w:rPr>
          <w:lang w:val="en-GB"/>
        </w:rPr>
        <w:t xml:space="preserve">those for </w:t>
      </w:r>
      <w:r w:rsidR="00FB3D61">
        <w:rPr>
          <w:lang w:val="en-GB"/>
        </w:rPr>
        <w:t xml:space="preserve">stirring up </w:t>
      </w:r>
      <w:r w:rsidRPr="0036259A">
        <w:rPr>
          <w:lang w:val="en-GB"/>
        </w:rPr>
        <w:t>hatred</w:t>
      </w:r>
      <w:r>
        <w:rPr>
          <w:lang w:val="en-GB"/>
        </w:rPr>
        <w:t xml:space="preserve"> </w:t>
      </w:r>
      <w:r w:rsidRPr="0036259A">
        <w:rPr>
          <w:lang w:val="en-GB"/>
        </w:rPr>
        <w:t xml:space="preserve">based on sexual orientation or religion. </w:t>
      </w:r>
    </w:p>
    <w:p w:rsidR="009D0A95" w:rsidRPr="00011BEA" w:rsidRDefault="00381F68" w:rsidP="009D0A95">
      <w:pPr>
        <w:pStyle w:val="Parabase"/>
        <w:rPr>
          <w:lang w:val="en-GB"/>
        </w:rPr>
      </w:pPr>
      <w:r w:rsidRPr="0036259A">
        <w:rPr>
          <w:lang w:val="en-GB"/>
        </w:rPr>
        <w:t xml:space="preserve">(1) </w:t>
      </w:r>
      <w:r w:rsidR="00CF654D" w:rsidRPr="00CF654D">
        <w:rPr>
          <w:b/>
          <w:lang w:val="en-GB"/>
        </w:rPr>
        <w:t>Racial hatred requires</w:t>
      </w:r>
      <w:r w:rsidRPr="0036259A">
        <w:rPr>
          <w:lang w:val="en-GB"/>
        </w:rPr>
        <w:t xml:space="preserve"> </w:t>
      </w:r>
      <w:r w:rsidR="001D32D2" w:rsidRPr="00011BEA">
        <w:rPr>
          <w:lang w:val="en-GB"/>
        </w:rPr>
        <w:t xml:space="preserve">threatening </w:t>
      </w:r>
      <w:r w:rsidR="001D32D2">
        <w:rPr>
          <w:lang w:val="en-GB"/>
        </w:rPr>
        <w:t xml:space="preserve">or </w:t>
      </w:r>
      <w:r w:rsidR="001D32D2" w:rsidRPr="00011BEA">
        <w:rPr>
          <w:lang w:val="en-GB"/>
        </w:rPr>
        <w:t>abusive</w:t>
      </w:r>
      <w:r w:rsidR="001D32D2" w:rsidRPr="002F66EC">
        <w:rPr>
          <w:vertAlign w:val="superscript"/>
          <w:lang w:val="en-GB"/>
        </w:rPr>
        <w:footnoteReference w:id="19"/>
      </w:r>
      <w:r w:rsidR="00497770">
        <w:rPr>
          <w:vertAlign w:val="superscript"/>
          <w:lang w:val="en-GB"/>
        </w:rPr>
        <w:t xml:space="preserve"> </w:t>
      </w:r>
      <w:r w:rsidRPr="0036259A">
        <w:rPr>
          <w:lang w:val="en-GB"/>
        </w:rPr>
        <w:t xml:space="preserve">words or conduct </w:t>
      </w:r>
      <w:r w:rsidR="001D32D2">
        <w:rPr>
          <w:lang w:val="en-GB"/>
        </w:rPr>
        <w:t xml:space="preserve">and </w:t>
      </w:r>
      <w:r w:rsidRPr="0036259A">
        <w:rPr>
          <w:lang w:val="en-GB"/>
        </w:rPr>
        <w:t xml:space="preserve">an </w:t>
      </w:r>
      <w:r w:rsidRPr="00011BEA">
        <w:rPr>
          <w:lang w:val="en-GB"/>
        </w:rPr>
        <w:t xml:space="preserve">intention </w:t>
      </w:r>
      <w:r w:rsidRPr="0036259A">
        <w:rPr>
          <w:lang w:val="en-GB"/>
        </w:rPr>
        <w:t xml:space="preserve">to stir up hatred, or a </w:t>
      </w:r>
      <w:r w:rsidRPr="00011BEA">
        <w:rPr>
          <w:lang w:val="en-GB"/>
        </w:rPr>
        <w:t xml:space="preserve">likelihood </w:t>
      </w:r>
      <w:r w:rsidR="001D32D2">
        <w:rPr>
          <w:lang w:val="en-GB"/>
        </w:rPr>
        <w:t>of doing so</w:t>
      </w:r>
      <w:r w:rsidRPr="0036259A">
        <w:rPr>
          <w:lang w:val="en-GB"/>
        </w:rPr>
        <w:t>.</w:t>
      </w:r>
      <w:r w:rsidR="009D0A95" w:rsidRPr="002F66EC">
        <w:rPr>
          <w:vertAlign w:val="superscript"/>
          <w:lang w:val="en-GB"/>
        </w:rPr>
        <w:footnoteReference w:id="20"/>
      </w:r>
    </w:p>
    <w:p w:rsidR="007F48A0" w:rsidRDefault="00381F68" w:rsidP="00287D2F">
      <w:pPr>
        <w:pStyle w:val="Parabase"/>
        <w:rPr>
          <w:lang w:val="en-GB"/>
        </w:rPr>
      </w:pPr>
      <w:r w:rsidRPr="0036259A">
        <w:rPr>
          <w:lang w:val="en-GB"/>
        </w:rPr>
        <w:t xml:space="preserve">(2) </w:t>
      </w:r>
      <w:r w:rsidR="00CF654D" w:rsidRPr="00CF654D">
        <w:rPr>
          <w:b/>
          <w:lang w:val="en-GB"/>
        </w:rPr>
        <w:t>Religion or sexual orientation hatred requires</w:t>
      </w:r>
      <w:r>
        <w:rPr>
          <w:b/>
          <w:i/>
          <w:lang w:val="en-GB"/>
        </w:rPr>
        <w:t xml:space="preserve"> </w:t>
      </w:r>
      <w:r w:rsidR="001D32D2" w:rsidRPr="00011BEA">
        <w:rPr>
          <w:lang w:val="en-GB"/>
        </w:rPr>
        <w:t>threatening</w:t>
      </w:r>
      <w:r w:rsidR="001D32D2" w:rsidRPr="0036259A" w:rsidDel="001D32D2">
        <w:rPr>
          <w:lang w:val="en-GB"/>
        </w:rPr>
        <w:t xml:space="preserve"> </w:t>
      </w:r>
      <w:r w:rsidRPr="0036259A">
        <w:rPr>
          <w:lang w:val="en-GB"/>
        </w:rPr>
        <w:t xml:space="preserve">words or conduct </w:t>
      </w:r>
      <w:r>
        <w:rPr>
          <w:lang w:val="en-GB"/>
        </w:rPr>
        <w:t xml:space="preserve">and </w:t>
      </w:r>
      <w:r w:rsidRPr="0036259A">
        <w:rPr>
          <w:lang w:val="en-GB"/>
        </w:rPr>
        <w:t xml:space="preserve">an </w:t>
      </w:r>
      <w:r w:rsidRPr="00011BEA">
        <w:rPr>
          <w:lang w:val="en-GB"/>
        </w:rPr>
        <w:t xml:space="preserve">intention </w:t>
      </w:r>
      <w:r w:rsidRPr="0036259A">
        <w:rPr>
          <w:lang w:val="en-GB"/>
        </w:rPr>
        <w:t>to stir up hatred.</w:t>
      </w:r>
      <w:r w:rsidR="00884956">
        <w:rPr>
          <w:lang w:val="en-GB"/>
        </w:rPr>
        <w:t xml:space="preserve"> A</w:t>
      </w:r>
      <w:r w:rsidRPr="0036259A">
        <w:rPr>
          <w:lang w:val="en-GB"/>
        </w:rPr>
        <w:t xml:space="preserve"> specific defence protect</w:t>
      </w:r>
      <w:r w:rsidR="00FB3D61">
        <w:rPr>
          <w:lang w:val="en-GB"/>
        </w:rPr>
        <w:t>s</w:t>
      </w:r>
      <w:r w:rsidRPr="0036259A">
        <w:rPr>
          <w:lang w:val="en-GB"/>
        </w:rPr>
        <w:t xml:space="preserve"> free</w:t>
      </w:r>
      <w:r w:rsidR="001D32D2">
        <w:rPr>
          <w:lang w:val="en-GB"/>
        </w:rPr>
        <w:t>dom of</w:t>
      </w:r>
      <w:r w:rsidR="001300A0">
        <w:rPr>
          <w:lang w:val="en-GB"/>
        </w:rPr>
        <w:t xml:space="preserve"> </w:t>
      </w:r>
      <w:r w:rsidR="00831217">
        <w:rPr>
          <w:lang w:val="en-GB"/>
        </w:rPr>
        <w:t>expression</w:t>
      </w:r>
      <w:r w:rsidR="001D32D2">
        <w:rPr>
          <w:lang w:val="en-GB"/>
        </w:rPr>
        <w:t xml:space="preserve"> by providing</w:t>
      </w:r>
      <w:r w:rsidRPr="0036259A">
        <w:rPr>
          <w:lang w:val="en-GB"/>
        </w:rPr>
        <w:t xml:space="preserve"> that </w:t>
      </w:r>
      <w:r>
        <w:rPr>
          <w:lang w:val="en-GB"/>
        </w:rPr>
        <w:t xml:space="preserve">neither </w:t>
      </w:r>
      <w:r w:rsidRPr="0036259A">
        <w:rPr>
          <w:lang w:val="en-GB"/>
        </w:rPr>
        <w:t>criticising, insulting or</w:t>
      </w:r>
      <w:r>
        <w:rPr>
          <w:lang w:val="en-GB"/>
        </w:rPr>
        <w:t xml:space="preserve"> </w:t>
      </w:r>
      <w:r w:rsidRPr="0036259A">
        <w:rPr>
          <w:lang w:val="en-GB"/>
        </w:rPr>
        <w:t xml:space="preserve">ridiculing religious beliefs </w:t>
      </w:r>
      <w:r>
        <w:rPr>
          <w:lang w:val="en-GB"/>
        </w:rPr>
        <w:t xml:space="preserve">nor </w:t>
      </w:r>
      <w:r w:rsidRPr="0036259A">
        <w:rPr>
          <w:lang w:val="en-GB"/>
        </w:rPr>
        <w:t xml:space="preserve">criticising sexual conduct </w:t>
      </w:r>
      <w:r w:rsidRPr="00011BEA">
        <w:rPr>
          <w:lang w:val="en-GB"/>
        </w:rPr>
        <w:t xml:space="preserve">or practices or urging restraint </w:t>
      </w:r>
      <w:r>
        <w:rPr>
          <w:lang w:val="en-GB"/>
        </w:rPr>
        <w:t>are</w:t>
      </w:r>
      <w:r w:rsidRPr="0036259A">
        <w:rPr>
          <w:lang w:val="en-GB"/>
        </w:rPr>
        <w:t xml:space="preserve"> offence</w:t>
      </w:r>
      <w:r>
        <w:rPr>
          <w:lang w:val="en-GB"/>
        </w:rPr>
        <w:t>s</w:t>
      </w:r>
      <w:r w:rsidRPr="0036259A">
        <w:rPr>
          <w:lang w:val="en-GB"/>
        </w:rPr>
        <w:t xml:space="preserve"> </w:t>
      </w:r>
      <w:r w:rsidR="00FB3D61">
        <w:rPr>
          <w:lang w:val="en-GB"/>
        </w:rPr>
        <w:t xml:space="preserve">of </w:t>
      </w:r>
      <w:r w:rsidRPr="0036259A">
        <w:rPr>
          <w:lang w:val="en-GB"/>
        </w:rPr>
        <w:t xml:space="preserve">stirring up </w:t>
      </w:r>
      <w:r w:rsidR="00FB3D61">
        <w:rPr>
          <w:lang w:val="en-GB"/>
        </w:rPr>
        <w:t>hatred</w:t>
      </w:r>
      <w:r w:rsidRPr="0036259A">
        <w:rPr>
          <w:lang w:val="en-GB"/>
        </w:rPr>
        <w:t>.</w:t>
      </w:r>
      <w:r w:rsidR="00E93D40">
        <w:rPr>
          <w:rStyle w:val="FootnoteReference"/>
          <w:lang w:val="en-GB"/>
        </w:rPr>
        <w:footnoteReference w:id="21"/>
      </w:r>
      <w:r>
        <w:rPr>
          <w:lang w:val="en-GB"/>
        </w:rPr>
        <w:t xml:space="preserve"> </w:t>
      </w:r>
      <w:r w:rsidR="0039408B">
        <w:rPr>
          <w:lang w:val="en-GB"/>
        </w:rPr>
        <w:t>Express</w:t>
      </w:r>
      <w:r w:rsidR="0039408B" w:rsidRPr="00287D2F">
        <w:rPr>
          <w:lang w:val="en-GB"/>
        </w:rPr>
        <w:t xml:space="preserve">ing </w:t>
      </w:r>
      <w:r w:rsidR="00287D2F" w:rsidRPr="00287D2F">
        <w:rPr>
          <w:lang w:val="en-GB"/>
        </w:rPr>
        <w:t xml:space="preserve">a view on </w:t>
      </w:r>
      <w:r w:rsidR="00FB3D61">
        <w:rPr>
          <w:lang w:val="en-GB"/>
        </w:rPr>
        <w:t xml:space="preserve">the </w:t>
      </w:r>
      <w:r w:rsidR="00287D2F" w:rsidRPr="00287D2F">
        <w:rPr>
          <w:lang w:val="en-GB"/>
        </w:rPr>
        <w:t>marriage of same</w:t>
      </w:r>
      <w:r w:rsidR="00763598">
        <w:rPr>
          <w:lang w:val="en-GB"/>
        </w:rPr>
        <w:t>-</w:t>
      </w:r>
      <w:r w:rsidR="00287D2F" w:rsidRPr="00287D2F">
        <w:rPr>
          <w:lang w:val="en-GB"/>
        </w:rPr>
        <w:t xml:space="preserve">sex couples </w:t>
      </w:r>
      <w:r w:rsidR="001300A0">
        <w:rPr>
          <w:lang w:val="en-GB"/>
        </w:rPr>
        <w:t xml:space="preserve">does not of itself constitute </w:t>
      </w:r>
      <w:r w:rsidR="009B6862">
        <w:rPr>
          <w:lang w:val="en-GB"/>
        </w:rPr>
        <w:t>an</w:t>
      </w:r>
      <w:r w:rsidR="00497770">
        <w:rPr>
          <w:lang w:val="en-GB"/>
        </w:rPr>
        <w:t xml:space="preserve"> </w:t>
      </w:r>
      <w:r w:rsidR="00287D2F" w:rsidRPr="00287D2F">
        <w:rPr>
          <w:lang w:val="en-GB"/>
        </w:rPr>
        <w:t>offence</w:t>
      </w:r>
      <w:r w:rsidR="001D32D2">
        <w:rPr>
          <w:lang w:val="en-GB"/>
        </w:rPr>
        <w:t xml:space="preserve"> because</w:t>
      </w:r>
      <w:r w:rsidR="00287D2F" w:rsidRPr="00287D2F">
        <w:rPr>
          <w:lang w:val="en-GB"/>
        </w:rPr>
        <w:t xml:space="preserve"> </w:t>
      </w:r>
      <w:r w:rsidR="001D32D2">
        <w:rPr>
          <w:lang w:val="en-GB"/>
        </w:rPr>
        <w:t>of</w:t>
      </w:r>
      <w:r w:rsidR="003145AD">
        <w:rPr>
          <w:lang w:val="en-GB"/>
        </w:rPr>
        <w:t xml:space="preserve"> a specific provision</w:t>
      </w:r>
      <w:r w:rsidR="00287D2F">
        <w:rPr>
          <w:lang w:val="en-GB"/>
        </w:rPr>
        <w:t xml:space="preserve"> that </w:t>
      </w:r>
      <w:r w:rsidR="00763598">
        <w:rPr>
          <w:lang w:val="en-GB"/>
        </w:rPr>
        <w:t>‘</w:t>
      </w:r>
      <w:r w:rsidR="00287D2F" w:rsidRPr="00287D2F">
        <w:rPr>
          <w:lang w:val="en-GB"/>
        </w:rPr>
        <w:t>any</w:t>
      </w:r>
      <w:r w:rsidR="00287D2F">
        <w:rPr>
          <w:lang w:val="en-GB"/>
        </w:rPr>
        <w:t xml:space="preserve"> </w:t>
      </w:r>
      <w:r w:rsidR="00287D2F" w:rsidRPr="00287D2F">
        <w:rPr>
          <w:lang w:val="en-GB"/>
        </w:rPr>
        <w:t>discussion or criticism of marriage which concerns the</w:t>
      </w:r>
      <w:r w:rsidR="00287D2F">
        <w:rPr>
          <w:lang w:val="en-GB"/>
        </w:rPr>
        <w:t xml:space="preserve"> sex of the parties to marriage </w:t>
      </w:r>
      <w:r w:rsidR="00287D2F" w:rsidRPr="00287D2F">
        <w:rPr>
          <w:lang w:val="en-GB"/>
        </w:rPr>
        <w:t>shall not be taken of itself to be threatening or intended to stir up hatred</w:t>
      </w:r>
      <w:r w:rsidR="00763598">
        <w:rPr>
          <w:lang w:val="en-GB"/>
        </w:rPr>
        <w:t>’</w:t>
      </w:r>
      <w:r w:rsidR="00287D2F" w:rsidRPr="00287D2F">
        <w:rPr>
          <w:lang w:val="en-GB"/>
        </w:rPr>
        <w:t>.</w:t>
      </w:r>
    </w:p>
    <w:p w:rsidR="003B6617" w:rsidRDefault="003B6617" w:rsidP="003B6617">
      <w:pPr>
        <w:pStyle w:val="Parabase"/>
        <w:rPr>
          <w:lang w:val="en-GB"/>
        </w:rPr>
      </w:pPr>
      <w:r w:rsidRPr="001D32D2">
        <w:rPr>
          <w:b/>
          <w:lang w:val="en-GB"/>
        </w:rPr>
        <w:t>In Scotland</w:t>
      </w:r>
      <w:r>
        <w:rPr>
          <w:lang w:val="en-GB"/>
        </w:rPr>
        <w:t xml:space="preserve">, only </w:t>
      </w:r>
      <w:r w:rsidR="002F6DC0">
        <w:rPr>
          <w:lang w:val="en-GB"/>
        </w:rPr>
        <w:t xml:space="preserve">those </w:t>
      </w:r>
      <w:r>
        <w:rPr>
          <w:lang w:val="en-GB"/>
        </w:rPr>
        <w:t>parts of the Public Order Act</w:t>
      </w:r>
      <w:r w:rsidR="00324C20">
        <w:rPr>
          <w:lang w:val="en-GB"/>
        </w:rPr>
        <w:t xml:space="preserve"> </w:t>
      </w:r>
      <w:r w:rsidR="002F6DC0">
        <w:rPr>
          <w:lang w:val="en-GB"/>
        </w:rPr>
        <w:t xml:space="preserve">which </w:t>
      </w:r>
      <w:r w:rsidR="00324C20">
        <w:rPr>
          <w:lang w:val="en-GB"/>
        </w:rPr>
        <w:t>prohibit racial hatred</w:t>
      </w:r>
      <w:r>
        <w:rPr>
          <w:lang w:val="en-GB"/>
        </w:rPr>
        <w:t xml:space="preserve"> </w:t>
      </w:r>
      <w:r w:rsidR="00324C20">
        <w:rPr>
          <w:lang w:val="en-GB"/>
        </w:rPr>
        <w:t>are in force</w:t>
      </w:r>
      <w:r w:rsidR="00FB55D9">
        <w:rPr>
          <w:lang w:val="en-GB"/>
        </w:rPr>
        <w:t xml:space="preserve"> </w:t>
      </w:r>
      <w:r w:rsidR="00FB55D9" w:rsidRPr="00C4731E">
        <w:rPr>
          <w:lang w:val="en-GB"/>
        </w:rPr>
        <w:t>and the Public Order Act is rarely used in practice. Instead</w:t>
      </w:r>
      <w:r w:rsidR="00FB55D9" w:rsidRPr="00C4731E">
        <w:t>, racist acts and remarks are usually prosecuted under</w:t>
      </w:r>
      <w:r w:rsidR="00324C20">
        <w:rPr>
          <w:lang w:val="en-GB"/>
        </w:rPr>
        <w:t xml:space="preserve"> </w:t>
      </w:r>
      <w:r w:rsidR="00FB55D9">
        <w:rPr>
          <w:lang w:val="en-GB"/>
        </w:rPr>
        <w:t>.t</w:t>
      </w:r>
      <w:r w:rsidR="00FB55D9" w:rsidRPr="00C4731E">
        <w:t>he Criminal Law (Consolidation) (Scotland) Act 1995 or as an aggravated offence under the Crime and Disorder Act 1998</w:t>
      </w:r>
      <w:r w:rsidR="00FB55D9">
        <w:t xml:space="preserve"> with other hate crimes.</w:t>
      </w:r>
      <w:r w:rsidR="00FB55D9" w:rsidRPr="00F96FF7">
        <w:rPr>
          <w:rStyle w:val="FootnoteReference"/>
        </w:rPr>
        <w:footnoteReference w:id="22"/>
      </w:r>
      <w:r w:rsidR="00FB55D9" w:rsidRPr="00F96FF7">
        <w:rPr>
          <w:rFonts w:eastAsia="Calibri"/>
          <w:lang w:val="en-GB"/>
        </w:rPr>
        <w:t xml:space="preserve"> </w:t>
      </w:r>
      <w:r w:rsidR="00FB55D9">
        <w:t>Hate crimes related to other characteristics</w:t>
      </w:r>
      <w:r w:rsidR="00FB55D9" w:rsidRPr="00F96FF7">
        <w:rPr>
          <w:rStyle w:val="FootnoteReference"/>
        </w:rPr>
        <w:footnoteReference w:id="23"/>
      </w:r>
      <w:r w:rsidR="00FB55D9" w:rsidRPr="00F96FF7">
        <w:rPr>
          <w:rFonts w:eastAsia="Calibri"/>
          <w:lang w:val="en-GB"/>
        </w:rPr>
        <w:t xml:space="preserve"> </w:t>
      </w:r>
      <w:r w:rsidR="00FB55D9" w:rsidRPr="00FB55D9">
        <w:t>are also prosecuted as aggravated offences attached to a substantive charge.</w:t>
      </w:r>
      <w:r w:rsidR="00336C0B">
        <w:t xml:space="preserve"> </w:t>
      </w:r>
      <w:r w:rsidR="00324C20">
        <w:rPr>
          <w:lang w:val="en-GB"/>
        </w:rPr>
        <w:t>Other laws</w:t>
      </w:r>
      <w:r w:rsidR="00932218">
        <w:rPr>
          <w:lang w:val="en-GB"/>
        </w:rPr>
        <w:t xml:space="preserve"> prohibit </w:t>
      </w:r>
      <w:r>
        <w:rPr>
          <w:lang w:val="en-GB"/>
        </w:rPr>
        <w:t xml:space="preserve">offensive behaviour </w:t>
      </w:r>
      <w:r w:rsidR="00E074C8">
        <w:rPr>
          <w:lang w:val="en-GB"/>
        </w:rPr>
        <w:t xml:space="preserve">which is likely to incite public disorder </w:t>
      </w:r>
      <w:r>
        <w:rPr>
          <w:lang w:val="en-GB"/>
        </w:rPr>
        <w:t>at, or travelling to and from</w:t>
      </w:r>
      <w:r w:rsidR="00763598">
        <w:rPr>
          <w:lang w:val="en-GB"/>
        </w:rPr>
        <w:t>,</w:t>
      </w:r>
      <w:r>
        <w:rPr>
          <w:lang w:val="en-GB"/>
        </w:rPr>
        <w:t xml:space="preserve"> football matches</w:t>
      </w:r>
      <w:r w:rsidR="00324C20">
        <w:rPr>
          <w:lang w:val="en-GB"/>
        </w:rPr>
        <w:t>. These laws</w:t>
      </w:r>
      <w:r>
        <w:rPr>
          <w:lang w:val="en-GB"/>
        </w:rPr>
        <w:t xml:space="preserve"> </w:t>
      </w:r>
      <w:r w:rsidR="00932218">
        <w:rPr>
          <w:lang w:val="en-GB"/>
        </w:rPr>
        <w:t>protect</w:t>
      </w:r>
      <w:r>
        <w:rPr>
          <w:lang w:val="en-GB"/>
        </w:rPr>
        <w:t xml:space="preserve"> a range of protected groups </w:t>
      </w:r>
      <w:r w:rsidR="00E074C8">
        <w:rPr>
          <w:lang w:val="en-GB"/>
        </w:rPr>
        <w:t xml:space="preserve">including </w:t>
      </w:r>
      <w:r>
        <w:rPr>
          <w:lang w:val="en-GB"/>
        </w:rPr>
        <w:t>religious groups, social or cult</w:t>
      </w:r>
      <w:r w:rsidR="00932218">
        <w:rPr>
          <w:lang w:val="en-GB"/>
        </w:rPr>
        <w:t>ural groups with religious affi</w:t>
      </w:r>
      <w:r>
        <w:rPr>
          <w:lang w:val="en-GB"/>
        </w:rPr>
        <w:t>liation</w:t>
      </w:r>
      <w:r w:rsidR="00763598">
        <w:rPr>
          <w:lang w:val="en-GB"/>
        </w:rPr>
        <w:t>,</w:t>
      </w:r>
      <w:r>
        <w:rPr>
          <w:lang w:val="en-GB"/>
        </w:rPr>
        <w:t xml:space="preserve"> </w:t>
      </w:r>
      <w:r w:rsidR="00E074C8">
        <w:rPr>
          <w:lang w:val="en-GB"/>
        </w:rPr>
        <w:t xml:space="preserve">ethnic or national </w:t>
      </w:r>
      <w:r w:rsidR="00E074C8">
        <w:rPr>
          <w:lang w:val="en-GB"/>
        </w:rPr>
        <w:lastRenderedPageBreak/>
        <w:t>groups</w:t>
      </w:r>
      <w:r>
        <w:rPr>
          <w:lang w:val="en-GB"/>
        </w:rPr>
        <w:t xml:space="preserve">, </w:t>
      </w:r>
      <w:r w:rsidR="00831217">
        <w:rPr>
          <w:lang w:val="en-GB"/>
        </w:rPr>
        <w:t xml:space="preserve">or </w:t>
      </w:r>
      <w:r w:rsidR="00E074C8">
        <w:rPr>
          <w:lang w:val="en-GB"/>
        </w:rPr>
        <w:t xml:space="preserve">groups defined by </w:t>
      </w:r>
      <w:r>
        <w:rPr>
          <w:lang w:val="en-GB"/>
        </w:rPr>
        <w:t>sexual orientation, transgender identity or disability</w:t>
      </w:r>
      <w:r w:rsidR="00336C0B">
        <w:rPr>
          <w:rStyle w:val="FootnoteReference"/>
          <w:lang w:val="en-GB"/>
        </w:rPr>
        <w:footnoteReference w:id="24"/>
      </w:r>
      <w:r w:rsidR="00336C0B">
        <w:rPr>
          <w:lang w:val="en-GB"/>
        </w:rPr>
        <w:t xml:space="preserve"> and are regularly used in practice to combat sectarianism</w:t>
      </w:r>
      <w:r>
        <w:rPr>
          <w:lang w:val="en-GB"/>
        </w:rPr>
        <w:t>.</w:t>
      </w:r>
      <w:r w:rsidR="00864EEC" w:rsidRPr="00E75351">
        <w:rPr>
          <w:vertAlign w:val="superscript"/>
        </w:rPr>
        <w:footnoteReference w:id="25"/>
      </w:r>
      <w:r>
        <w:rPr>
          <w:lang w:val="en-GB"/>
        </w:rPr>
        <w:t xml:space="preserve"> </w:t>
      </w:r>
    </w:p>
    <w:p w:rsidR="00932218" w:rsidRDefault="001D32D2" w:rsidP="007F6FF5">
      <w:pPr>
        <w:pStyle w:val="Parass"/>
        <w:rPr>
          <w:lang w:val="en-GB"/>
        </w:rPr>
      </w:pPr>
      <w:r>
        <w:rPr>
          <w:lang w:val="en-GB"/>
        </w:rPr>
        <w:t>Scottish law also</w:t>
      </w:r>
      <w:r w:rsidR="00324C20">
        <w:rPr>
          <w:lang w:val="en-GB"/>
        </w:rPr>
        <w:t xml:space="preserve"> </w:t>
      </w:r>
      <w:r w:rsidR="00932218">
        <w:rPr>
          <w:lang w:val="en-GB"/>
        </w:rPr>
        <w:t xml:space="preserve">protects the right to express views </w:t>
      </w:r>
      <w:r>
        <w:rPr>
          <w:lang w:val="en-GB"/>
        </w:rPr>
        <w:t>opposing</w:t>
      </w:r>
      <w:r w:rsidR="00932218">
        <w:rPr>
          <w:lang w:val="en-GB"/>
        </w:rPr>
        <w:t xml:space="preserve"> the marriage of same</w:t>
      </w:r>
      <w:r w:rsidR="00763598">
        <w:rPr>
          <w:lang w:val="en-GB"/>
        </w:rPr>
        <w:t>-</w:t>
      </w:r>
      <w:r w:rsidR="00932218">
        <w:rPr>
          <w:lang w:val="en-GB"/>
        </w:rPr>
        <w:t>sex couples.</w:t>
      </w:r>
      <w:r w:rsidR="00E93D40">
        <w:rPr>
          <w:rStyle w:val="FootnoteReference"/>
          <w:lang w:val="en-GB"/>
        </w:rPr>
        <w:footnoteReference w:id="26"/>
      </w:r>
      <w:r w:rsidR="00932218">
        <w:rPr>
          <w:lang w:val="en-GB"/>
        </w:rPr>
        <w:t xml:space="preserve"> </w:t>
      </w:r>
    </w:p>
    <w:p w:rsidR="008D22FB" w:rsidRPr="00A32E56" w:rsidRDefault="004B4210" w:rsidP="00A32E56">
      <w:pPr>
        <w:pStyle w:val="Parabase"/>
        <w:rPr>
          <w:i/>
          <w:lang w:val="en-GB"/>
        </w:rPr>
      </w:pPr>
      <w:r w:rsidRPr="00A32E56">
        <w:rPr>
          <w:i/>
          <w:lang w:val="en-GB"/>
        </w:rPr>
        <w:t>Threatening and grossly offensive communications</w:t>
      </w:r>
    </w:p>
    <w:p w:rsidR="00381F68" w:rsidRDefault="00381F68" w:rsidP="00381F68">
      <w:pPr>
        <w:pStyle w:val="Parabase"/>
        <w:rPr>
          <w:lang w:val="en-GB"/>
        </w:rPr>
      </w:pPr>
      <w:r w:rsidRPr="000C7124">
        <w:rPr>
          <w:b/>
          <w:lang w:val="en-GB"/>
        </w:rPr>
        <w:t>In England and Wales</w:t>
      </w:r>
      <w:r w:rsidR="00324C20">
        <w:rPr>
          <w:lang w:val="en-GB"/>
        </w:rPr>
        <w:t>,</w:t>
      </w:r>
      <w:r w:rsidRPr="00B46CB7">
        <w:rPr>
          <w:lang w:val="en-GB"/>
        </w:rPr>
        <w:t xml:space="preserve"> </w:t>
      </w:r>
      <w:r>
        <w:rPr>
          <w:lang w:val="en-GB"/>
        </w:rPr>
        <w:t>s</w:t>
      </w:r>
      <w:r w:rsidRPr="00B46CB7">
        <w:rPr>
          <w:lang w:val="en-GB"/>
        </w:rPr>
        <w:t xml:space="preserve">ending </w:t>
      </w:r>
      <w:r>
        <w:rPr>
          <w:lang w:val="en-GB"/>
        </w:rPr>
        <w:t>any letter</w:t>
      </w:r>
      <w:r w:rsidRPr="00B46CB7">
        <w:rPr>
          <w:lang w:val="en-GB"/>
        </w:rPr>
        <w:t xml:space="preserve">, </w:t>
      </w:r>
      <w:r>
        <w:rPr>
          <w:lang w:val="en-GB"/>
        </w:rPr>
        <w:t>email, photograph</w:t>
      </w:r>
      <w:r w:rsidRPr="00B46CB7">
        <w:rPr>
          <w:lang w:val="en-GB"/>
        </w:rPr>
        <w:t xml:space="preserve"> </w:t>
      </w:r>
      <w:r>
        <w:rPr>
          <w:lang w:val="en-GB"/>
        </w:rPr>
        <w:t>or recording</w:t>
      </w:r>
      <w:r w:rsidRPr="00B46CB7">
        <w:rPr>
          <w:lang w:val="en-GB"/>
        </w:rPr>
        <w:t xml:space="preserve"> </w:t>
      </w:r>
      <w:r w:rsidR="00324C20">
        <w:rPr>
          <w:lang w:val="en-GB"/>
        </w:rPr>
        <w:t>which</w:t>
      </w:r>
      <w:r w:rsidRPr="00B46CB7">
        <w:rPr>
          <w:lang w:val="en-GB"/>
        </w:rPr>
        <w:t xml:space="preserve"> </w:t>
      </w:r>
      <w:r>
        <w:rPr>
          <w:lang w:val="en-GB"/>
        </w:rPr>
        <w:t>is</w:t>
      </w:r>
      <w:r w:rsidRPr="00B46CB7">
        <w:rPr>
          <w:lang w:val="en-GB"/>
        </w:rPr>
        <w:t xml:space="preserve"> indecent, grossly offensive or which convey</w:t>
      </w:r>
      <w:r>
        <w:rPr>
          <w:lang w:val="en-GB"/>
        </w:rPr>
        <w:t>s a threat</w:t>
      </w:r>
      <w:r w:rsidRPr="00B46CB7">
        <w:rPr>
          <w:lang w:val="en-GB"/>
        </w:rPr>
        <w:t xml:space="preserve"> </w:t>
      </w:r>
      <w:r>
        <w:rPr>
          <w:lang w:val="en-GB"/>
        </w:rPr>
        <w:t xml:space="preserve">is an offence if </w:t>
      </w:r>
      <w:r w:rsidR="000C7124">
        <w:rPr>
          <w:lang w:val="en-GB"/>
        </w:rPr>
        <w:t>the sender</w:t>
      </w:r>
      <w:r w:rsidRPr="00B46CB7">
        <w:rPr>
          <w:lang w:val="en-GB"/>
        </w:rPr>
        <w:t xml:space="preserve"> </w:t>
      </w:r>
      <w:r w:rsidR="000C7124">
        <w:rPr>
          <w:lang w:val="en-GB"/>
        </w:rPr>
        <w:t>intends</w:t>
      </w:r>
      <w:r w:rsidRPr="00B46CB7">
        <w:rPr>
          <w:lang w:val="en-GB"/>
        </w:rPr>
        <w:t xml:space="preserve"> to cause distress or anxiety to the </w:t>
      </w:r>
      <w:r w:rsidR="00324C20">
        <w:rPr>
          <w:lang w:val="en-GB"/>
        </w:rPr>
        <w:t>recipient</w:t>
      </w:r>
      <w:r w:rsidR="00763598">
        <w:rPr>
          <w:lang w:val="en-GB"/>
        </w:rPr>
        <w:t>.</w:t>
      </w:r>
      <w:r w:rsidR="00864EEC" w:rsidRPr="00B46CB7">
        <w:rPr>
          <w:rStyle w:val="FootnoteReference"/>
          <w:lang w:val="en-GB"/>
        </w:rPr>
        <w:footnoteReference w:id="27"/>
      </w:r>
      <w:r w:rsidRPr="00B46CB7">
        <w:rPr>
          <w:lang w:val="en-GB"/>
        </w:rPr>
        <w:t xml:space="preserve"> This is the provision usually </w:t>
      </w:r>
      <w:r w:rsidR="004139AB">
        <w:rPr>
          <w:lang w:val="en-GB"/>
        </w:rPr>
        <w:t>employed</w:t>
      </w:r>
      <w:r w:rsidRPr="00B46CB7">
        <w:rPr>
          <w:lang w:val="en-GB"/>
        </w:rPr>
        <w:t xml:space="preserve"> to prosecute those who threaten others </w:t>
      </w:r>
      <w:r w:rsidR="00831217">
        <w:rPr>
          <w:lang w:val="en-GB"/>
        </w:rPr>
        <w:t>through</w:t>
      </w:r>
      <w:r w:rsidR="00831217" w:rsidRPr="00B46CB7">
        <w:rPr>
          <w:lang w:val="en-GB"/>
        </w:rPr>
        <w:t xml:space="preserve"> </w:t>
      </w:r>
      <w:r w:rsidRPr="00B46CB7">
        <w:rPr>
          <w:lang w:val="en-GB"/>
        </w:rPr>
        <w:t>Twitter, though incitement may also be charged.</w:t>
      </w:r>
    </w:p>
    <w:p w:rsidR="00381F68" w:rsidRPr="00E75351" w:rsidRDefault="00381F68" w:rsidP="00596678">
      <w:pPr>
        <w:pStyle w:val="Parapre-bullets"/>
      </w:pPr>
      <w:r w:rsidRPr="000C7124">
        <w:rPr>
          <w:b/>
          <w:lang w:val="en-GB"/>
        </w:rPr>
        <w:t>In Scotland</w:t>
      </w:r>
      <w:r w:rsidR="00CF654D" w:rsidRPr="00CF654D">
        <w:rPr>
          <w:lang w:val="en-GB"/>
        </w:rPr>
        <w:t>,</w:t>
      </w:r>
      <w:r w:rsidRPr="00763598">
        <w:rPr>
          <w:lang w:val="en-GB"/>
        </w:rPr>
        <w:t xml:space="preserve"> </w:t>
      </w:r>
      <w:r>
        <w:rPr>
          <w:lang w:val="en-GB"/>
        </w:rPr>
        <w:t>i</w:t>
      </w:r>
      <w:r w:rsidRPr="00E75351">
        <w:rPr>
          <w:lang w:val="en-GB"/>
        </w:rPr>
        <w:t>t is an offence to communicate threatening material, including images, to another person.</w:t>
      </w:r>
      <w:r w:rsidR="00E93D40">
        <w:rPr>
          <w:rStyle w:val="FootnoteReference"/>
          <w:lang w:val="en-GB"/>
        </w:rPr>
        <w:footnoteReference w:id="28"/>
      </w:r>
      <w:r w:rsidRPr="00E75351">
        <w:t xml:space="preserve"> Threatening </w:t>
      </w:r>
      <w:r w:rsidR="000C7124">
        <w:t>material</w:t>
      </w:r>
      <w:r w:rsidR="000C7124" w:rsidRPr="00E75351">
        <w:t xml:space="preserve"> </w:t>
      </w:r>
      <w:r>
        <w:t>can</w:t>
      </w:r>
      <w:r w:rsidRPr="00E75351">
        <w:t xml:space="preserve"> take two forms:</w:t>
      </w:r>
    </w:p>
    <w:p w:rsidR="00381F68" w:rsidRPr="00E75351" w:rsidRDefault="000C7124" w:rsidP="00381F68">
      <w:pPr>
        <w:pStyle w:val="Parabase"/>
        <w:numPr>
          <w:ilvl w:val="0"/>
          <w:numId w:val="11"/>
        </w:numPr>
      </w:pPr>
      <w:r>
        <w:t>M</w:t>
      </w:r>
      <w:r w:rsidR="00381F68" w:rsidRPr="00E75351">
        <w:t>aterial which contains or implies a threat to carry out a seriously violent act, which is likely to cause fear and alarm</w:t>
      </w:r>
      <w:r w:rsidR="00993532">
        <w:t xml:space="preserve"> and</w:t>
      </w:r>
      <w:r w:rsidR="007D653A">
        <w:t xml:space="preserve"> where</w:t>
      </w:r>
      <w:r w:rsidR="00993532">
        <w:t xml:space="preserve"> the person communicating either intends to cause fear and alarm or is reckless as to whether </w:t>
      </w:r>
      <w:r w:rsidR="00811386">
        <w:t>they</w:t>
      </w:r>
      <w:r>
        <w:t xml:space="preserve"> will,</w:t>
      </w:r>
      <w:r w:rsidR="00381F68" w:rsidRPr="00E75351">
        <w:t xml:space="preserve"> </w:t>
      </w:r>
      <w:r w:rsidR="004139AB">
        <w:t>or</w:t>
      </w:r>
    </w:p>
    <w:p w:rsidR="008D22FB" w:rsidRDefault="000C7124">
      <w:pPr>
        <w:pStyle w:val="Parabase"/>
        <w:numPr>
          <w:ilvl w:val="0"/>
          <w:numId w:val="11"/>
        </w:numPr>
      </w:pPr>
      <w:r>
        <w:t>Material</w:t>
      </w:r>
      <w:r w:rsidR="00811386">
        <w:t xml:space="preserve"> </w:t>
      </w:r>
      <w:r>
        <w:t>sent</w:t>
      </w:r>
      <w:r w:rsidR="00381F68" w:rsidRPr="00E75351">
        <w:t xml:space="preserve"> with the intent of stirring up religious hatred.</w:t>
      </w:r>
      <w:r w:rsidR="00884956">
        <w:t xml:space="preserve"> </w:t>
      </w:r>
      <w:r w:rsidR="00381F68">
        <w:t>F</w:t>
      </w:r>
      <w:r w:rsidR="00381F68" w:rsidRPr="00E75351">
        <w:t xml:space="preserve">reedom of expression </w:t>
      </w:r>
      <w:r w:rsidR="00381F68">
        <w:t xml:space="preserve">is protected </w:t>
      </w:r>
      <w:r w:rsidR="00381F68" w:rsidRPr="00E75351">
        <w:t xml:space="preserve">to the extent that discussion or criticism of religion or belief or religious practices </w:t>
      </w:r>
      <w:r w:rsidR="00E52496">
        <w:t>is</w:t>
      </w:r>
      <w:r w:rsidR="00E52496" w:rsidRPr="00E75351">
        <w:t xml:space="preserve"> </w:t>
      </w:r>
      <w:r w:rsidR="00381F68" w:rsidRPr="00E75351">
        <w:t xml:space="preserve">expressly permitted, as are expressions of antipathy, dislike, ridicule, insult or abuse towards religions. </w:t>
      </w:r>
    </w:p>
    <w:p w:rsidR="008D22FB" w:rsidRDefault="004B4210" w:rsidP="00F949CD">
      <w:pPr>
        <w:pStyle w:val="Parasection"/>
        <w:rPr>
          <w:lang w:val="en-GB"/>
        </w:rPr>
      </w:pPr>
      <w:r w:rsidRPr="004B4210">
        <w:t xml:space="preserve">It is also an offence </w:t>
      </w:r>
      <w:r w:rsidR="000C7124">
        <w:t>across G</w:t>
      </w:r>
      <w:r w:rsidR="00811386">
        <w:t xml:space="preserve">reat </w:t>
      </w:r>
      <w:r w:rsidR="000C7124">
        <w:t>B</w:t>
      </w:r>
      <w:r w:rsidR="00811386">
        <w:t>ritain</w:t>
      </w:r>
      <w:r w:rsidRPr="004B4210">
        <w:t xml:space="preserve"> to make improper use of a public electronic communications network</w:t>
      </w:r>
      <w:r w:rsidR="000C7124">
        <w:t>,</w:t>
      </w:r>
      <w:r w:rsidRPr="004B4210">
        <w:t xml:space="preserve"> such as by sending grossly offensive, indecent, obscene, menacing or annoying phone calls and emails.</w:t>
      </w:r>
      <w:r w:rsidR="00864EEC">
        <w:rPr>
          <w:rStyle w:val="FootnoteReference"/>
          <w:lang w:val="en-GB"/>
        </w:rPr>
        <w:footnoteReference w:id="29"/>
      </w:r>
    </w:p>
    <w:p w:rsidR="008D22FB" w:rsidRPr="00A32E56" w:rsidRDefault="00A046B9" w:rsidP="00A32E56">
      <w:pPr>
        <w:pStyle w:val="Parabase"/>
        <w:rPr>
          <w:i/>
          <w:lang w:val="en-GB"/>
        </w:rPr>
      </w:pPr>
      <w:r w:rsidRPr="00A32E56">
        <w:rPr>
          <w:i/>
          <w:lang w:val="en-GB"/>
        </w:rPr>
        <w:t>Harassment</w:t>
      </w:r>
      <w:r w:rsidR="00381F68" w:rsidRPr="00A32E56">
        <w:rPr>
          <w:i/>
          <w:lang w:val="en-GB"/>
        </w:rPr>
        <w:t xml:space="preserve"> </w:t>
      </w:r>
      <w:r w:rsidR="007677B9" w:rsidRPr="00A32E56">
        <w:rPr>
          <w:i/>
          <w:lang w:val="en-GB"/>
        </w:rPr>
        <w:t>contrary to the Protection from Harassment Act</w:t>
      </w:r>
    </w:p>
    <w:p w:rsidR="00381F68" w:rsidRPr="006C2E03" w:rsidRDefault="00381F68" w:rsidP="00381F68">
      <w:pPr>
        <w:pStyle w:val="Parabase"/>
        <w:rPr>
          <w:lang w:val="en-GB"/>
        </w:rPr>
      </w:pPr>
      <w:r w:rsidRPr="00E11F26">
        <w:rPr>
          <w:b/>
          <w:lang w:val="en-GB"/>
        </w:rPr>
        <w:t>In England and Wales</w:t>
      </w:r>
      <w:r>
        <w:rPr>
          <w:lang w:val="en-GB"/>
        </w:rPr>
        <w:t xml:space="preserve"> h</w:t>
      </w:r>
      <w:r w:rsidRPr="006C2E03">
        <w:rPr>
          <w:lang w:val="en-GB"/>
        </w:rPr>
        <w:t xml:space="preserve">arassment is both a criminal offence and a civil action under the </w:t>
      </w:r>
      <w:r w:rsidRPr="006C2E03">
        <w:rPr>
          <w:bCs/>
          <w:lang w:val="en-GB"/>
        </w:rPr>
        <w:t>Protection from Harassment Act 1997</w:t>
      </w:r>
      <w:r w:rsidRPr="006C2E03">
        <w:rPr>
          <w:lang w:val="en-GB"/>
        </w:rPr>
        <w:t xml:space="preserve">. </w:t>
      </w:r>
      <w:r w:rsidR="00B31353">
        <w:rPr>
          <w:lang w:val="en-GB"/>
        </w:rPr>
        <w:t xml:space="preserve">Harassment is also prohibited </w:t>
      </w:r>
      <w:r w:rsidR="00B31353">
        <w:rPr>
          <w:lang w:val="en-GB"/>
        </w:rPr>
        <w:lastRenderedPageBreak/>
        <w:t>under the Equality Act 2010</w:t>
      </w:r>
      <w:r w:rsidR="001772EF">
        <w:rPr>
          <w:lang w:val="en-GB"/>
        </w:rPr>
        <w:t>, although its sanctions are primarily civil rather than criminal</w:t>
      </w:r>
      <w:r w:rsidR="00C32CE5">
        <w:rPr>
          <w:lang w:val="en-GB"/>
        </w:rPr>
        <w:t xml:space="preserve"> (see the sections on </w:t>
      </w:r>
      <w:r w:rsidR="00C32CE5" w:rsidRPr="00E05E0C">
        <w:rPr>
          <w:lang w:val="en-GB"/>
        </w:rPr>
        <w:t>Employ</w:t>
      </w:r>
      <w:r w:rsidR="00A32E56">
        <w:rPr>
          <w:lang w:val="en-GB"/>
        </w:rPr>
        <w:t>ment and Service p</w:t>
      </w:r>
      <w:r w:rsidR="00F91577" w:rsidRPr="00E05E0C">
        <w:rPr>
          <w:lang w:val="en-GB"/>
        </w:rPr>
        <w:t>roviders</w:t>
      </w:r>
      <w:r w:rsidR="00C32CE5">
        <w:rPr>
          <w:lang w:val="en-GB"/>
        </w:rPr>
        <w:t>)</w:t>
      </w:r>
      <w:r w:rsidR="006A6BBC">
        <w:rPr>
          <w:lang w:val="en-GB"/>
        </w:rPr>
        <w:t>.</w:t>
      </w:r>
    </w:p>
    <w:p w:rsidR="00381F68" w:rsidRDefault="00381F68" w:rsidP="00381F68">
      <w:pPr>
        <w:pStyle w:val="Parabase"/>
        <w:rPr>
          <w:lang w:val="en-GB"/>
        </w:rPr>
      </w:pPr>
      <w:r>
        <w:rPr>
          <w:lang w:val="en-GB"/>
        </w:rPr>
        <w:t>H</w:t>
      </w:r>
      <w:r w:rsidRPr="00B46CB7">
        <w:rPr>
          <w:lang w:val="en-GB"/>
        </w:rPr>
        <w:t xml:space="preserve">arassment is </w:t>
      </w:r>
      <w:r w:rsidR="00602062">
        <w:rPr>
          <w:lang w:val="en-GB"/>
        </w:rPr>
        <w:t xml:space="preserve">repeated </w:t>
      </w:r>
      <w:r w:rsidRPr="00B46CB7">
        <w:rPr>
          <w:lang w:val="en-GB"/>
        </w:rPr>
        <w:t xml:space="preserve">behaviour which causes distress or alarm. The courts will look at whether a </w:t>
      </w:r>
      <w:r w:rsidRPr="006C2E03">
        <w:rPr>
          <w:bCs/>
          <w:lang w:val="en-GB"/>
        </w:rPr>
        <w:t>reasonable person</w:t>
      </w:r>
      <w:r w:rsidRPr="00B46CB7">
        <w:rPr>
          <w:lang w:val="en-GB"/>
        </w:rPr>
        <w:t xml:space="preserve"> would think the behaviour amounts to harassment. </w:t>
      </w:r>
    </w:p>
    <w:tbl>
      <w:tblPr>
        <w:tblStyle w:val="TableGrid"/>
        <w:tblW w:w="0" w:type="auto"/>
        <w:tblLook w:val="04A0"/>
      </w:tblPr>
      <w:tblGrid>
        <w:gridCol w:w="9236"/>
      </w:tblGrid>
      <w:tr w:rsidR="00A41BD4" w:rsidTr="00A41BD4">
        <w:tc>
          <w:tcPr>
            <w:tcW w:w="9236" w:type="dxa"/>
            <w:tcBorders>
              <w:top w:val="nil"/>
              <w:left w:val="nil"/>
              <w:bottom w:val="nil"/>
              <w:right w:val="nil"/>
            </w:tcBorders>
            <w:shd w:val="clear" w:color="auto" w:fill="FDE9D9" w:themeFill="accent6" w:themeFillTint="33"/>
          </w:tcPr>
          <w:p w:rsidR="00A41BD4" w:rsidRPr="002E4415" w:rsidRDefault="00A41BD4" w:rsidP="00A41BD4">
            <w:pPr>
              <w:pStyle w:val="Parabase"/>
              <w:rPr>
                <w:lang w:val="en-GB"/>
              </w:rPr>
            </w:pPr>
            <w:r>
              <w:rPr>
                <w:lang w:val="en-GB"/>
              </w:rPr>
              <w:t xml:space="preserve">In one case </w:t>
            </w:r>
            <w:r w:rsidRPr="002E4415">
              <w:rPr>
                <w:lang w:val="en-GB"/>
              </w:rPr>
              <w:t>under the Protection from Harassment Act</w:t>
            </w:r>
            <w:r>
              <w:rPr>
                <w:lang w:val="en-GB"/>
              </w:rPr>
              <w:t>, the</w:t>
            </w:r>
            <w:r w:rsidRPr="002E4415">
              <w:rPr>
                <w:lang w:val="en-GB"/>
              </w:rPr>
              <w:t xml:space="preserve"> group of companies which ran </w:t>
            </w:r>
            <w:proofErr w:type="spellStart"/>
            <w:r>
              <w:rPr>
                <w:lang w:val="en-GB"/>
              </w:rPr>
              <w:t>Chessington</w:t>
            </w:r>
            <w:proofErr w:type="spellEnd"/>
            <w:r>
              <w:rPr>
                <w:lang w:val="en-GB"/>
              </w:rPr>
              <w:t xml:space="preserve"> World of Adventure</w:t>
            </w:r>
            <w:r w:rsidRPr="002E4415">
              <w:rPr>
                <w:lang w:val="en-GB"/>
              </w:rPr>
              <w:t xml:space="preserve"> sought an injunction against </w:t>
            </w:r>
            <w:r>
              <w:rPr>
                <w:lang w:val="en-GB"/>
              </w:rPr>
              <w:t>Mr Cave</w:t>
            </w:r>
            <w:r w:rsidRPr="002E4415">
              <w:rPr>
                <w:lang w:val="en-GB"/>
              </w:rPr>
              <w:t xml:space="preserve"> to prevent him from </w:t>
            </w:r>
            <w:r>
              <w:rPr>
                <w:lang w:val="en-GB"/>
              </w:rPr>
              <w:t>continuing with</w:t>
            </w:r>
            <w:r w:rsidRPr="002E4415">
              <w:rPr>
                <w:lang w:val="en-GB"/>
              </w:rPr>
              <w:t xml:space="preserve"> an email </w:t>
            </w:r>
            <w:r>
              <w:rPr>
                <w:lang w:val="en-GB"/>
              </w:rPr>
              <w:t xml:space="preserve">and website </w:t>
            </w:r>
            <w:r w:rsidRPr="002E4415">
              <w:rPr>
                <w:lang w:val="en-GB"/>
              </w:rPr>
              <w:t>campaign c</w:t>
            </w:r>
            <w:r>
              <w:rPr>
                <w:lang w:val="en-GB"/>
              </w:rPr>
              <w:t xml:space="preserve">riticising </w:t>
            </w:r>
            <w:r w:rsidRPr="002E4415">
              <w:rPr>
                <w:lang w:val="en-GB"/>
              </w:rPr>
              <w:t>safe</w:t>
            </w:r>
            <w:r>
              <w:rPr>
                <w:lang w:val="en-GB"/>
              </w:rPr>
              <w:t xml:space="preserve">ty at the theme park following an injury to a child. </w:t>
            </w:r>
            <w:r w:rsidRPr="002E4415">
              <w:rPr>
                <w:lang w:val="en-GB"/>
              </w:rPr>
              <w:t xml:space="preserve">The High Court refused </w:t>
            </w:r>
            <w:r>
              <w:rPr>
                <w:lang w:val="en-GB"/>
              </w:rPr>
              <w:t>to grant</w:t>
            </w:r>
            <w:r w:rsidRPr="002E4415">
              <w:rPr>
                <w:lang w:val="en-GB"/>
              </w:rPr>
              <w:t xml:space="preserve"> a</w:t>
            </w:r>
            <w:r>
              <w:rPr>
                <w:lang w:val="en-GB"/>
              </w:rPr>
              <w:t>n</w:t>
            </w:r>
            <w:r w:rsidRPr="002E4415">
              <w:rPr>
                <w:lang w:val="en-GB"/>
              </w:rPr>
              <w:t xml:space="preserve"> injunction on the grounds that </w:t>
            </w:r>
            <w:r>
              <w:rPr>
                <w:lang w:val="en-GB"/>
              </w:rPr>
              <w:t>Mr Cave’s</w:t>
            </w:r>
            <w:r w:rsidRPr="002E4415">
              <w:rPr>
                <w:lang w:val="en-GB"/>
              </w:rPr>
              <w:t xml:space="preserve"> campaign</w:t>
            </w:r>
            <w:r>
              <w:rPr>
                <w:lang w:val="en-GB"/>
              </w:rPr>
              <w:t xml:space="preserve"> against the theme park</w:t>
            </w:r>
            <w:r w:rsidRPr="002E4415">
              <w:rPr>
                <w:lang w:val="en-GB"/>
              </w:rPr>
              <w:t xml:space="preserve"> was a legitimate exercise of his freedom of expression protected under Article 10</w:t>
            </w:r>
            <w:r>
              <w:rPr>
                <w:lang w:val="en-GB"/>
              </w:rPr>
              <w:t>.</w:t>
            </w:r>
            <w:r>
              <w:rPr>
                <w:rStyle w:val="FootnoteReference"/>
                <w:lang w:val="en-GB"/>
              </w:rPr>
              <w:footnoteReference w:id="30"/>
            </w:r>
          </w:p>
          <w:p w:rsidR="00A41BD4" w:rsidRDefault="00A41BD4" w:rsidP="00A41BD4">
            <w:pPr>
              <w:pStyle w:val="Parabase"/>
              <w:rPr>
                <w:lang w:val="en-GB"/>
              </w:rPr>
            </w:pPr>
            <w:r w:rsidRPr="002E4415">
              <w:rPr>
                <w:lang w:val="en-GB"/>
              </w:rPr>
              <w:t xml:space="preserve">This </w:t>
            </w:r>
            <w:r>
              <w:rPr>
                <w:lang w:val="en-GB"/>
              </w:rPr>
              <w:t>case involved</w:t>
            </w:r>
            <w:r w:rsidRPr="002E4415">
              <w:rPr>
                <w:lang w:val="en-GB"/>
              </w:rPr>
              <w:t xml:space="preserve"> a civil claim under the Act. However, a sus</w:t>
            </w:r>
            <w:r>
              <w:rPr>
                <w:lang w:val="en-GB"/>
              </w:rPr>
              <w:t>tained campaign of hate speech c</w:t>
            </w:r>
            <w:r w:rsidRPr="002E4415">
              <w:rPr>
                <w:lang w:val="en-GB"/>
              </w:rPr>
              <w:t xml:space="preserve">ould </w:t>
            </w:r>
            <w:r>
              <w:rPr>
                <w:lang w:val="en-GB"/>
              </w:rPr>
              <w:t xml:space="preserve">constitute the </w:t>
            </w:r>
            <w:r w:rsidRPr="002E4415">
              <w:rPr>
                <w:lang w:val="en-GB"/>
              </w:rPr>
              <w:t xml:space="preserve">criminal offence of harassment. </w:t>
            </w:r>
          </w:p>
          <w:p w:rsidR="00A41BD4" w:rsidRDefault="00A41BD4" w:rsidP="00383A96">
            <w:pPr>
              <w:pStyle w:val="Parabase"/>
              <w:rPr>
                <w:lang w:val="en-GB"/>
              </w:rPr>
            </w:pPr>
          </w:p>
        </w:tc>
      </w:tr>
    </w:tbl>
    <w:p w:rsidR="00383A96" w:rsidRPr="00B46CB7" w:rsidRDefault="00383A96" w:rsidP="00383A96">
      <w:pPr>
        <w:pStyle w:val="Parabase"/>
        <w:rPr>
          <w:lang w:val="en-GB"/>
        </w:rPr>
      </w:pPr>
      <w:r>
        <w:rPr>
          <w:lang w:val="en-GB"/>
        </w:rPr>
        <w:t>An offence under the 1997 Act will be committed where there is</w:t>
      </w:r>
      <w:r w:rsidRPr="00B46CB7">
        <w:rPr>
          <w:lang w:val="en-GB"/>
        </w:rPr>
        <w:t xml:space="preserve">: </w:t>
      </w:r>
    </w:p>
    <w:p w:rsidR="00383A96" w:rsidRPr="00B46CB7" w:rsidRDefault="00383A96" w:rsidP="00596678">
      <w:pPr>
        <w:pStyle w:val="Bulletsbase"/>
        <w:numPr>
          <w:ilvl w:val="0"/>
          <w:numId w:val="4"/>
        </w:numPr>
      </w:pPr>
      <w:r w:rsidRPr="00B46CB7">
        <w:t>a course of conduct</w:t>
      </w:r>
      <w:r>
        <w:t xml:space="preserve"> of at least two incidents</w:t>
      </w:r>
      <w:r w:rsidR="00497770">
        <w:t xml:space="preserve"> </w:t>
      </w:r>
    </w:p>
    <w:p w:rsidR="00383A96" w:rsidRPr="00B46CB7" w:rsidRDefault="00383A96" w:rsidP="00596678">
      <w:pPr>
        <w:pStyle w:val="Bulletsbase"/>
        <w:numPr>
          <w:ilvl w:val="0"/>
          <w:numId w:val="4"/>
        </w:numPr>
      </w:pPr>
      <w:r w:rsidRPr="00B46CB7">
        <w:t>which amounts to harassment of another</w:t>
      </w:r>
      <w:r w:rsidR="00763598">
        <w:t>,</w:t>
      </w:r>
      <w:r w:rsidRPr="00B46CB7">
        <w:t xml:space="preserve"> and</w:t>
      </w:r>
      <w:r w:rsidR="00497770">
        <w:t xml:space="preserve"> </w:t>
      </w:r>
    </w:p>
    <w:p w:rsidR="00383A96" w:rsidRPr="00383A96" w:rsidRDefault="00383A96" w:rsidP="00596678">
      <w:pPr>
        <w:pStyle w:val="Bulletsgroup"/>
        <w:numPr>
          <w:ilvl w:val="0"/>
          <w:numId w:val="4"/>
        </w:numPr>
      </w:pPr>
      <w:r w:rsidRPr="00383A96">
        <w:t xml:space="preserve">which the defendant knows, or ought to know amounts to harassment. </w:t>
      </w:r>
    </w:p>
    <w:p w:rsidR="00381F68" w:rsidRDefault="000C7124" w:rsidP="00596678">
      <w:pPr>
        <w:pStyle w:val="Parapre-bullets"/>
        <w:rPr>
          <w:lang w:val="en-GB"/>
        </w:rPr>
      </w:pPr>
      <w:r>
        <w:rPr>
          <w:lang w:val="en-GB"/>
        </w:rPr>
        <w:t>In Scotland</w:t>
      </w:r>
      <w:r w:rsidR="00811386">
        <w:rPr>
          <w:lang w:val="en-GB"/>
        </w:rPr>
        <w:t>,</w:t>
      </w:r>
      <w:r>
        <w:rPr>
          <w:lang w:val="en-GB"/>
        </w:rPr>
        <w:t xml:space="preserve"> t</w:t>
      </w:r>
      <w:r w:rsidR="00381F68" w:rsidRPr="00E75351">
        <w:rPr>
          <w:lang w:val="en-GB"/>
        </w:rPr>
        <w:t xml:space="preserve">he Protection from Harassment Act 1997 </w:t>
      </w:r>
      <w:r>
        <w:rPr>
          <w:lang w:val="en-GB"/>
        </w:rPr>
        <w:t xml:space="preserve">only partially </w:t>
      </w:r>
      <w:r w:rsidR="00381F68" w:rsidRPr="00E75351">
        <w:rPr>
          <w:lang w:val="en-GB"/>
        </w:rPr>
        <w:t xml:space="preserve">applies </w:t>
      </w:r>
      <w:r>
        <w:rPr>
          <w:lang w:val="en-GB"/>
        </w:rPr>
        <w:t>and</w:t>
      </w:r>
      <w:r w:rsidR="00381F68" w:rsidRPr="00E75351">
        <w:rPr>
          <w:lang w:val="en-GB"/>
        </w:rPr>
        <w:t xml:space="preserve"> operates differently. The statutory test</w:t>
      </w:r>
      <w:r w:rsidR="00633D74">
        <w:rPr>
          <w:lang w:val="en-GB"/>
        </w:rPr>
        <w:t xml:space="preserve"> </w:t>
      </w:r>
      <w:r w:rsidR="00381F68" w:rsidRPr="00E75351">
        <w:rPr>
          <w:lang w:val="en-GB"/>
        </w:rPr>
        <w:t xml:space="preserve">for harassment </w:t>
      </w:r>
      <w:r w:rsidR="008F0E57">
        <w:rPr>
          <w:lang w:val="en-GB"/>
        </w:rPr>
        <w:t xml:space="preserve">(except in domestic abuse situations) </w:t>
      </w:r>
      <w:r w:rsidR="00381F68" w:rsidRPr="00E75351">
        <w:rPr>
          <w:lang w:val="en-GB"/>
        </w:rPr>
        <w:t xml:space="preserve">requires: </w:t>
      </w:r>
    </w:p>
    <w:p w:rsidR="00381F68" w:rsidRPr="008F0E57" w:rsidRDefault="00381F68" w:rsidP="00596678">
      <w:pPr>
        <w:pStyle w:val="Bulletsbase"/>
        <w:numPr>
          <w:ilvl w:val="0"/>
          <w:numId w:val="4"/>
        </w:numPr>
      </w:pPr>
      <w:r w:rsidRPr="00E75351">
        <w:t>a course of conduct</w:t>
      </w:r>
      <w:r w:rsidR="00993532">
        <w:t xml:space="preserve"> </w:t>
      </w:r>
      <w:r w:rsidRPr="008F0E57">
        <w:t xml:space="preserve">which amounts to harassment of another and </w:t>
      </w:r>
    </w:p>
    <w:p w:rsidR="00497770" w:rsidRDefault="00381F68" w:rsidP="00596678">
      <w:pPr>
        <w:pStyle w:val="Bulletsgroup"/>
        <w:numPr>
          <w:ilvl w:val="0"/>
          <w:numId w:val="4"/>
        </w:numPr>
      </w:pPr>
      <w:r w:rsidRPr="008F0E57">
        <w:t>either (a) is intend</w:t>
      </w:r>
      <w:r w:rsidRPr="00E75351">
        <w:t>ed to amount to harassment of that person, or (b) occurs in circumstances where it would appear to a reasonable person that</w:t>
      </w:r>
      <w:r w:rsidR="00336C0B">
        <w:t xml:space="preserve"> it would amount to harassment.</w:t>
      </w:r>
    </w:p>
    <w:p w:rsidR="00336C0B" w:rsidRDefault="00336C0B" w:rsidP="00336C0B">
      <w:pPr>
        <w:pStyle w:val="Parabase"/>
        <w:rPr>
          <w:lang w:val="en-GB"/>
        </w:rPr>
      </w:pPr>
      <w:r w:rsidRPr="00C4731E">
        <w:rPr>
          <w:lang w:val="en-GB"/>
        </w:rPr>
        <w:t xml:space="preserve">In Scotland, a criminal offence is committed if </w:t>
      </w:r>
      <w:r>
        <w:rPr>
          <w:lang w:val="en-GB"/>
        </w:rPr>
        <w:t>a</w:t>
      </w:r>
      <w:r w:rsidRPr="00C4731E">
        <w:rPr>
          <w:lang w:val="en-GB"/>
        </w:rPr>
        <w:t xml:space="preserve"> non-harassment order is breached</w:t>
      </w:r>
      <w:r>
        <w:rPr>
          <w:lang w:val="en-GB"/>
        </w:rPr>
        <w:t>.</w:t>
      </w:r>
      <w:r w:rsidRPr="00C4731E">
        <w:rPr>
          <w:lang w:val="en-GB"/>
        </w:rPr>
        <w:t xml:space="preserve"> </w:t>
      </w:r>
      <w:r>
        <w:rPr>
          <w:lang w:val="en-GB"/>
        </w:rPr>
        <w:t>S</w:t>
      </w:r>
      <w:r w:rsidRPr="00C4731E">
        <w:rPr>
          <w:lang w:val="en-GB"/>
        </w:rPr>
        <w:t>talking is also an offence</w:t>
      </w:r>
      <w:r w:rsidRPr="00C4731E">
        <w:rPr>
          <w:rStyle w:val="FootnoteReference"/>
          <w:lang w:val="en-GB"/>
        </w:rPr>
        <w:footnoteReference w:id="31"/>
      </w:r>
      <w:r w:rsidRPr="00C4731E">
        <w:rPr>
          <w:lang w:val="en-GB"/>
        </w:rPr>
        <w:t xml:space="preserve"> and harassment </w:t>
      </w:r>
      <w:r>
        <w:rPr>
          <w:lang w:val="en-GB"/>
        </w:rPr>
        <w:t xml:space="preserve">can be </w:t>
      </w:r>
      <w:r w:rsidRPr="00C4731E">
        <w:rPr>
          <w:lang w:val="en-GB"/>
        </w:rPr>
        <w:t>a form of the common law offence of breach of the peace. If the offence is committed as a result of ‘malice and ill-will’ this can be taken into account in sentencing, as an aggravated offence, discussed below.</w:t>
      </w:r>
    </w:p>
    <w:p w:rsidR="00336C0B" w:rsidRDefault="00336C0B" w:rsidP="00336C0B">
      <w:pPr>
        <w:pStyle w:val="Bulletsgroup"/>
        <w:numPr>
          <w:ilvl w:val="0"/>
          <w:numId w:val="0"/>
        </w:numPr>
      </w:pPr>
    </w:p>
    <w:p w:rsidR="00BE50D1" w:rsidRDefault="00C06271" w:rsidP="00A32E56">
      <w:pPr>
        <w:pStyle w:val="L4Header"/>
        <w:rPr>
          <w:lang w:val="en-GB"/>
        </w:rPr>
      </w:pPr>
      <w:r>
        <w:rPr>
          <w:lang w:val="en-GB"/>
        </w:rPr>
        <w:lastRenderedPageBreak/>
        <w:t>Racially</w:t>
      </w:r>
      <w:r w:rsidRPr="00B46CB7">
        <w:rPr>
          <w:lang w:val="en-GB"/>
        </w:rPr>
        <w:t xml:space="preserve"> or religiously aggravated </w:t>
      </w:r>
      <w:r w:rsidR="000C5FBB">
        <w:rPr>
          <w:lang w:val="en-GB"/>
        </w:rPr>
        <w:t>offences</w:t>
      </w:r>
    </w:p>
    <w:p w:rsidR="00BE50D1" w:rsidRDefault="00BE50D1" w:rsidP="00BE50D1">
      <w:pPr>
        <w:pStyle w:val="Parabase"/>
        <w:rPr>
          <w:rFonts w:eastAsia="Calibri"/>
          <w:lang w:val="en-GB"/>
        </w:rPr>
      </w:pPr>
      <w:r w:rsidRPr="00BE50D1">
        <w:rPr>
          <w:rFonts w:eastAsia="Calibri"/>
          <w:lang w:val="en-GB"/>
        </w:rPr>
        <w:t>Any criminal offence which is perceived</w:t>
      </w:r>
      <w:bookmarkStart w:id="29" w:name="_GoBack"/>
      <w:bookmarkEnd w:id="29"/>
      <w:r w:rsidRPr="00BE50D1">
        <w:rPr>
          <w:rFonts w:eastAsia="Calibri"/>
          <w:lang w:val="en-GB"/>
        </w:rPr>
        <w:t xml:space="preserve"> </w:t>
      </w:r>
      <w:r w:rsidR="00D93614" w:rsidRPr="00BE50D1">
        <w:rPr>
          <w:rFonts w:eastAsia="Calibri"/>
          <w:lang w:val="en-GB"/>
        </w:rPr>
        <w:t xml:space="preserve">by the victim or any other person </w:t>
      </w:r>
      <w:r w:rsidRPr="00BE50D1">
        <w:rPr>
          <w:rFonts w:eastAsia="Calibri"/>
          <w:lang w:val="en-GB"/>
        </w:rPr>
        <w:t>to be motivated by hostility towards a person’s race or religion or perceived race or religion is a racially or religiously aggravated crime</w:t>
      </w:r>
      <w:r>
        <w:rPr>
          <w:rFonts w:eastAsia="Calibri"/>
          <w:lang w:val="en-GB"/>
        </w:rPr>
        <w:t xml:space="preserve"> across GB</w:t>
      </w:r>
      <w:r w:rsidRPr="00BE50D1">
        <w:rPr>
          <w:rFonts w:eastAsia="Calibri"/>
          <w:lang w:val="en-GB"/>
        </w:rPr>
        <w:t xml:space="preserve">. </w:t>
      </w:r>
    </w:p>
    <w:p w:rsidR="00B516AC" w:rsidRPr="00763598" w:rsidRDefault="00CF654D" w:rsidP="00596678">
      <w:pPr>
        <w:pStyle w:val="Parasection"/>
      </w:pPr>
      <w:r w:rsidRPr="00CF654D">
        <w:rPr>
          <w:lang w:val="en-GB"/>
        </w:rPr>
        <w:t xml:space="preserve">The Law Commission reported on the potential extension of the law on hate crime, in particular, suggesting </w:t>
      </w:r>
      <w:r w:rsidRPr="00CF654D">
        <w:t>that the aggravated offences might be extended to disability, sexual orientation and transgender identity.</w:t>
      </w:r>
      <w:r w:rsidR="006C5AEB">
        <w:rPr>
          <w:rStyle w:val="FootnoteReference"/>
        </w:rPr>
        <w:footnoteReference w:id="32"/>
      </w:r>
      <w:r w:rsidRPr="00CF654D">
        <w:t xml:space="preserve"> </w:t>
      </w:r>
    </w:p>
    <w:p w:rsidR="00381F68" w:rsidRPr="00986DCF" w:rsidRDefault="00381F68" w:rsidP="00A32E56">
      <w:pPr>
        <w:pStyle w:val="L4Header"/>
        <w:rPr>
          <w:lang w:val="en-GB"/>
        </w:rPr>
      </w:pPr>
      <w:r>
        <w:rPr>
          <w:lang w:val="en-GB"/>
        </w:rPr>
        <w:t>Courts’ sentencing powers</w:t>
      </w:r>
    </w:p>
    <w:p w:rsidR="00381F68" w:rsidRDefault="00381F68" w:rsidP="00381F68">
      <w:pPr>
        <w:pStyle w:val="Parabase"/>
      </w:pPr>
      <w:r>
        <w:t>In England and Wales, crimes such as assault and criminal damage will be prosecuted as racially or religiously aggravated</w:t>
      </w:r>
      <w:r w:rsidR="00497770">
        <w:t xml:space="preserve"> </w:t>
      </w:r>
      <w:r>
        <w:t xml:space="preserve">where the offender is motivated by hostility or hatred towards the victim's race or religious beliefs (actual or perceived). </w:t>
      </w:r>
    </w:p>
    <w:p w:rsidR="00381F68" w:rsidRPr="00A30641" w:rsidRDefault="00381F68" w:rsidP="00381F68">
      <w:pPr>
        <w:pStyle w:val="Parabase"/>
        <w:rPr>
          <w:rFonts w:hAnsi="Helvetica"/>
          <w:lang w:val="en-GB" w:eastAsia="en-US"/>
        </w:rPr>
      </w:pPr>
      <w:r>
        <w:t xml:space="preserve">As well as the specific aggravated offences, the law deals with hate crimes through special sentencing powers usually referred to as </w:t>
      </w:r>
      <w:r w:rsidR="00763598">
        <w:t>‘</w:t>
      </w:r>
      <w:r>
        <w:t>enhanced sentencing</w:t>
      </w:r>
      <w:r w:rsidR="00763598">
        <w:t>’</w:t>
      </w:r>
      <w:r>
        <w:t>.</w:t>
      </w:r>
      <w:r w:rsidR="00864EEC">
        <w:rPr>
          <w:rStyle w:val="FootnoteReference"/>
        </w:rPr>
        <w:footnoteReference w:id="33"/>
      </w:r>
      <w:r w:rsidR="00763598">
        <w:t xml:space="preserve"> </w:t>
      </w:r>
      <w:r>
        <w:t xml:space="preserve">The judge can increase the sentence for an offender convicted of any offence if it was motivated by hostility or involved a demonstration of hostility on the basis of any of five characteristics: </w:t>
      </w:r>
      <w:r>
        <w:rPr>
          <w:rFonts w:hAnsi="Helvetica"/>
          <w:lang w:val="en-GB" w:eastAsia="en-US"/>
        </w:rPr>
        <w:t xml:space="preserve">race, religion/faith, sexual orientation, disability and </w:t>
      </w:r>
      <w:r w:rsidRPr="00A30641">
        <w:rPr>
          <w:rFonts w:hAnsi="Helvetica"/>
          <w:lang w:val="en-GB" w:eastAsia="en-US"/>
        </w:rPr>
        <w:t xml:space="preserve">gender-identity. </w:t>
      </w:r>
    </w:p>
    <w:p w:rsidR="00381F68" w:rsidRDefault="00381F68" w:rsidP="00596678">
      <w:pPr>
        <w:pStyle w:val="Parasection"/>
        <w:rPr>
          <w:lang w:val="en-GB"/>
        </w:rPr>
      </w:pPr>
      <w:r w:rsidRPr="00E75351">
        <w:rPr>
          <w:lang w:val="en-GB"/>
        </w:rPr>
        <w:t xml:space="preserve">In </w:t>
      </w:r>
      <w:r>
        <w:rPr>
          <w:lang w:val="en-GB"/>
        </w:rPr>
        <w:t>Scotland, where</w:t>
      </w:r>
      <w:r w:rsidRPr="00E75351">
        <w:rPr>
          <w:lang w:val="en-GB"/>
        </w:rPr>
        <w:t xml:space="preserve"> a criminal offence is motivated by</w:t>
      </w:r>
      <w:r w:rsidR="0060530C">
        <w:rPr>
          <w:lang w:val="en-GB"/>
        </w:rPr>
        <w:t>,</w:t>
      </w:r>
      <w:r w:rsidR="00732E18">
        <w:rPr>
          <w:lang w:val="en-GB"/>
        </w:rPr>
        <w:t xml:space="preserve"> </w:t>
      </w:r>
      <w:r w:rsidRPr="00E75351">
        <w:rPr>
          <w:lang w:val="en-GB"/>
        </w:rPr>
        <w:t>or the accused expresses</w:t>
      </w:r>
      <w:r>
        <w:rPr>
          <w:lang w:val="en-GB"/>
        </w:rPr>
        <w:t>,</w:t>
      </w:r>
      <w:r w:rsidRPr="00E75351">
        <w:rPr>
          <w:lang w:val="en-GB"/>
        </w:rPr>
        <w:t xml:space="preserve"> ‘malice and ill-will’ related to disability, sexual orientation, transgender identity or religion, this could be an offence aggravated by prejudice.</w:t>
      </w:r>
      <w:r w:rsidR="00497770">
        <w:rPr>
          <w:lang w:val="en-GB"/>
        </w:rPr>
        <w:t xml:space="preserve"> </w:t>
      </w:r>
      <w:r w:rsidR="0060530C">
        <w:rPr>
          <w:lang w:val="en-GB"/>
        </w:rPr>
        <w:t>Such</w:t>
      </w:r>
      <w:r w:rsidRPr="00E75351">
        <w:rPr>
          <w:lang w:val="en-GB"/>
        </w:rPr>
        <w:t xml:space="preserve"> aggravation will be </w:t>
      </w:r>
      <w:r w:rsidR="00336C0B">
        <w:rPr>
          <w:lang w:val="en-GB"/>
        </w:rPr>
        <w:t xml:space="preserve">stated on conviction and </w:t>
      </w:r>
      <w:r w:rsidRPr="00E75351">
        <w:rPr>
          <w:lang w:val="en-GB"/>
        </w:rPr>
        <w:t>taken into account in sentencing.</w:t>
      </w:r>
      <w:r w:rsidR="001772EF">
        <w:rPr>
          <w:rStyle w:val="FootnoteReference"/>
          <w:lang w:val="en-GB"/>
        </w:rPr>
        <w:footnoteReference w:id="34"/>
      </w:r>
    </w:p>
    <w:p w:rsidR="00196008" w:rsidRDefault="008F0E57" w:rsidP="00196008">
      <w:pPr>
        <w:pStyle w:val="L3Headers"/>
        <w:rPr>
          <w:lang w:val="en-GB"/>
        </w:rPr>
      </w:pPr>
      <w:bookmarkStart w:id="30" w:name="_Toc410651252"/>
      <w:r>
        <w:rPr>
          <w:lang w:val="en-GB"/>
        </w:rPr>
        <w:t>Freedom of expression and</w:t>
      </w:r>
      <w:r w:rsidR="00196008">
        <w:rPr>
          <w:lang w:val="en-GB"/>
        </w:rPr>
        <w:t xml:space="preserve"> the media</w:t>
      </w:r>
      <w:bookmarkEnd w:id="30"/>
    </w:p>
    <w:p w:rsidR="00196008" w:rsidRDefault="00196008" w:rsidP="00962C44">
      <w:pPr>
        <w:pStyle w:val="Parabase"/>
        <w:rPr>
          <w:lang w:val="en-GB"/>
        </w:rPr>
      </w:pPr>
      <w:r>
        <w:rPr>
          <w:lang w:val="en-GB"/>
        </w:rPr>
        <w:t xml:space="preserve">Alongside </w:t>
      </w:r>
      <w:r w:rsidR="00732E18">
        <w:rPr>
          <w:lang w:val="en-GB"/>
        </w:rPr>
        <w:t>P</w:t>
      </w:r>
      <w:r>
        <w:rPr>
          <w:lang w:val="en-GB"/>
        </w:rPr>
        <w:t xml:space="preserve">arliament and the courts, the media </w:t>
      </w:r>
      <w:r w:rsidR="00A65DB3">
        <w:rPr>
          <w:lang w:val="en-GB"/>
        </w:rPr>
        <w:t>plays a vital role</w:t>
      </w:r>
      <w:r w:rsidR="00962C44" w:rsidDel="00962C44">
        <w:rPr>
          <w:lang w:val="en-GB"/>
        </w:rPr>
        <w:t xml:space="preserve"> </w:t>
      </w:r>
      <w:r w:rsidR="00962C44">
        <w:rPr>
          <w:lang w:val="en-GB"/>
        </w:rPr>
        <w:t>a</w:t>
      </w:r>
      <w:r w:rsidR="00A65DB3">
        <w:rPr>
          <w:lang w:val="en-GB"/>
        </w:rPr>
        <w:t xml:space="preserve">s </w:t>
      </w:r>
      <w:r>
        <w:rPr>
          <w:lang w:val="en-GB"/>
        </w:rPr>
        <w:t xml:space="preserve">a public watchdog in a democratic society. </w:t>
      </w:r>
      <w:r w:rsidR="00962C44">
        <w:rPr>
          <w:lang w:val="en-GB"/>
        </w:rPr>
        <w:t xml:space="preserve">Media scrutiny </w:t>
      </w:r>
      <w:r w:rsidR="00962C44" w:rsidRPr="00962C44">
        <w:rPr>
          <w:lang w:val="en-GB"/>
        </w:rPr>
        <w:t>of government and opposition</w:t>
      </w:r>
      <w:r w:rsidR="00962C44">
        <w:rPr>
          <w:lang w:val="en-GB"/>
        </w:rPr>
        <w:t xml:space="preserve"> </w:t>
      </w:r>
      <w:r w:rsidR="00962C44" w:rsidRPr="00962C44">
        <w:rPr>
          <w:lang w:val="en-GB"/>
        </w:rPr>
        <w:t xml:space="preserve">encourages good governance, </w:t>
      </w:r>
      <w:r w:rsidR="00962C44">
        <w:rPr>
          <w:lang w:val="en-GB"/>
        </w:rPr>
        <w:t>by</w:t>
      </w:r>
      <w:r w:rsidR="00962C44" w:rsidRPr="00962C44">
        <w:rPr>
          <w:lang w:val="en-GB"/>
        </w:rPr>
        <w:t xml:space="preserve"> help</w:t>
      </w:r>
      <w:r w:rsidR="00962C44">
        <w:rPr>
          <w:lang w:val="en-GB"/>
        </w:rPr>
        <w:t>ing</w:t>
      </w:r>
      <w:r w:rsidR="00962C44" w:rsidRPr="00962C44">
        <w:rPr>
          <w:lang w:val="en-GB"/>
        </w:rPr>
        <w:t xml:space="preserve"> to expose corruption or conflicts of interest. It enables the public to</w:t>
      </w:r>
      <w:r w:rsidR="00962C44">
        <w:rPr>
          <w:lang w:val="en-GB"/>
        </w:rPr>
        <w:t xml:space="preserve"> </w:t>
      </w:r>
      <w:r w:rsidR="00962C44" w:rsidRPr="00962C44">
        <w:rPr>
          <w:lang w:val="en-GB"/>
        </w:rPr>
        <w:t xml:space="preserve">participate in decision-making through free access to information and ideas. </w:t>
      </w:r>
      <w:r w:rsidR="00A65DB3">
        <w:rPr>
          <w:lang w:val="en-GB"/>
        </w:rPr>
        <w:t xml:space="preserve">Article 10 </w:t>
      </w:r>
      <w:r w:rsidR="00E001C0">
        <w:rPr>
          <w:lang w:val="en-GB"/>
        </w:rPr>
        <w:t xml:space="preserve">therefore </w:t>
      </w:r>
      <w:r w:rsidR="00A65DB3">
        <w:rPr>
          <w:lang w:val="en-GB"/>
        </w:rPr>
        <w:t xml:space="preserve">gives </w:t>
      </w:r>
      <w:r>
        <w:rPr>
          <w:lang w:val="en-GB"/>
        </w:rPr>
        <w:t xml:space="preserve">journalists </w:t>
      </w:r>
      <w:r w:rsidR="00A65DB3">
        <w:rPr>
          <w:lang w:val="en-GB"/>
        </w:rPr>
        <w:t xml:space="preserve">considerable </w:t>
      </w:r>
      <w:r w:rsidR="00E001C0">
        <w:rPr>
          <w:lang w:val="en-GB"/>
        </w:rPr>
        <w:t>latitude to express controversial views and opinions</w:t>
      </w:r>
      <w:r w:rsidR="00A65DB3">
        <w:rPr>
          <w:lang w:val="en-GB"/>
        </w:rPr>
        <w:t xml:space="preserve">, on the basis that </w:t>
      </w:r>
      <w:r w:rsidR="00635DAA">
        <w:rPr>
          <w:lang w:val="en-GB"/>
        </w:rPr>
        <w:t>‘</w:t>
      </w:r>
      <w:r w:rsidR="00A65DB3">
        <w:rPr>
          <w:lang w:val="en-GB"/>
        </w:rPr>
        <w:t xml:space="preserve">freedom of the press </w:t>
      </w:r>
      <w:r w:rsidR="00A65DB3">
        <w:rPr>
          <w:lang w:val="en-GB"/>
        </w:rPr>
        <w:lastRenderedPageBreak/>
        <w:t>and other news media affords the public of one of the best means of discovering and forming an opinion on the ideas and attitudes of political leaders</w:t>
      </w:r>
      <w:r w:rsidR="00635DAA">
        <w:rPr>
          <w:lang w:val="en-GB"/>
        </w:rPr>
        <w:t>’</w:t>
      </w:r>
      <w:r w:rsidR="00A65DB3">
        <w:rPr>
          <w:lang w:val="en-GB"/>
        </w:rPr>
        <w:t>.</w:t>
      </w:r>
      <w:r w:rsidR="00A65DB3">
        <w:rPr>
          <w:rStyle w:val="FootnoteReference"/>
          <w:lang w:val="en-GB"/>
        </w:rPr>
        <w:footnoteReference w:id="35"/>
      </w:r>
    </w:p>
    <w:p w:rsidR="000B64F3" w:rsidRDefault="000B64F3" w:rsidP="00596678">
      <w:pPr>
        <w:pStyle w:val="Parabase"/>
        <w:rPr>
          <w:lang w:val="en-GB"/>
        </w:rPr>
      </w:pPr>
      <w:r>
        <w:rPr>
          <w:lang w:val="en-GB"/>
        </w:rPr>
        <w:t>A</w:t>
      </w:r>
      <w:r w:rsidRPr="000B64F3">
        <w:rPr>
          <w:lang w:val="en-GB"/>
        </w:rPr>
        <w:t xml:space="preserve">rticle 10 includes a right to receive </w:t>
      </w:r>
      <w:r w:rsidRPr="00596678">
        <w:t>information</w:t>
      </w:r>
      <w:r w:rsidRPr="000B64F3">
        <w:rPr>
          <w:lang w:val="en-GB"/>
        </w:rPr>
        <w:t>, not merely to impart</w:t>
      </w:r>
      <w:r>
        <w:rPr>
          <w:lang w:val="en-GB"/>
        </w:rPr>
        <w:t xml:space="preserve"> </w:t>
      </w:r>
      <w:r w:rsidRPr="000B64F3">
        <w:rPr>
          <w:lang w:val="en-GB"/>
        </w:rPr>
        <w:t xml:space="preserve">it. The </w:t>
      </w:r>
      <w:proofErr w:type="spellStart"/>
      <w:r w:rsidRPr="000B64F3">
        <w:rPr>
          <w:lang w:val="en-GB"/>
        </w:rPr>
        <w:t>ECtHR</w:t>
      </w:r>
      <w:proofErr w:type="spellEnd"/>
      <w:r w:rsidRPr="000B64F3">
        <w:rPr>
          <w:lang w:val="en-GB"/>
        </w:rPr>
        <w:t xml:space="preserve"> has </w:t>
      </w:r>
      <w:r>
        <w:rPr>
          <w:lang w:val="en-GB"/>
        </w:rPr>
        <w:t xml:space="preserve">repeatedly </w:t>
      </w:r>
      <w:r w:rsidRPr="000B64F3">
        <w:rPr>
          <w:lang w:val="en-GB"/>
        </w:rPr>
        <w:t>held that the public has a right to be informed by the press of</w:t>
      </w:r>
      <w:r>
        <w:rPr>
          <w:lang w:val="en-GB"/>
        </w:rPr>
        <w:t xml:space="preserve"> </w:t>
      </w:r>
      <w:r w:rsidRPr="000B64F3">
        <w:rPr>
          <w:lang w:val="en-GB"/>
        </w:rPr>
        <w:t>matters of important public interest.</w:t>
      </w:r>
    </w:p>
    <w:p w:rsidR="00E001C0" w:rsidRDefault="00196008" w:rsidP="00196008">
      <w:pPr>
        <w:pStyle w:val="Parabase"/>
        <w:rPr>
          <w:lang w:val="en-GB"/>
        </w:rPr>
      </w:pPr>
      <w:r>
        <w:rPr>
          <w:lang w:val="en-GB"/>
        </w:rPr>
        <w:t xml:space="preserve">Newspapers </w:t>
      </w:r>
      <w:r w:rsidR="00E001C0">
        <w:rPr>
          <w:lang w:val="en-GB"/>
        </w:rPr>
        <w:t xml:space="preserve">and </w:t>
      </w:r>
      <w:r>
        <w:rPr>
          <w:lang w:val="en-GB"/>
        </w:rPr>
        <w:t xml:space="preserve">other </w:t>
      </w:r>
      <w:r w:rsidR="00D825D5">
        <w:rPr>
          <w:lang w:val="en-GB"/>
        </w:rPr>
        <w:t>forms of</w:t>
      </w:r>
      <w:r w:rsidR="00E001C0">
        <w:rPr>
          <w:lang w:val="en-GB"/>
        </w:rPr>
        <w:t xml:space="preserve"> print</w:t>
      </w:r>
      <w:r w:rsidR="00D825D5">
        <w:rPr>
          <w:lang w:val="en-GB"/>
        </w:rPr>
        <w:t xml:space="preserve"> </w:t>
      </w:r>
      <w:r>
        <w:rPr>
          <w:lang w:val="en-GB"/>
        </w:rPr>
        <w:t>media</w:t>
      </w:r>
      <w:r w:rsidR="00621376">
        <w:rPr>
          <w:lang w:val="en-GB"/>
        </w:rPr>
        <w:t xml:space="preserve"> (including</w:t>
      </w:r>
      <w:r w:rsidR="00811386">
        <w:rPr>
          <w:lang w:val="en-GB"/>
        </w:rPr>
        <w:t xml:space="preserve"> </w:t>
      </w:r>
      <w:r w:rsidR="00621376">
        <w:rPr>
          <w:lang w:val="en-GB"/>
        </w:rPr>
        <w:t>websites and other electronic media)</w:t>
      </w:r>
      <w:r>
        <w:rPr>
          <w:lang w:val="en-GB"/>
        </w:rPr>
        <w:t xml:space="preserve"> </w:t>
      </w:r>
      <w:r w:rsidRPr="00B46CB7">
        <w:rPr>
          <w:lang w:val="en-GB"/>
        </w:rPr>
        <w:t>may</w:t>
      </w:r>
      <w:r w:rsidR="00E001C0">
        <w:rPr>
          <w:lang w:val="en-GB"/>
        </w:rPr>
        <w:t xml:space="preserve"> nonetheless</w:t>
      </w:r>
      <w:r w:rsidRPr="00B46CB7">
        <w:rPr>
          <w:lang w:val="en-GB"/>
        </w:rPr>
        <w:t xml:space="preserve"> commit a criminal offence</w:t>
      </w:r>
      <w:r w:rsidR="00962C44">
        <w:rPr>
          <w:rStyle w:val="FootnoteReference"/>
          <w:lang w:val="en-GB"/>
        </w:rPr>
        <w:footnoteReference w:id="36"/>
      </w:r>
      <w:r w:rsidRPr="00B46CB7">
        <w:rPr>
          <w:lang w:val="en-GB"/>
        </w:rPr>
        <w:t xml:space="preserve"> </w:t>
      </w:r>
      <w:r w:rsidR="00E001C0">
        <w:rPr>
          <w:lang w:val="en-GB"/>
        </w:rPr>
        <w:t xml:space="preserve">if they publish </w:t>
      </w:r>
      <w:r w:rsidR="00635DAA">
        <w:rPr>
          <w:lang w:val="en-GB"/>
        </w:rPr>
        <w:t>‘</w:t>
      </w:r>
      <w:r w:rsidR="00E001C0">
        <w:rPr>
          <w:lang w:val="en-GB"/>
        </w:rPr>
        <w:t>written material</w:t>
      </w:r>
      <w:r w:rsidR="00635DAA">
        <w:rPr>
          <w:lang w:val="en-GB"/>
        </w:rPr>
        <w:t>’</w:t>
      </w:r>
      <w:r w:rsidR="00E001C0">
        <w:rPr>
          <w:lang w:val="en-GB"/>
        </w:rPr>
        <w:t xml:space="preserve"> which is </w:t>
      </w:r>
      <w:r w:rsidR="00635DAA">
        <w:rPr>
          <w:lang w:val="en-GB"/>
        </w:rPr>
        <w:t>‘</w:t>
      </w:r>
      <w:r w:rsidR="00E001C0">
        <w:rPr>
          <w:lang w:val="en-GB"/>
        </w:rPr>
        <w:t>threatening, abusive or insulting</w:t>
      </w:r>
      <w:r w:rsidR="00635DAA">
        <w:rPr>
          <w:lang w:val="en-GB"/>
        </w:rPr>
        <w:t>’</w:t>
      </w:r>
      <w:r w:rsidR="00E001C0">
        <w:rPr>
          <w:lang w:val="en-GB"/>
        </w:rPr>
        <w:t xml:space="preserve"> and, in doing so, either intend to </w:t>
      </w:r>
      <w:r w:rsidR="00635DAA">
        <w:rPr>
          <w:lang w:val="en-GB"/>
        </w:rPr>
        <w:t>‘</w:t>
      </w:r>
      <w:r w:rsidR="00E001C0">
        <w:rPr>
          <w:lang w:val="en-GB"/>
        </w:rPr>
        <w:t>stir up racial hatred</w:t>
      </w:r>
      <w:r w:rsidR="00635DAA">
        <w:rPr>
          <w:lang w:val="en-GB"/>
        </w:rPr>
        <w:t>’</w:t>
      </w:r>
      <w:r w:rsidR="00E001C0">
        <w:rPr>
          <w:lang w:val="en-GB"/>
        </w:rPr>
        <w:t xml:space="preserve"> or are aware that racial hatred </w:t>
      </w:r>
      <w:r w:rsidR="00635DAA">
        <w:rPr>
          <w:lang w:val="en-GB"/>
        </w:rPr>
        <w:t>‘</w:t>
      </w:r>
      <w:r w:rsidR="00E001C0">
        <w:rPr>
          <w:lang w:val="en-GB"/>
        </w:rPr>
        <w:t>is likely to be stirred up</w:t>
      </w:r>
      <w:r w:rsidR="00635DAA">
        <w:rPr>
          <w:lang w:val="en-GB"/>
        </w:rPr>
        <w:t>’</w:t>
      </w:r>
      <w:r w:rsidR="00E001C0">
        <w:rPr>
          <w:lang w:val="en-GB"/>
        </w:rPr>
        <w:t>.</w:t>
      </w:r>
    </w:p>
    <w:p w:rsidR="00052400" w:rsidRDefault="00D825D5" w:rsidP="00196008">
      <w:pPr>
        <w:pStyle w:val="Parabase"/>
        <w:rPr>
          <w:lang w:val="en-GB"/>
        </w:rPr>
      </w:pPr>
      <w:r>
        <w:rPr>
          <w:lang w:val="en-GB"/>
        </w:rPr>
        <w:t>However,</w:t>
      </w:r>
      <w:r w:rsidR="00196008" w:rsidRPr="00B46CB7">
        <w:rPr>
          <w:lang w:val="en-GB"/>
        </w:rPr>
        <w:t xml:space="preserve"> publishers will not be guilty of an offence if they can show that they were ‘not aware of the content of the material and did not suspect, and had no reason to suspect, that it was threatening, abusive or insulting</w:t>
      </w:r>
      <w:r w:rsidR="00635DAA">
        <w:rPr>
          <w:lang w:val="en-GB"/>
        </w:rPr>
        <w:t>’</w:t>
      </w:r>
      <w:r w:rsidR="00196008" w:rsidRPr="00B46CB7">
        <w:rPr>
          <w:lang w:val="en-GB"/>
        </w:rPr>
        <w:t>.</w:t>
      </w:r>
      <w:r w:rsidR="00E001C0">
        <w:rPr>
          <w:rStyle w:val="FootnoteReference"/>
          <w:lang w:val="en-GB"/>
        </w:rPr>
        <w:footnoteReference w:id="37"/>
      </w:r>
      <w:r w:rsidR="00621376">
        <w:rPr>
          <w:lang w:val="en-GB"/>
        </w:rPr>
        <w:t xml:space="preserve"> </w:t>
      </w:r>
    </w:p>
    <w:p w:rsidR="00962C44" w:rsidRDefault="00052400" w:rsidP="00196008">
      <w:pPr>
        <w:pStyle w:val="Parabase"/>
        <w:rPr>
          <w:lang w:val="en-GB"/>
        </w:rPr>
      </w:pPr>
      <w:r>
        <w:rPr>
          <w:lang w:val="en-GB"/>
        </w:rPr>
        <w:t>As always, the context in which a publication present</w:t>
      </w:r>
      <w:r w:rsidR="00C17676">
        <w:rPr>
          <w:lang w:val="en-GB"/>
        </w:rPr>
        <w:t>s</w:t>
      </w:r>
      <w:r w:rsidR="0042590D">
        <w:rPr>
          <w:lang w:val="en-GB"/>
        </w:rPr>
        <w:t xml:space="preserve"> </w:t>
      </w:r>
      <w:r>
        <w:rPr>
          <w:lang w:val="en-GB"/>
        </w:rPr>
        <w:t>controversial material is likely to</w:t>
      </w:r>
      <w:r w:rsidR="0042590D">
        <w:rPr>
          <w:lang w:val="en-GB"/>
        </w:rPr>
        <w:t xml:space="preserve"> make a considerable difference when assessing the extent to which it is protected </w:t>
      </w:r>
      <w:r w:rsidR="00962C44">
        <w:rPr>
          <w:lang w:val="en-GB"/>
        </w:rPr>
        <w:t xml:space="preserve">from prosecution or civil actions by </w:t>
      </w:r>
      <w:r w:rsidR="0042590D">
        <w:rPr>
          <w:lang w:val="en-GB"/>
        </w:rPr>
        <w:t xml:space="preserve">Article 10. </w:t>
      </w:r>
    </w:p>
    <w:tbl>
      <w:tblPr>
        <w:tblStyle w:val="TableGrid"/>
        <w:tblW w:w="0" w:type="auto"/>
        <w:tblLook w:val="04A0"/>
      </w:tblPr>
      <w:tblGrid>
        <w:gridCol w:w="9236"/>
      </w:tblGrid>
      <w:tr w:rsidR="00A41BD4" w:rsidTr="00A41BD4">
        <w:tc>
          <w:tcPr>
            <w:tcW w:w="9236" w:type="dxa"/>
            <w:tcBorders>
              <w:top w:val="nil"/>
              <w:left w:val="nil"/>
              <w:bottom w:val="nil"/>
              <w:right w:val="nil"/>
            </w:tcBorders>
            <w:shd w:val="clear" w:color="auto" w:fill="FDE9D9" w:themeFill="accent6" w:themeFillTint="33"/>
          </w:tcPr>
          <w:p w:rsidR="00A41BD4" w:rsidRDefault="00A41BD4" w:rsidP="00A41BD4">
            <w:pPr>
              <w:pStyle w:val="Parabase"/>
              <w:rPr>
                <w:lang w:val="en-GB"/>
              </w:rPr>
            </w:pPr>
            <w:r>
              <w:rPr>
                <w:lang w:val="en-GB"/>
              </w:rPr>
              <w:t xml:space="preserve">The Charlie </w:t>
            </w:r>
            <w:proofErr w:type="spellStart"/>
            <w:r>
              <w:rPr>
                <w:lang w:val="en-GB"/>
              </w:rPr>
              <w:t>Hebdo</w:t>
            </w:r>
            <w:proofErr w:type="spellEnd"/>
            <w:r>
              <w:rPr>
                <w:lang w:val="en-GB"/>
              </w:rPr>
              <w:t xml:space="preserve"> cartoons were plainly controversial and viewed by many Muslims as deeply offensive. Following the Paris attacks, most media outlets in Great Britain declined to publish them notwithstanding that they were widely published elsewhere. However, it seems unlikely that any publisher would have been prosecuted for publishing them so long as they believed that it was in the public interest to do so. On the other hand, a newspaper or magazine that repeatedly published offensive material with the deliberate intention of stirring up racial or religious hatred would not be entitled to the same protection under Article 10.</w:t>
            </w:r>
          </w:p>
          <w:p w:rsidR="00A41BD4" w:rsidRDefault="00A41BD4" w:rsidP="00196008">
            <w:pPr>
              <w:pStyle w:val="Parabase"/>
              <w:rPr>
                <w:lang w:val="en-GB"/>
              </w:rPr>
            </w:pPr>
          </w:p>
        </w:tc>
      </w:tr>
    </w:tbl>
    <w:p w:rsidR="000B64F3" w:rsidRDefault="00621376" w:rsidP="000B64F3">
      <w:pPr>
        <w:pStyle w:val="Parabase"/>
        <w:rPr>
          <w:lang w:val="en-GB"/>
        </w:rPr>
      </w:pPr>
      <w:r w:rsidRPr="0058328A">
        <w:rPr>
          <w:lang w:val="en-GB"/>
        </w:rPr>
        <w:t xml:space="preserve">Note that the broadcast media (television and radio) are subject to greater regulation </w:t>
      </w:r>
      <w:r w:rsidR="00003006" w:rsidRPr="0058328A">
        <w:rPr>
          <w:lang w:val="en-GB"/>
        </w:rPr>
        <w:t>of</w:t>
      </w:r>
      <w:r w:rsidRPr="0058328A">
        <w:rPr>
          <w:lang w:val="en-GB"/>
        </w:rPr>
        <w:t xml:space="preserve"> their content</w:t>
      </w:r>
      <w:r w:rsidR="0058328A">
        <w:rPr>
          <w:lang w:val="en-GB"/>
        </w:rPr>
        <w:t xml:space="preserve">. </w:t>
      </w:r>
      <w:r w:rsidR="000B64F3" w:rsidRPr="004B4210">
        <w:rPr>
          <w:lang w:val="en-GB"/>
        </w:rPr>
        <w:t xml:space="preserve">Political communications on television and radio are regulated by </w:t>
      </w:r>
      <w:proofErr w:type="spellStart"/>
      <w:r w:rsidR="004E0529" w:rsidRPr="004B4210">
        <w:rPr>
          <w:lang w:val="en-GB"/>
        </w:rPr>
        <w:t>O</w:t>
      </w:r>
      <w:r w:rsidR="004E0529">
        <w:rPr>
          <w:lang w:val="en-GB"/>
        </w:rPr>
        <w:t>fcom</w:t>
      </w:r>
      <w:proofErr w:type="spellEnd"/>
      <w:r w:rsidR="004E0529">
        <w:rPr>
          <w:lang w:val="en-GB"/>
        </w:rPr>
        <w:t xml:space="preserve"> </w:t>
      </w:r>
      <w:r w:rsidR="000B64F3" w:rsidRPr="004B4210">
        <w:rPr>
          <w:lang w:val="en-GB"/>
        </w:rPr>
        <w:t xml:space="preserve">under the Communications Act 2003. Broadcasters have significant responsibilities to act impartially. The broad restrictions in the UK on political advertising on television and radio have recently been held to be a justifiable interference </w:t>
      </w:r>
      <w:r w:rsidR="000B64F3">
        <w:rPr>
          <w:lang w:val="en-GB"/>
        </w:rPr>
        <w:t>with</w:t>
      </w:r>
      <w:r w:rsidR="000B64F3" w:rsidRPr="004B4210">
        <w:rPr>
          <w:lang w:val="en-GB"/>
        </w:rPr>
        <w:t xml:space="preserve"> the rights of campaigning groups</w:t>
      </w:r>
      <w:r w:rsidR="000B64F3">
        <w:rPr>
          <w:lang w:val="en-GB"/>
        </w:rPr>
        <w:t xml:space="preserve"> to free expression.</w:t>
      </w:r>
      <w:r w:rsidR="000B64F3">
        <w:rPr>
          <w:rStyle w:val="FootnoteReference"/>
          <w:lang w:val="en-GB"/>
        </w:rPr>
        <w:footnoteReference w:id="38"/>
      </w:r>
    </w:p>
    <w:p w:rsidR="00B27341" w:rsidRDefault="00A65223" w:rsidP="00596678">
      <w:pPr>
        <w:pStyle w:val="Parasection"/>
      </w:pPr>
      <w:r>
        <w:rPr>
          <w:lang w:val="en-GB"/>
        </w:rPr>
        <w:lastRenderedPageBreak/>
        <w:t>Freedom of expression applies to online media in much the same way as it does to print media.</w:t>
      </w:r>
      <w:r>
        <w:rPr>
          <w:rStyle w:val="FootnoteReference"/>
          <w:lang w:val="en-GB"/>
        </w:rPr>
        <w:footnoteReference w:id="39"/>
      </w:r>
      <w:r>
        <w:rPr>
          <w:lang w:val="en-GB"/>
        </w:rPr>
        <w:t xml:space="preserve"> In particular, website owners are free to decide for themselves which material they wish to publish and </w:t>
      </w:r>
      <w:r>
        <w:t>i</w:t>
      </w:r>
      <w:r w:rsidR="00196008" w:rsidRPr="00B46CB7">
        <w:t>t is not a</w:t>
      </w:r>
      <w:r w:rsidR="00196008">
        <w:t xml:space="preserve"> </w:t>
      </w:r>
      <w:r w:rsidR="00196008" w:rsidRPr="00B46CB7">
        <w:t xml:space="preserve">breach of </w:t>
      </w:r>
      <w:r w:rsidR="00196008">
        <w:t>freedom of expression</w:t>
      </w:r>
      <w:r w:rsidR="00196008" w:rsidRPr="00B46CB7">
        <w:t xml:space="preserve"> </w:t>
      </w:r>
      <w:r>
        <w:t xml:space="preserve">for a website to </w:t>
      </w:r>
      <w:r w:rsidR="00196008" w:rsidRPr="00B46CB7">
        <w:t xml:space="preserve">moderate </w:t>
      </w:r>
      <w:r>
        <w:t xml:space="preserve">comments in order </w:t>
      </w:r>
      <w:r w:rsidR="00196008" w:rsidRPr="00B46CB7">
        <w:t xml:space="preserve">to </w:t>
      </w:r>
      <w:r>
        <w:t>remove</w:t>
      </w:r>
      <w:r w:rsidRPr="00B46CB7">
        <w:t xml:space="preserve"> </w:t>
      </w:r>
      <w:r>
        <w:t>material</w:t>
      </w:r>
      <w:r w:rsidR="000E25D1">
        <w:t xml:space="preserve"> which might prove offensive</w:t>
      </w:r>
      <w:r w:rsidR="00196008">
        <w:t xml:space="preserve">. However, </w:t>
      </w:r>
      <w:r w:rsidR="00196008" w:rsidRPr="00B46CB7">
        <w:t>care s</w:t>
      </w:r>
      <w:r w:rsidR="004A2BEB">
        <w:t>hould be taken not to do this</w:t>
      </w:r>
      <w:r w:rsidR="00196008" w:rsidRPr="00B46CB7">
        <w:t xml:space="preserve"> in a discriminatory manner (</w:t>
      </w:r>
      <w:r w:rsidR="00196008">
        <w:t>for example,</w:t>
      </w:r>
      <w:r w:rsidR="00196008" w:rsidRPr="00B46CB7">
        <w:t xml:space="preserve"> by removing racist language except when it relates to </w:t>
      </w:r>
      <w:r w:rsidR="00196008">
        <w:t xml:space="preserve">Gypsies and </w:t>
      </w:r>
      <w:r w:rsidR="00196008" w:rsidRPr="002F66EC">
        <w:rPr>
          <w:lang w:val="en-GB"/>
        </w:rPr>
        <w:t>Travellers</w:t>
      </w:r>
      <w:r w:rsidR="00196008" w:rsidRPr="00B46CB7">
        <w:t>)</w:t>
      </w:r>
      <w:r w:rsidR="00196008">
        <w:t>.</w:t>
      </w:r>
      <w:r>
        <w:t xml:space="preserve"> </w:t>
      </w:r>
    </w:p>
    <w:tbl>
      <w:tblPr>
        <w:tblStyle w:val="LightShading-Accent6"/>
        <w:tblW w:w="9311" w:type="dxa"/>
        <w:tblLook w:val="04A0"/>
      </w:tblPr>
      <w:tblGrid>
        <w:gridCol w:w="9311"/>
      </w:tblGrid>
      <w:tr w:rsidR="00264623" w:rsidTr="006749E2">
        <w:trPr>
          <w:cnfStyle w:val="100000000000"/>
          <w:trHeight w:val="2768"/>
        </w:trPr>
        <w:tc>
          <w:tcPr>
            <w:cnfStyle w:val="001000000000"/>
            <w:tcW w:w="9311" w:type="dxa"/>
            <w:tcBorders>
              <w:top w:val="nil"/>
              <w:bottom w:val="nil"/>
            </w:tcBorders>
            <w:shd w:val="clear" w:color="auto" w:fill="FDE9D9" w:themeFill="accent6" w:themeFillTint="33"/>
          </w:tcPr>
          <w:p w:rsidR="00264623" w:rsidRPr="00A55B47" w:rsidRDefault="00264623" w:rsidP="00596678">
            <w:pPr>
              <w:pStyle w:val="L4Header"/>
              <w:rPr>
                <w:lang w:val="en-GB"/>
              </w:rPr>
            </w:pPr>
            <w:r w:rsidRPr="002B35FF">
              <w:rPr>
                <w:lang w:val="en-GB"/>
              </w:rPr>
              <w:t>What impact does offensive speech have?</w:t>
            </w:r>
          </w:p>
          <w:p w:rsidR="00264623" w:rsidRDefault="00264623" w:rsidP="00264623">
            <w:pPr>
              <w:pStyle w:val="Parass"/>
              <w:widowControl w:val="0"/>
              <w:spacing w:after="40"/>
              <w:rPr>
                <w:b w:val="0"/>
                <w:color w:val="000000" w:themeColor="text1"/>
                <w:spacing w:val="1"/>
                <w:lang w:val="en-GB"/>
              </w:rPr>
            </w:pPr>
            <w:r>
              <w:rPr>
                <w:b w:val="0"/>
                <w:color w:val="000000" w:themeColor="text1"/>
                <w:spacing w:val="1"/>
                <w:lang w:val="en-GB"/>
              </w:rPr>
              <w:t xml:space="preserve">The use of inflammatory language </w:t>
            </w:r>
            <w:r w:rsidR="00603072">
              <w:rPr>
                <w:b w:val="0"/>
                <w:color w:val="000000" w:themeColor="text1"/>
                <w:spacing w:val="1"/>
                <w:lang w:val="en-GB"/>
              </w:rPr>
              <w:t>based on individual characteristics</w:t>
            </w:r>
            <w:r>
              <w:rPr>
                <w:b w:val="0"/>
                <w:color w:val="000000" w:themeColor="text1"/>
                <w:spacing w:val="1"/>
                <w:lang w:val="en-GB"/>
              </w:rPr>
              <w:t xml:space="preserve"> does not help promote constructive and informed dialogue</w:t>
            </w:r>
            <w:r w:rsidR="00003006">
              <w:rPr>
                <w:b w:val="0"/>
                <w:color w:val="000000" w:themeColor="text1"/>
                <w:spacing w:val="1"/>
                <w:lang w:val="en-GB"/>
              </w:rPr>
              <w:t xml:space="preserve"> and can cause personal distress and damage community relations</w:t>
            </w:r>
            <w:r>
              <w:rPr>
                <w:b w:val="0"/>
                <w:color w:val="000000" w:themeColor="text1"/>
                <w:spacing w:val="1"/>
                <w:lang w:val="en-GB"/>
              </w:rPr>
              <w:t>.</w:t>
            </w:r>
            <w:r w:rsidR="00497770">
              <w:rPr>
                <w:b w:val="0"/>
                <w:color w:val="000000" w:themeColor="text1"/>
                <w:spacing w:val="1"/>
                <w:lang w:val="en-GB"/>
              </w:rPr>
              <w:t xml:space="preserve"> </w:t>
            </w:r>
            <w:r>
              <w:rPr>
                <w:b w:val="0"/>
                <w:color w:val="000000" w:themeColor="text1"/>
                <w:spacing w:val="1"/>
                <w:lang w:val="en-GB"/>
              </w:rPr>
              <w:t xml:space="preserve">However, </w:t>
            </w:r>
            <w:r w:rsidR="00603072">
              <w:rPr>
                <w:b w:val="0"/>
                <w:color w:val="000000" w:themeColor="text1"/>
                <w:spacing w:val="1"/>
                <w:lang w:val="en-GB"/>
              </w:rPr>
              <w:t>communications</w:t>
            </w:r>
            <w:r w:rsidRPr="006503C1">
              <w:rPr>
                <w:b w:val="0"/>
                <w:color w:val="000000" w:themeColor="text1"/>
                <w:spacing w:val="1"/>
                <w:lang w:val="en-GB"/>
              </w:rPr>
              <w:t xml:space="preserve"> that cause offence </w:t>
            </w:r>
            <w:r w:rsidR="00603072">
              <w:rPr>
                <w:b w:val="0"/>
                <w:color w:val="000000" w:themeColor="text1"/>
                <w:spacing w:val="1"/>
                <w:lang w:val="en-GB"/>
              </w:rPr>
              <w:t>whether by</w:t>
            </w:r>
            <w:r w:rsidR="00C17676">
              <w:rPr>
                <w:b w:val="0"/>
                <w:color w:val="000000" w:themeColor="text1"/>
                <w:spacing w:val="1"/>
                <w:lang w:val="en-GB"/>
              </w:rPr>
              <w:t xml:space="preserve"> </w:t>
            </w:r>
            <w:r w:rsidRPr="006503C1">
              <w:rPr>
                <w:b w:val="0"/>
                <w:color w:val="000000" w:themeColor="text1"/>
                <w:spacing w:val="1"/>
                <w:lang w:val="en-GB"/>
              </w:rPr>
              <w:t>discriminatory tweets, or online posts or publications will not constitute a criminal offence unless they meet the statutory conditions</w:t>
            </w:r>
            <w:r w:rsidR="00A65223">
              <w:rPr>
                <w:b w:val="0"/>
                <w:color w:val="000000" w:themeColor="text1"/>
                <w:spacing w:val="1"/>
                <w:lang w:val="en-GB"/>
              </w:rPr>
              <w:t xml:space="preserve"> outlined above</w:t>
            </w:r>
            <w:r w:rsidRPr="006503C1">
              <w:rPr>
                <w:b w:val="0"/>
                <w:color w:val="000000" w:themeColor="text1"/>
                <w:spacing w:val="1"/>
                <w:lang w:val="en-GB"/>
              </w:rPr>
              <w:t xml:space="preserve">. </w:t>
            </w:r>
          </w:p>
          <w:p w:rsidR="00B478CA" w:rsidRDefault="00A65223" w:rsidP="00A55B47">
            <w:pPr>
              <w:pStyle w:val="Parass"/>
              <w:widowControl w:val="0"/>
              <w:spacing w:before="240" w:after="40"/>
              <w:rPr>
                <w:b w:val="0"/>
                <w:bCs w:val="0"/>
                <w:color w:val="000000" w:themeColor="text1"/>
                <w:spacing w:val="1"/>
                <w:lang w:val="en-GB"/>
              </w:rPr>
            </w:pPr>
            <w:r>
              <w:rPr>
                <w:b w:val="0"/>
                <w:color w:val="000000" w:themeColor="text1"/>
                <w:spacing w:val="1"/>
                <w:lang w:val="en-GB"/>
              </w:rPr>
              <w:t xml:space="preserve">Whether it is </w:t>
            </w:r>
            <w:r w:rsidR="00003006">
              <w:rPr>
                <w:b w:val="0"/>
                <w:color w:val="000000" w:themeColor="text1"/>
                <w:spacing w:val="1"/>
                <w:lang w:val="en-GB"/>
              </w:rPr>
              <w:t xml:space="preserve">protected by </w:t>
            </w:r>
            <w:r>
              <w:rPr>
                <w:b w:val="0"/>
                <w:color w:val="000000" w:themeColor="text1"/>
                <w:spacing w:val="1"/>
                <w:lang w:val="en-GB"/>
              </w:rPr>
              <w:t>Article 10</w:t>
            </w:r>
            <w:r w:rsidR="00603072">
              <w:rPr>
                <w:b w:val="0"/>
                <w:color w:val="000000" w:themeColor="text1"/>
                <w:spacing w:val="1"/>
                <w:lang w:val="en-GB"/>
              </w:rPr>
              <w:t xml:space="preserve"> or is a criminal offence</w:t>
            </w:r>
            <w:r>
              <w:rPr>
                <w:b w:val="0"/>
                <w:color w:val="000000" w:themeColor="text1"/>
                <w:spacing w:val="1"/>
                <w:lang w:val="en-GB"/>
              </w:rPr>
              <w:t>,</w:t>
            </w:r>
            <w:r w:rsidR="00264623">
              <w:rPr>
                <w:b w:val="0"/>
                <w:color w:val="000000" w:themeColor="text1"/>
                <w:spacing w:val="1"/>
                <w:lang w:val="en-GB"/>
              </w:rPr>
              <w:t xml:space="preserve"> </w:t>
            </w:r>
            <w:r w:rsidR="00603072">
              <w:rPr>
                <w:b w:val="0"/>
                <w:color w:val="000000" w:themeColor="text1"/>
                <w:spacing w:val="1"/>
                <w:lang w:val="en-GB"/>
              </w:rPr>
              <w:t xml:space="preserve">the Commission considers that </w:t>
            </w:r>
            <w:r w:rsidR="00264623">
              <w:rPr>
                <w:b w:val="0"/>
                <w:color w:val="000000" w:themeColor="text1"/>
                <w:spacing w:val="1"/>
                <w:lang w:val="en-GB"/>
              </w:rPr>
              <w:t>there are many reasons why offensive language should be avoided</w:t>
            </w:r>
            <w:r>
              <w:rPr>
                <w:b w:val="0"/>
                <w:color w:val="000000" w:themeColor="text1"/>
                <w:spacing w:val="1"/>
                <w:lang w:val="en-GB"/>
              </w:rPr>
              <w:t xml:space="preserve"> </w:t>
            </w:r>
            <w:r w:rsidR="00C17676">
              <w:rPr>
                <w:b w:val="0"/>
                <w:color w:val="000000" w:themeColor="text1"/>
                <w:spacing w:val="1"/>
                <w:lang w:val="en-GB"/>
              </w:rPr>
              <w:t>as</w:t>
            </w:r>
            <w:r>
              <w:rPr>
                <w:b w:val="0"/>
                <w:color w:val="000000" w:themeColor="text1"/>
                <w:spacing w:val="1"/>
                <w:lang w:val="en-GB"/>
              </w:rPr>
              <w:t xml:space="preserve"> far as possible</w:t>
            </w:r>
            <w:r w:rsidR="00264623">
              <w:rPr>
                <w:b w:val="0"/>
                <w:color w:val="000000" w:themeColor="text1"/>
                <w:spacing w:val="1"/>
                <w:lang w:val="en-GB"/>
              </w:rPr>
              <w:t>. Most importantly</w:t>
            </w:r>
            <w:r w:rsidR="00C17676">
              <w:rPr>
                <w:b w:val="0"/>
                <w:color w:val="000000" w:themeColor="text1"/>
                <w:spacing w:val="1"/>
                <w:lang w:val="en-GB"/>
              </w:rPr>
              <w:t>,</w:t>
            </w:r>
            <w:r w:rsidR="00264623">
              <w:rPr>
                <w:b w:val="0"/>
                <w:color w:val="000000" w:themeColor="text1"/>
                <w:spacing w:val="1"/>
                <w:lang w:val="en-GB"/>
              </w:rPr>
              <w:t xml:space="preserve"> the use of very offensive terms or the expression of offensive ideas can create</w:t>
            </w:r>
            <w:r>
              <w:rPr>
                <w:b w:val="0"/>
                <w:color w:val="000000" w:themeColor="text1"/>
                <w:spacing w:val="1"/>
                <w:lang w:val="en-GB"/>
              </w:rPr>
              <w:t xml:space="preserve"> </w:t>
            </w:r>
            <w:r w:rsidR="00264623">
              <w:rPr>
                <w:b w:val="0"/>
                <w:color w:val="000000" w:themeColor="text1"/>
                <w:spacing w:val="1"/>
                <w:lang w:val="en-GB"/>
              </w:rPr>
              <w:t xml:space="preserve">an </w:t>
            </w:r>
            <w:r w:rsidR="00264623" w:rsidRPr="00BA4C84">
              <w:rPr>
                <w:b w:val="0"/>
                <w:color w:val="000000" w:themeColor="text1"/>
                <w:spacing w:val="1"/>
                <w:lang w:val="en-GB"/>
              </w:rPr>
              <w:t xml:space="preserve">environment where </w:t>
            </w:r>
            <w:r w:rsidR="00603072">
              <w:rPr>
                <w:b w:val="0"/>
                <w:color w:val="000000" w:themeColor="text1"/>
                <w:spacing w:val="1"/>
                <w:lang w:val="en-GB"/>
              </w:rPr>
              <w:t>harassment based on hatred</w:t>
            </w:r>
            <w:r w:rsidR="00264623" w:rsidRPr="00BA4C84">
              <w:rPr>
                <w:b w:val="0"/>
                <w:color w:val="000000" w:themeColor="text1"/>
                <w:spacing w:val="1"/>
                <w:lang w:val="en-GB"/>
              </w:rPr>
              <w:t xml:space="preserve"> can flourish</w:t>
            </w:r>
            <w:r w:rsidR="00F91577">
              <w:rPr>
                <w:b w:val="0"/>
                <w:color w:val="000000" w:themeColor="text1"/>
                <w:spacing w:val="1"/>
                <w:lang w:val="en-GB"/>
              </w:rPr>
              <w:t>, as our Inquiry into d</w:t>
            </w:r>
            <w:r w:rsidR="00603072">
              <w:rPr>
                <w:b w:val="0"/>
                <w:color w:val="000000" w:themeColor="text1"/>
                <w:spacing w:val="1"/>
                <w:lang w:val="en-GB"/>
              </w:rPr>
              <w:t>isability-</w:t>
            </w:r>
            <w:r w:rsidR="00635DAA">
              <w:rPr>
                <w:b w:val="0"/>
                <w:color w:val="000000" w:themeColor="text1"/>
                <w:spacing w:val="1"/>
                <w:lang w:val="en-GB"/>
              </w:rPr>
              <w:t>r</w:t>
            </w:r>
            <w:r w:rsidR="00603072">
              <w:rPr>
                <w:b w:val="0"/>
                <w:color w:val="000000" w:themeColor="text1"/>
                <w:spacing w:val="1"/>
                <w:lang w:val="en-GB"/>
              </w:rPr>
              <w:t xml:space="preserve">elated </w:t>
            </w:r>
            <w:r w:rsidR="00635DAA">
              <w:rPr>
                <w:b w:val="0"/>
                <w:color w:val="000000" w:themeColor="text1"/>
                <w:spacing w:val="1"/>
                <w:lang w:val="en-GB"/>
              </w:rPr>
              <w:t>h</w:t>
            </w:r>
            <w:r w:rsidR="00603072">
              <w:rPr>
                <w:b w:val="0"/>
                <w:color w:val="000000" w:themeColor="text1"/>
                <w:spacing w:val="1"/>
                <w:lang w:val="en-GB"/>
              </w:rPr>
              <w:t>arassment</w:t>
            </w:r>
            <w:r w:rsidR="007611C4">
              <w:rPr>
                <w:b w:val="0"/>
                <w:color w:val="000000" w:themeColor="text1"/>
                <w:spacing w:val="1"/>
                <w:lang w:val="en-GB"/>
              </w:rPr>
              <w:t xml:space="preserve"> un</w:t>
            </w:r>
            <w:r w:rsidR="00603072">
              <w:rPr>
                <w:b w:val="0"/>
                <w:color w:val="000000" w:themeColor="text1"/>
                <w:spacing w:val="1"/>
                <w:lang w:val="en-GB"/>
              </w:rPr>
              <w:t>covered</w:t>
            </w:r>
            <w:r w:rsidR="00635DAA">
              <w:rPr>
                <w:b w:val="0"/>
                <w:color w:val="000000" w:themeColor="text1"/>
                <w:spacing w:val="1"/>
                <w:lang w:val="en-GB"/>
              </w:rPr>
              <w:t>.</w:t>
            </w:r>
            <w:r w:rsidR="00603072">
              <w:rPr>
                <w:rStyle w:val="FootnoteReference"/>
                <w:b w:val="0"/>
                <w:color w:val="000000" w:themeColor="text1"/>
                <w:spacing w:val="1"/>
                <w:lang w:val="en-GB"/>
              </w:rPr>
              <w:footnoteReference w:id="40"/>
            </w:r>
          </w:p>
          <w:p w:rsidR="00264623" w:rsidRDefault="00264623" w:rsidP="00264623">
            <w:pPr>
              <w:pStyle w:val="Parass"/>
              <w:widowControl w:val="0"/>
              <w:spacing w:before="240" w:after="40"/>
              <w:rPr>
                <w:b w:val="0"/>
                <w:color w:val="000000" w:themeColor="text1"/>
                <w:spacing w:val="1"/>
                <w:lang w:val="en-GB"/>
              </w:rPr>
            </w:pPr>
            <w:r>
              <w:rPr>
                <w:b w:val="0"/>
                <w:color w:val="000000" w:themeColor="text1"/>
                <w:spacing w:val="1"/>
                <w:lang w:val="en-GB"/>
              </w:rPr>
              <w:t>CPS guidance</w:t>
            </w:r>
            <w:r>
              <w:rPr>
                <w:rStyle w:val="FootnoteReference"/>
                <w:b w:val="0"/>
                <w:color w:val="000000" w:themeColor="text1"/>
                <w:spacing w:val="1"/>
                <w:lang w:val="en-GB"/>
              </w:rPr>
              <w:footnoteReference w:id="41"/>
            </w:r>
            <w:r>
              <w:rPr>
                <w:b w:val="0"/>
                <w:color w:val="000000" w:themeColor="text1"/>
                <w:spacing w:val="1"/>
                <w:lang w:val="en-GB"/>
              </w:rPr>
              <w:t xml:space="preserve"> states: </w:t>
            </w:r>
          </w:p>
          <w:p w:rsidR="007F16F8" w:rsidRPr="00BB5B33" w:rsidRDefault="007F16F8" w:rsidP="00BB5B33">
            <w:pPr>
              <w:pStyle w:val="Parabase"/>
              <w:ind w:left="360"/>
              <w:rPr>
                <w:b w:val="0"/>
                <w:lang w:val="en-GB"/>
              </w:rPr>
            </w:pPr>
            <w:r w:rsidRPr="00BB5B33">
              <w:rPr>
                <w:b w:val="0"/>
                <w:lang w:val="en-GB"/>
              </w:rPr>
              <w:t xml:space="preserve">It is essential in a free, democratic and tolerant society that people are able to robustly exchange views, even when these may cause offence. However, we have to balance the rights of the individual to freedom of expression against the duty of the state to act proportionately in the interests of public safety, to prevent disorder and crime, and to </w:t>
            </w:r>
            <w:r w:rsidRPr="00BB5B33">
              <w:rPr>
                <w:b w:val="0"/>
                <w:i/>
                <w:lang w:val="en-GB"/>
              </w:rPr>
              <w:t>protect</w:t>
            </w:r>
            <w:r w:rsidRPr="00BB5B33">
              <w:rPr>
                <w:b w:val="0"/>
                <w:lang w:val="en-GB"/>
              </w:rPr>
              <w:t xml:space="preserve"> the rights of others.</w:t>
            </w:r>
          </w:p>
          <w:p w:rsidR="007F16F8" w:rsidRPr="00BB5B33" w:rsidRDefault="007F16F8" w:rsidP="00BB5B33">
            <w:pPr>
              <w:pStyle w:val="Parabase"/>
              <w:ind w:left="360"/>
              <w:rPr>
                <w:b w:val="0"/>
              </w:rPr>
            </w:pPr>
            <w:r w:rsidRPr="00BB5B33">
              <w:rPr>
                <w:b w:val="0"/>
                <w:lang w:val="en-GB"/>
              </w:rPr>
              <w:t>[Hate speech is] particularly</w:t>
            </w:r>
            <w:r w:rsidRPr="00BB5B33">
              <w:rPr>
                <w:b w:val="0"/>
              </w:rPr>
              <w:t xml:space="preserve"> hurtful to victims as they are being targeted solely because of their personal identity, their actual or perceived racial or ethnic origin or their actual or perceived belief or faith.</w:t>
            </w:r>
          </w:p>
          <w:p w:rsidR="007F16F8" w:rsidRPr="00BB5B33" w:rsidRDefault="007F16F8" w:rsidP="00BB5B33">
            <w:pPr>
              <w:pStyle w:val="Parabase"/>
              <w:ind w:left="360"/>
              <w:rPr>
                <w:b w:val="0"/>
              </w:rPr>
            </w:pPr>
            <w:r w:rsidRPr="00BB5B33">
              <w:rPr>
                <w:b w:val="0"/>
              </w:rPr>
              <w:t xml:space="preserve">The </w:t>
            </w:r>
            <w:r w:rsidRPr="00BB5B33">
              <w:rPr>
                <w:b w:val="0"/>
                <w:lang w:val="en-GB"/>
              </w:rPr>
              <w:t>impact</w:t>
            </w:r>
            <w:r w:rsidRPr="00BB5B33">
              <w:rPr>
                <w:b w:val="0"/>
              </w:rPr>
              <w:t xml:space="preserve"> on victims is different for each individual, but there are common problems. They can feel extremely isolated or fearful of going out or even staying at home. They may become withdrawn, and suspicious of </w:t>
            </w:r>
            <w:proofErr w:type="spellStart"/>
            <w:r w:rsidRPr="00BB5B33">
              <w:rPr>
                <w:b w:val="0"/>
              </w:rPr>
              <w:t>organisations</w:t>
            </w:r>
            <w:proofErr w:type="spellEnd"/>
            <w:r w:rsidRPr="00BB5B33">
              <w:rPr>
                <w:b w:val="0"/>
              </w:rPr>
              <w:t xml:space="preserve"> or </w:t>
            </w:r>
            <w:r w:rsidRPr="00BB5B33">
              <w:rPr>
                <w:b w:val="0"/>
              </w:rPr>
              <w:lastRenderedPageBreak/>
              <w:t>strangers. Their mental and physical health may</w:t>
            </w:r>
            <w:r w:rsidR="00F91577">
              <w:rPr>
                <w:b w:val="0"/>
              </w:rPr>
              <w:t xml:space="preserve"> suffer in a variety of ways.</w:t>
            </w:r>
          </w:p>
          <w:p w:rsidR="007F16F8" w:rsidRPr="007F16F8" w:rsidRDefault="007F16F8" w:rsidP="00BB5B33">
            <w:pPr>
              <w:pStyle w:val="Parabase"/>
              <w:ind w:left="360"/>
            </w:pPr>
            <w:r w:rsidRPr="00BB5B33">
              <w:rPr>
                <w:b w:val="0"/>
              </w:rPr>
              <w:t xml:space="preserve">The confusion, fear and lack of safety felt by individuals have a ripple effect in the wider community of their racial or religious group. Communities can feel </w:t>
            </w:r>
            <w:proofErr w:type="spellStart"/>
            <w:r w:rsidRPr="00BB5B33">
              <w:rPr>
                <w:b w:val="0"/>
              </w:rPr>
              <w:t>victimised</w:t>
            </w:r>
            <w:proofErr w:type="spellEnd"/>
            <w:r w:rsidRPr="00BB5B33">
              <w:rPr>
                <w:b w:val="0"/>
              </w:rPr>
              <w:t xml:space="preserve"> and vulnerable to further attack.</w:t>
            </w:r>
            <w:r w:rsidRPr="007F16F8">
              <w:t xml:space="preserve"> </w:t>
            </w:r>
          </w:p>
          <w:p w:rsidR="00005566" w:rsidRPr="00005566" w:rsidRDefault="00005566" w:rsidP="00005566">
            <w:pPr>
              <w:pStyle w:val="Parabase"/>
              <w:ind w:left="360"/>
              <w:rPr>
                <w:b w:val="0"/>
              </w:rPr>
            </w:pPr>
            <w:r w:rsidRPr="00005566">
              <w:rPr>
                <w:b w:val="0"/>
              </w:rPr>
              <w:t xml:space="preserve">In Scotland, the Crown Office and Procurator Fiscal Service issues the Prosecution Code which sets out a number of factors (including public interest) to be taken into account in deciding whether to proceed with a prosecution. The guidance states that ‘the public interest is likely to require prosecution where criminal </w:t>
            </w:r>
            <w:proofErr w:type="spellStart"/>
            <w:r w:rsidRPr="00005566">
              <w:rPr>
                <w:b w:val="0"/>
              </w:rPr>
              <w:t>behaviour</w:t>
            </w:r>
            <w:proofErr w:type="spellEnd"/>
            <w:r w:rsidRPr="00005566">
              <w:rPr>
                <w:b w:val="0"/>
              </w:rPr>
              <w:t xml:space="preserve"> was … motivated by any form of discrimination against the victim’s ethnic or national origin or religious beliefs’.</w:t>
            </w:r>
            <w:r w:rsidRPr="00005566">
              <w:rPr>
                <w:rStyle w:val="FootnoteReference"/>
                <w:b w:val="0"/>
              </w:rPr>
              <w:footnoteReference w:id="42"/>
            </w:r>
            <w:r w:rsidRPr="00005566">
              <w:rPr>
                <w:b w:val="0"/>
              </w:rPr>
              <w:t xml:space="preserve"> The Crown Office has a zero tolerance prosecution policy for hate crimes.</w:t>
            </w:r>
            <w:r w:rsidRPr="00005566">
              <w:rPr>
                <w:rStyle w:val="FootnoteReference"/>
                <w:b w:val="0"/>
              </w:rPr>
              <w:footnoteReference w:id="43"/>
            </w:r>
          </w:p>
          <w:p w:rsidR="00720302" w:rsidRDefault="00720302" w:rsidP="00596678">
            <w:pPr>
              <w:pStyle w:val="Parass"/>
              <w:widowControl w:val="0"/>
              <w:spacing w:after="40"/>
              <w:rPr>
                <w:b w:val="0"/>
                <w:bCs w:val="0"/>
                <w:color w:val="000000" w:themeColor="text1"/>
                <w:lang w:val="en-GB"/>
              </w:rPr>
            </w:pPr>
          </w:p>
        </w:tc>
      </w:tr>
    </w:tbl>
    <w:p w:rsidR="00FC0FAF" w:rsidRPr="00264623" w:rsidRDefault="00FC0FAF" w:rsidP="00381F68">
      <w:pPr>
        <w:pStyle w:val="Parabase"/>
      </w:pPr>
    </w:p>
    <w:p w:rsidR="006804E0" w:rsidRDefault="008F0E57" w:rsidP="0087278C">
      <w:pPr>
        <w:pStyle w:val="L3Headers"/>
        <w:rPr>
          <w:lang w:val="en-GB"/>
        </w:rPr>
      </w:pPr>
      <w:bookmarkStart w:id="31" w:name="_Toc410651253"/>
      <w:r>
        <w:rPr>
          <w:lang w:val="en-GB"/>
        </w:rPr>
        <w:t xml:space="preserve">The role of </w:t>
      </w:r>
      <w:r w:rsidR="00B516AC">
        <w:rPr>
          <w:lang w:val="en-GB"/>
        </w:rPr>
        <w:t>p</w:t>
      </w:r>
      <w:r w:rsidR="006804E0">
        <w:rPr>
          <w:lang w:val="en-GB"/>
        </w:rPr>
        <w:t>ublic bodies</w:t>
      </w:r>
      <w:r w:rsidR="00B516AC">
        <w:rPr>
          <w:lang w:val="en-GB"/>
        </w:rPr>
        <w:t xml:space="preserve"> in hate speech cases</w:t>
      </w:r>
      <w:bookmarkEnd w:id="31"/>
    </w:p>
    <w:p w:rsidR="008F0E57" w:rsidRDefault="008F0E57" w:rsidP="008F0E57">
      <w:pPr>
        <w:pStyle w:val="Parabase"/>
        <w:rPr>
          <w:lang w:val="en-GB"/>
        </w:rPr>
      </w:pPr>
      <w:r>
        <w:rPr>
          <w:lang w:val="en-GB"/>
        </w:rPr>
        <w:t xml:space="preserve">The state </w:t>
      </w:r>
      <w:r w:rsidR="00DB1D35">
        <w:rPr>
          <w:lang w:val="en-GB"/>
        </w:rPr>
        <w:t xml:space="preserve">and </w:t>
      </w:r>
      <w:r w:rsidR="00C17676">
        <w:rPr>
          <w:lang w:val="en-GB"/>
        </w:rPr>
        <w:t xml:space="preserve">UK </w:t>
      </w:r>
      <w:r w:rsidR="00DB1D35">
        <w:rPr>
          <w:lang w:val="en-GB"/>
        </w:rPr>
        <w:t xml:space="preserve">public bodies </w:t>
      </w:r>
      <w:r>
        <w:rPr>
          <w:lang w:val="en-GB"/>
        </w:rPr>
        <w:t>ha</w:t>
      </w:r>
      <w:r w:rsidR="00DB1D35">
        <w:rPr>
          <w:lang w:val="en-GB"/>
        </w:rPr>
        <w:t>ve</w:t>
      </w:r>
      <w:r>
        <w:rPr>
          <w:lang w:val="en-GB"/>
        </w:rPr>
        <w:t xml:space="preserve"> a simultaneous duty to protect individuals from hate crime whilst facilitating freedom of speech as broadly as possible. Public authorities, including the courts, </w:t>
      </w:r>
      <w:r w:rsidR="00DB1D35">
        <w:rPr>
          <w:lang w:val="en-GB"/>
        </w:rPr>
        <w:t xml:space="preserve">are bound by the Human Rights Act </w:t>
      </w:r>
      <w:r w:rsidR="0063635A">
        <w:rPr>
          <w:lang w:val="en-GB"/>
        </w:rPr>
        <w:t xml:space="preserve">and </w:t>
      </w:r>
      <w:r>
        <w:rPr>
          <w:lang w:val="en-GB"/>
        </w:rPr>
        <w:t xml:space="preserve">must seek to strike the proper </w:t>
      </w:r>
      <w:r w:rsidR="00AD6BE5" w:rsidRPr="00967B2A">
        <w:rPr>
          <w:lang w:val="en-GB"/>
        </w:rPr>
        <w:t>balance</w:t>
      </w:r>
      <w:r>
        <w:rPr>
          <w:lang w:val="en-GB"/>
        </w:rPr>
        <w:t xml:space="preserve"> between those competing interests.</w:t>
      </w:r>
    </w:p>
    <w:p w:rsidR="003C2051" w:rsidRDefault="00C17676" w:rsidP="00646BEB">
      <w:pPr>
        <w:pStyle w:val="Parabase"/>
        <w:rPr>
          <w:lang w:val="en-GB"/>
        </w:rPr>
      </w:pPr>
      <w:r>
        <w:rPr>
          <w:lang w:val="en-GB"/>
        </w:rPr>
        <w:t>For example</w:t>
      </w:r>
      <w:r w:rsidR="00646BEB">
        <w:rPr>
          <w:lang w:val="en-GB"/>
        </w:rPr>
        <w:t xml:space="preserve">, a local authority could not ban the distribution of political material </w:t>
      </w:r>
      <w:r w:rsidR="00972C1A">
        <w:rPr>
          <w:lang w:val="en-GB"/>
        </w:rPr>
        <w:t xml:space="preserve">with which </w:t>
      </w:r>
      <w:r w:rsidR="00646BEB">
        <w:rPr>
          <w:lang w:val="en-GB"/>
        </w:rPr>
        <w:t>it disagreed</w:t>
      </w:r>
      <w:r w:rsidR="003C2051">
        <w:rPr>
          <w:lang w:val="en-GB"/>
        </w:rPr>
        <w:t>.</w:t>
      </w:r>
      <w:r w:rsidR="00497770">
        <w:rPr>
          <w:lang w:val="en-GB"/>
        </w:rPr>
        <w:t xml:space="preserve"> </w:t>
      </w:r>
      <w:r w:rsidR="00972C1A">
        <w:rPr>
          <w:lang w:val="en-GB"/>
        </w:rPr>
        <w:t xml:space="preserve">However, </w:t>
      </w:r>
      <w:r w:rsidR="00646BEB">
        <w:rPr>
          <w:lang w:val="en-GB"/>
        </w:rPr>
        <w:t xml:space="preserve">the freedom </w:t>
      </w:r>
      <w:r w:rsidR="0063635A">
        <w:rPr>
          <w:lang w:val="en-GB"/>
        </w:rPr>
        <w:t xml:space="preserve">of individuals </w:t>
      </w:r>
      <w:r w:rsidR="00646BEB">
        <w:rPr>
          <w:lang w:val="en-GB"/>
        </w:rPr>
        <w:t xml:space="preserve">to receive information </w:t>
      </w:r>
      <w:r w:rsidR="00972C1A">
        <w:rPr>
          <w:lang w:val="en-GB"/>
        </w:rPr>
        <w:t>does</w:t>
      </w:r>
      <w:r w:rsidR="00646BEB">
        <w:rPr>
          <w:lang w:val="en-GB"/>
        </w:rPr>
        <w:t xml:space="preserve"> not </w:t>
      </w:r>
      <w:r w:rsidR="00C32CE5">
        <w:rPr>
          <w:lang w:val="en-GB"/>
        </w:rPr>
        <w:t xml:space="preserve">generally </w:t>
      </w:r>
      <w:r w:rsidR="00646BEB">
        <w:rPr>
          <w:lang w:val="en-GB"/>
        </w:rPr>
        <w:t xml:space="preserve">place </w:t>
      </w:r>
      <w:r w:rsidR="0063635A">
        <w:rPr>
          <w:lang w:val="en-GB"/>
        </w:rPr>
        <w:t xml:space="preserve">any </w:t>
      </w:r>
      <w:r w:rsidR="00646BEB" w:rsidRPr="00646BEB">
        <w:rPr>
          <w:lang w:val="en-GB"/>
        </w:rPr>
        <w:t>positive obligation</w:t>
      </w:r>
      <w:r>
        <w:rPr>
          <w:lang w:val="en-GB"/>
        </w:rPr>
        <w:t xml:space="preserve"> </w:t>
      </w:r>
      <w:r w:rsidR="00646BEB" w:rsidRPr="00646BEB">
        <w:rPr>
          <w:lang w:val="en-GB"/>
        </w:rPr>
        <w:t xml:space="preserve">on the state to gather </w:t>
      </w:r>
      <w:r w:rsidR="0063635A">
        <w:rPr>
          <w:lang w:val="en-GB"/>
        </w:rPr>
        <w:t xml:space="preserve">or </w:t>
      </w:r>
      <w:r w:rsidR="00646BEB" w:rsidRPr="00646BEB">
        <w:rPr>
          <w:lang w:val="en-GB"/>
        </w:rPr>
        <w:t>disseminate information</w:t>
      </w:r>
      <w:r w:rsidR="00646BEB">
        <w:rPr>
          <w:lang w:val="en-GB"/>
        </w:rPr>
        <w:t>.</w:t>
      </w:r>
      <w:r w:rsidR="00FC0FAF">
        <w:rPr>
          <w:lang w:val="en-GB"/>
        </w:rPr>
        <w:t xml:space="preserve"> </w:t>
      </w:r>
    </w:p>
    <w:p w:rsidR="003177A9" w:rsidRPr="00B46CB7" w:rsidRDefault="003C2051" w:rsidP="00596678">
      <w:pPr>
        <w:pStyle w:val="Parapre-bullets"/>
        <w:rPr>
          <w:lang w:val="en-GB"/>
        </w:rPr>
      </w:pPr>
      <w:r>
        <w:rPr>
          <w:lang w:val="en-GB"/>
        </w:rPr>
        <w:t>A</w:t>
      </w:r>
      <w:r w:rsidR="003177A9" w:rsidRPr="00B46CB7">
        <w:rPr>
          <w:lang w:val="en-GB"/>
        </w:rPr>
        <w:t xml:space="preserve"> public authority or a body carrying out public functions </w:t>
      </w:r>
      <w:r>
        <w:rPr>
          <w:lang w:val="en-GB"/>
        </w:rPr>
        <w:t xml:space="preserve">also </w:t>
      </w:r>
      <w:r w:rsidR="003177A9" w:rsidRPr="00B46CB7">
        <w:rPr>
          <w:lang w:val="en-GB"/>
        </w:rPr>
        <w:t>has a statutory duty</w:t>
      </w:r>
      <w:r w:rsidR="00805FC6">
        <w:rPr>
          <w:lang w:val="en-GB"/>
        </w:rPr>
        <w:t xml:space="preserve"> </w:t>
      </w:r>
      <w:r w:rsidR="008F0E57">
        <w:rPr>
          <w:lang w:val="en-GB"/>
        </w:rPr>
        <w:t xml:space="preserve">to </w:t>
      </w:r>
      <w:r w:rsidR="00805FC6">
        <w:rPr>
          <w:lang w:val="en-GB"/>
        </w:rPr>
        <w:t>comply with the public sector equality duty (PSED). This is a duty</w:t>
      </w:r>
      <w:r w:rsidR="003177A9" w:rsidRPr="00B46CB7">
        <w:rPr>
          <w:lang w:val="en-GB"/>
        </w:rPr>
        <w:t xml:space="preserve"> to have due regard to the need to:</w:t>
      </w:r>
    </w:p>
    <w:p w:rsidR="003177A9" w:rsidRPr="00A82C92" w:rsidRDefault="003177A9" w:rsidP="00596678">
      <w:pPr>
        <w:pStyle w:val="Bulletsbase"/>
        <w:numPr>
          <w:ilvl w:val="0"/>
          <w:numId w:val="4"/>
        </w:numPr>
      </w:pPr>
      <w:r w:rsidRPr="00A82C92">
        <w:t>eliminate discrimination, harassment, victimisation and other conduct that is</w:t>
      </w:r>
      <w:r w:rsidR="00805FC6">
        <w:t xml:space="preserve"> prohibited by the Equality Act 2010</w:t>
      </w:r>
    </w:p>
    <w:p w:rsidR="003177A9" w:rsidRPr="00A82C92" w:rsidRDefault="003177A9" w:rsidP="00596678">
      <w:pPr>
        <w:pStyle w:val="Bulletsbase"/>
        <w:numPr>
          <w:ilvl w:val="0"/>
          <w:numId w:val="4"/>
        </w:numPr>
      </w:pPr>
      <w:r w:rsidRPr="00A82C92">
        <w:t>advance equality of opportunity between persons who share a relevant protected characteristic and persons who do not share it</w:t>
      </w:r>
    </w:p>
    <w:p w:rsidR="003177A9" w:rsidRPr="00A82C92" w:rsidRDefault="003177A9" w:rsidP="00491ADD">
      <w:pPr>
        <w:pStyle w:val="Bulletsgroup"/>
        <w:numPr>
          <w:ilvl w:val="0"/>
          <w:numId w:val="4"/>
        </w:numPr>
      </w:pPr>
      <w:r w:rsidRPr="00A82C92">
        <w:t>foster good relations between persons who share a relevant protected characteristic and persons who do not share it.</w:t>
      </w:r>
    </w:p>
    <w:p w:rsidR="007F16F8" w:rsidRDefault="007F16F8" w:rsidP="007F16F8">
      <w:pPr>
        <w:pStyle w:val="Parabase"/>
      </w:pPr>
      <w:r w:rsidRPr="007F16F8">
        <w:lastRenderedPageBreak/>
        <w:t>A</w:t>
      </w:r>
      <w:r>
        <w:t xml:space="preserve"> relevant protected characteristic means</w:t>
      </w:r>
      <w:r w:rsidRPr="00805FC6">
        <w:t xml:space="preserve"> age, disability, gender, gender reassignment, pregnancy and maternity, race, religion or belief </w:t>
      </w:r>
      <w:r>
        <w:t>or</w:t>
      </w:r>
      <w:r w:rsidRPr="00805FC6">
        <w:t xml:space="preserve"> sexual orientation. </w:t>
      </w:r>
    </w:p>
    <w:p w:rsidR="007243F2" w:rsidRDefault="007F16F8" w:rsidP="007243F2">
      <w:pPr>
        <w:pStyle w:val="Parabase"/>
        <w:rPr>
          <w:lang w:val="en-GB"/>
        </w:rPr>
      </w:pPr>
      <w:r w:rsidRPr="00A82C92">
        <w:rPr>
          <w:rStyle w:val="legds2"/>
        </w:rPr>
        <w:t>Having</w:t>
      </w:r>
      <w:r w:rsidRPr="00B46CB7">
        <w:rPr>
          <w:rStyle w:val="legds2"/>
          <w:lang w:val="en-GB"/>
        </w:rPr>
        <w:t xml:space="preserve"> due regard to the need to foster good relations involves having due regard, in particular, to the need to</w:t>
      </w:r>
      <w:r w:rsidRPr="00B46CB7">
        <w:rPr>
          <w:lang w:val="en-GB"/>
        </w:rPr>
        <w:t xml:space="preserve"> tackle prejudice and</w:t>
      </w:r>
      <w:r>
        <w:rPr>
          <w:lang w:val="en-GB"/>
        </w:rPr>
        <w:t xml:space="preserve"> </w:t>
      </w:r>
      <w:r w:rsidRPr="00B46CB7">
        <w:rPr>
          <w:lang w:val="en-GB"/>
        </w:rPr>
        <w:t>promote understanding.</w:t>
      </w:r>
      <w:r w:rsidR="00560F49">
        <w:rPr>
          <w:rStyle w:val="FootnoteReference"/>
          <w:lang w:val="en-GB"/>
        </w:rPr>
        <w:footnoteReference w:id="44"/>
      </w:r>
    </w:p>
    <w:p w:rsidR="007F16F8" w:rsidRDefault="007F16F8" w:rsidP="007243F2">
      <w:pPr>
        <w:pStyle w:val="Parabase"/>
        <w:rPr>
          <w:lang w:val="en-GB"/>
        </w:rPr>
      </w:pPr>
      <w:r>
        <w:rPr>
          <w:lang w:val="en-GB"/>
        </w:rPr>
        <w:t>Accordingly, a public body must consider not only the freedom of expression of the person responsible for hate speech but also the PSED to tackle prejudice and promote understanding. So, for example, when the police consider whether to investigate a case of online hate speech, or whether to refer a case to the CPS for a prosecution decision, they  must take into account all of their statutory duties, including under the Human Rights Act and the PSED.</w:t>
      </w:r>
    </w:p>
    <w:p w:rsidR="00C2434A" w:rsidRDefault="0058328A" w:rsidP="00634D93">
      <w:pPr>
        <w:pStyle w:val="L3Headers"/>
        <w:rPr>
          <w:lang w:val="en-GB"/>
        </w:rPr>
      </w:pPr>
      <w:bookmarkStart w:id="32" w:name="_Toc410651254"/>
      <w:r>
        <w:rPr>
          <w:lang w:val="en-GB"/>
        </w:rPr>
        <w:t>The role of</w:t>
      </w:r>
      <w:r w:rsidR="00CF61D3">
        <w:rPr>
          <w:lang w:val="en-GB"/>
        </w:rPr>
        <w:t xml:space="preserve"> </w:t>
      </w:r>
      <w:r>
        <w:rPr>
          <w:lang w:val="en-GB"/>
        </w:rPr>
        <w:t>r</w:t>
      </w:r>
      <w:r w:rsidR="00C2434A">
        <w:rPr>
          <w:lang w:val="en-GB"/>
        </w:rPr>
        <w:t>egulators</w:t>
      </w:r>
      <w:bookmarkEnd w:id="32"/>
    </w:p>
    <w:p w:rsidR="00470854" w:rsidRDefault="00805FC6" w:rsidP="00491ADD">
      <w:pPr>
        <w:pStyle w:val="Parabase"/>
        <w:rPr>
          <w:lang w:val="en-GB"/>
        </w:rPr>
      </w:pPr>
      <w:r>
        <w:rPr>
          <w:lang w:val="en-GB"/>
        </w:rPr>
        <w:t>Regulators carry out public functions and are subject to the Human Rights Act and to the PSED</w:t>
      </w:r>
      <w:r w:rsidR="00470854">
        <w:rPr>
          <w:lang w:val="en-GB"/>
        </w:rPr>
        <w:t>.</w:t>
      </w:r>
      <w:r w:rsidR="00497770">
        <w:rPr>
          <w:lang w:val="en-GB"/>
        </w:rPr>
        <w:t xml:space="preserve"> </w:t>
      </w:r>
      <w:r w:rsidR="00017566">
        <w:rPr>
          <w:lang w:val="en-GB"/>
        </w:rPr>
        <w:t>Some regulators</w:t>
      </w:r>
      <w:r w:rsidR="00470854">
        <w:rPr>
          <w:lang w:val="en-GB"/>
        </w:rPr>
        <w:t xml:space="preserve"> have specific responsibility for forums in which hate speech can be disseminated. </w:t>
      </w:r>
      <w:r w:rsidR="00470854" w:rsidRPr="00B46CB7">
        <w:rPr>
          <w:lang w:val="en-GB"/>
        </w:rPr>
        <w:t>Ofcom</w:t>
      </w:r>
      <w:r w:rsidR="00470854">
        <w:rPr>
          <w:lang w:val="en-GB"/>
        </w:rPr>
        <w:t xml:space="preserve"> has </w:t>
      </w:r>
      <w:r w:rsidR="00DA4308">
        <w:rPr>
          <w:lang w:val="en-GB"/>
        </w:rPr>
        <w:t xml:space="preserve">such </w:t>
      </w:r>
      <w:r w:rsidR="00470854">
        <w:rPr>
          <w:lang w:val="en-GB"/>
        </w:rPr>
        <w:t xml:space="preserve">responsibility in relation to complaints about broadcasting. The </w:t>
      </w:r>
      <w:r w:rsidR="00470854" w:rsidRPr="00E03DF7">
        <w:rPr>
          <w:lang w:val="en-GB"/>
        </w:rPr>
        <w:t>Independe</w:t>
      </w:r>
      <w:r w:rsidR="00470854">
        <w:rPr>
          <w:lang w:val="en-GB"/>
        </w:rPr>
        <w:t>nt Press Standards Organisation</w:t>
      </w:r>
      <w:r w:rsidR="00470854" w:rsidRPr="00470854">
        <w:rPr>
          <w:lang w:val="en-GB"/>
        </w:rPr>
        <w:t xml:space="preserve"> </w:t>
      </w:r>
      <w:r w:rsidR="00470854">
        <w:rPr>
          <w:lang w:val="en-GB"/>
        </w:rPr>
        <w:t>deals with complaint</w:t>
      </w:r>
      <w:r w:rsidR="007F16F8">
        <w:rPr>
          <w:lang w:val="en-GB"/>
        </w:rPr>
        <w:t>s</w:t>
      </w:r>
      <w:r w:rsidR="00470854">
        <w:rPr>
          <w:lang w:val="en-GB"/>
        </w:rPr>
        <w:t xml:space="preserve"> about newspapers, and </w:t>
      </w:r>
      <w:r w:rsidR="00470854" w:rsidRPr="00491ADD">
        <w:t>the</w:t>
      </w:r>
      <w:r w:rsidR="00470854">
        <w:t xml:space="preserve"> </w:t>
      </w:r>
      <w:r w:rsidR="00470854">
        <w:rPr>
          <w:lang w:val="en-GB"/>
        </w:rPr>
        <w:t>Advertising Standards Authority</w:t>
      </w:r>
      <w:r w:rsidR="00470854" w:rsidRPr="00470854">
        <w:rPr>
          <w:lang w:val="en-GB"/>
        </w:rPr>
        <w:t xml:space="preserve"> </w:t>
      </w:r>
      <w:r w:rsidR="00470854">
        <w:rPr>
          <w:lang w:val="en-GB"/>
        </w:rPr>
        <w:t>deals with advertising</w:t>
      </w:r>
      <w:r w:rsidR="00470854" w:rsidRPr="00B46CB7">
        <w:rPr>
          <w:lang w:val="en-GB"/>
        </w:rPr>
        <w:t>.</w:t>
      </w:r>
    </w:p>
    <w:p w:rsidR="00470854" w:rsidRDefault="00470854" w:rsidP="00491ADD">
      <w:pPr>
        <w:pStyle w:val="Parasection"/>
        <w:rPr>
          <w:lang w:val="en-GB"/>
        </w:rPr>
      </w:pPr>
      <w:r>
        <w:rPr>
          <w:lang w:val="en-GB"/>
        </w:rPr>
        <w:t>Each of those bodies has a duty to seek to strike the proper balance whe</w:t>
      </w:r>
      <w:r w:rsidR="00CF61D3">
        <w:rPr>
          <w:lang w:val="en-GB"/>
        </w:rPr>
        <w:t>n</w:t>
      </w:r>
      <w:r>
        <w:rPr>
          <w:lang w:val="en-GB"/>
        </w:rPr>
        <w:t xml:space="preserve"> </w:t>
      </w:r>
      <w:r w:rsidR="00DA4308">
        <w:rPr>
          <w:lang w:val="en-GB"/>
        </w:rPr>
        <w:t xml:space="preserve">protecting </w:t>
      </w:r>
      <w:r>
        <w:rPr>
          <w:lang w:val="en-GB"/>
        </w:rPr>
        <w:t xml:space="preserve">freedom of expression conflicts with other duties, remembering the very high threshold that will apply in cases which </w:t>
      </w:r>
      <w:r w:rsidR="00CE6F06">
        <w:rPr>
          <w:lang w:val="en-GB"/>
        </w:rPr>
        <w:t xml:space="preserve">involve the media, or </w:t>
      </w:r>
      <w:r>
        <w:rPr>
          <w:lang w:val="en-GB"/>
        </w:rPr>
        <w:t>engage the public interest</w:t>
      </w:r>
      <w:r w:rsidR="00CE6F06">
        <w:rPr>
          <w:lang w:val="en-GB"/>
        </w:rPr>
        <w:t xml:space="preserve"> and in particular political comment</w:t>
      </w:r>
      <w:r>
        <w:rPr>
          <w:lang w:val="en-GB"/>
        </w:rPr>
        <w:t>.</w:t>
      </w:r>
      <w:r w:rsidR="00497770">
        <w:rPr>
          <w:lang w:val="en-GB"/>
        </w:rPr>
        <w:t xml:space="preserve"> </w:t>
      </w:r>
      <w:r w:rsidR="00017566">
        <w:rPr>
          <w:lang w:val="en-GB"/>
        </w:rPr>
        <w:t>For</w:t>
      </w:r>
      <w:r w:rsidR="000B48EC">
        <w:rPr>
          <w:lang w:val="en-GB"/>
        </w:rPr>
        <w:t xml:space="preserve"> entertainment rather than politics, the threshold will be lower. </w:t>
      </w:r>
      <w:r w:rsidR="00583D45">
        <w:rPr>
          <w:lang w:val="en-GB"/>
        </w:rPr>
        <w:t>T</w:t>
      </w:r>
      <w:r w:rsidR="00790044">
        <w:rPr>
          <w:lang w:val="en-GB"/>
        </w:rPr>
        <w:t xml:space="preserve">he Advertising Standards Authority upheld a complaint about </w:t>
      </w:r>
      <w:r w:rsidR="00F91577">
        <w:rPr>
          <w:lang w:val="en-GB"/>
        </w:rPr>
        <w:t>some</w:t>
      </w:r>
      <w:r w:rsidR="00790044">
        <w:rPr>
          <w:lang w:val="en-GB"/>
        </w:rPr>
        <w:t xml:space="preserve"> posters advertising a Channel 4 series </w:t>
      </w:r>
      <w:r w:rsidR="00635DAA">
        <w:rPr>
          <w:lang w:val="en-GB"/>
        </w:rPr>
        <w:t>‘</w:t>
      </w:r>
      <w:r w:rsidR="00790044">
        <w:rPr>
          <w:lang w:val="en-GB"/>
        </w:rPr>
        <w:t>Big Fat Gypsy Weddings</w:t>
      </w:r>
      <w:r w:rsidR="00635DAA">
        <w:rPr>
          <w:lang w:val="en-GB"/>
        </w:rPr>
        <w:t>’</w:t>
      </w:r>
      <w:r w:rsidR="00790044">
        <w:rPr>
          <w:lang w:val="en-GB"/>
        </w:rPr>
        <w:t xml:space="preserve"> on the basis that they were </w:t>
      </w:r>
      <w:r w:rsidR="00790044">
        <w:t xml:space="preserve">irresponsible, offensive and reaffirmed negative stereotypes and prejudice against the </w:t>
      </w:r>
      <w:proofErr w:type="spellStart"/>
      <w:r w:rsidR="00790044">
        <w:t>Traveller</w:t>
      </w:r>
      <w:proofErr w:type="spellEnd"/>
      <w:r w:rsidR="00790044">
        <w:t xml:space="preserve"> and Gypsy communities, finding </w:t>
      </w:r>
      <w:r w:rsidR="00860A86">
        <w:t xml:space="preserve">in effect </w:t>
      </w:r>
      <w:r w:rsidR="00790044">
        <w:t>that the advertiser</w:t>
      </w:r>
      <w:r w:rsidR="00583D45">
        <w:t>'</w:t>
      </w:r>
      <w:r w:rsidR="00790044">
        <w:t>s Article 10 rights would not be infringed by a ban on the posters.</w:t>
      </w:r>
      <w:r w:rsidR="0063635A">
        <w:rPr>
          <w:rStyle w:val="FootnoteReference"/>
        </w:rPr>
        <w:footnoteReference w:id="45"/>
      </w:r>
    </w:p>
    <w:p w:rsidR="00C2434A" w:rsidRDefault="009F5385" w:rsidP="00634D93">
      <w:pPr>
        <w:pStyle w:val="L3Headers"/>
        <w:rPr>
          <w:lang w:val="en-GB"/>
        </w:rPr>
      </w:pPr>
      <w:bookmarkStart w:id="33" w:name="_Toc410651255"/>
      <w:r>
        <w:rPr>
          <w:lang w:val="en-GB"/>
        </w:rPr>
        <w:t>Employment</w:t>
      </w:r>
      <w:bookmarkEnd w:id="33"/>
      <w:r>
        <w:rPr>
          <w:lang w:val="en-GB"/>
        </w:rPr>
        <w:t xml:space="preserve"> </w:t>
      </w:r>
    </w:p>
    <w:p w:rsidR="009F5385" w:rsidRDefault="00166AC4" w:rsidP="003177A9">
      <w:pPr>
        <w:pStyle w:val="Parabase"/>
        <w:rPr>
          <w:lang w:val="en-GB"/>
        </w:rPr>
      </w:pPr>
      <w:r>
        <w:rPr>
          <w:lang w:val="en-GB"/>
        </w:rPr>
        <w:t>In the workplace,</w:t>
      </w:r>
      <w:r w:rsidR="009F5385" w:rsidRPr="009F5385">
        <w:rPr>
          <w:lang w:val="en-GB"/>
        </w:rPr>
        <w:t xml:space="preserve"> </w:t>
      </w:r>
      <w:r w:rsidR="009F5385">
        <w:rPr>
          <w:lang w:val="en-GB"/>
        </w:rPr>
        <w:t xml:space="preserve">there are additional </w:t>
      </w:r>
      <w:r w:rsidR="00860A86">
        <w:rPr>
          <w:lang w:val="en-GB"/>
        </w:rPr>
        <w:t>restrictions on free speech</w:t>
      </w:r>
      <w:r w:rsidR="009F5385">
        <w:rPr>
          <w:lang w:val="en-GB"/>
        </w:rPr>
        <w:t>.</w:t>
      </w:r>
      <w:r w:rsidR="00497770">
        <w:rPr>
          <w:lang w:val="en-GB"/>
        </w:rPr>
        <w:t xml:space="preserve"> </w:t>
      </w:r>
      <w:r w:rsidR="009F5385">
        <w:rPr>
          <w:lang w:val="en-GB"/>
        </w:rPr>
        <w:t>F</w:t>
      </w:r>
      <w:r>
        <w:rPr>
          <w:lang w:val="en-GB"/>
        </w:rPr>
        <w:t xml:space="preserve">reedom of expression does not </w:t>
      </w:r>
      <w:r w:rsidR="009F5385">
        <w:rPr>
          <w:lang w:val="en-GB"/>
        </w:rPr>
        <w:t>protect</w:t>
      </w:r>
      <w:r>
        <w:rPr>
          <w:lang w:val="en-GB"/>
        </w:rPr>
        <w:t xml:space="preserve"> workers </w:t>
      </w:r>
      <w:r w:rsidR="009F5385">
        <w:rPr>
          <w:lang w:val="en-GB"/>
        </w:rPr>
        <w:t xml:space="preserve">from disciplinary action arising either from a </w:t>
      </w:r>
      <w:r w:rsidR="009F5385">
        <w:rPr>
          <w:lang w:val="en-GB"/>
        </w:rPr>
        <w:lastRenderedPageBreak/>
        <w:t>breach of the Equality Act or</w:t>
      </w:r>
      <w:r w:rsidR="00CF61D3">
        <w:rPr>
          <w:lang w:val="en-GB"/>
        </w:rPr>
        <w:t xml:space="preserve"> of</w:t>
      </w:r>
      <w:r w:rsidR="009F5385">
        <w:rPr>
          <w:lang w:val="en-GB"/>
        </w:rPr>
        <w:t xml:space="preserve"> the employer’s policies</w:t>
      </w:r>
      <w:r w:rsidR="00583D45">
        <w:rPr>
          <w:lang w:val="en-GB"/>
        </w:rPr>
        <w:t>.</w:t>
      </w:r>
      <w:r w:rsidR="00497770">
        <w:rPr>
          <w:lang w:val="en-GB"/>
        </w:rPr>
        <w:t xml:space="preserve"> </w:t>
      </w:r>
      <w:r w:rsidR="00583D45">
        <w:rPr>
          <w:lang w:val="en-GB"/>
        </w:rPr>
        <w:t xml:space="preserve">These </w:t>
      </w:r>
      <w:r w:rsidR="00AD361B">
        <w:rPr>
          <w:lang w:val="en-GB"/>
        </w:rPr>
        <w:t xml:space="preserve">policies </w:t>
      </w:r>
      <w:r w:rsidR="00583D45">
        <w:rPr>
          <w:lang w:val="en-GB"/>
        </w:rPr>
        <w:t>might, for example, concern</w:t>
      </w:r>
      <w:r w:rsidR="009F5385">
        <w:rPr>
          <w:lang w:val="en-GB"/>
        </w:rPr>
        <w:t xml:space="preserve"> dignity at work</w:t>
      </w:r>
      <w:r w:rsidR="00AD361B">
        <w:rPr>
          <w:lang w:val="en-GB"/>
        </w:rPr>
        <w:t xml:space="preserve"> </w:t>
      </w:r>
      <w:r w:rsidR="009A3995">
        <w:rPr>
          <w:lang w:val="en-GB"/>
        </w:rPr>
        <w:t xml:space="preserve">or </w:t>
      </w:r>
      <w:r w:rsidR="00CF61D3">
        <w:rPr>
          <w:lang w:val="en-GB"/>
        </w:rPr>
        <w:t xml:space="preserve">relate </w:t>
      </w:r>
      <w:r w:rsidR="00AD361B">
        <w:rPr>
          <w:lang w:val="en-GB"/>
        </w:rPr>
        <w:t>to the objectives of protecting</w:t>
      </w:r>
      <w:r w:rsidR="009A3995">
        <w:rPr>
          <w:lang w:val="en-GB"/>
        </w:rPr>
        <w:t xml:space="preserve"> the employer’s reputation</w:t>
      </w:r>
      <w:r w:rsidR="00967B2A">
        <w:rPr>
          <w:lang w:val="en-GB"/>
        </w:rPr>
        <w:t>.</w:t>
      </w:r>
    </w:p>
    <w:p w:rsidR="00166AC4" w:rsidRDefault="00166AC4" w:rsidP="003177A9">
      <w:pPr>
        <w:pStyle w:val="Parabase"/>
        <w:rPr>
          <w:lang w:val="en-GB"/>
        </w:rPr>
      </w:pPr>
      <w:r>
        <w:rPr>
          <w:lang w:val="en-GB"/>
        </w:rPr>
        <w:t>Workplace ‘banter’ is not permitted if it has the effect of harassing an employee.</w:t>
      </w:r>
    </w:p>
    <w:p w:rsidR="003177A9" w:rsidRPr="002F66EC" w:rsidRDefault="003177A9" w:rsidP="003177A9">
      <w:pPr>
        <w:pStyle w:val="Parabase"/>
        <w:rPr>
          <w:rFonts w:eastAsia="Times New Roman"/>
          <w:color w:val="000000" w:themeColor="text1"/>
        </w:rPr>
      </w:pPr>
      <w:r w:rsidRPr="00B46CB7">
        <w:rPr>
          <w:lang w:val="en-GB"/>
        </w:rPr>
        <w:t xml:space="preserve">Harassment </w:t>
      </w:r>
      <w:r w:rsidR="00CE6F06">
        <w:rPr>
          <w:lang w:val="en-GB"/>
        </w:rPr>
        <w:t xml:space="preserve">in the workplace </w:t>
      </w:r>
      <w:r>
        <w:rPr>
          <w:lang w:val="en-GB"/>
        </w:rPr>
        <w:t xml:space="preserve">under the Equality Act 2010 </w:t>
      </w:r>
      <w:r w:rsidR="00166AC4">
        <w:rPr>
          <w:lang w:val="en-GB"/>
        </w:rPr>
        <w:t>includes</w:t>
      </w:r>
      <w:r w:rsidRPr="002F66EC">
        <w:rPr>
          <w:color w:val="000000" w:themeColor="text1"/>
          <w:lang w:val="en-GB"/>
        </w:rPr>
        <w:t xml:space="preserve"> </w:t>
      </w:r>
      <w:r w:rsidR="004B4210" w:rsidRPr="004B4210">
        <w:rPr>
          <w:color w:val="000000" w:themeColor="text1"/>
          <w:lang w:val="en-GB"/>
        </w:rPr>
        <w:t>unwanted</w:t>
      </w:r>
      <w:r w:rsidR="004B4210" w:rsidRPr="004B4210">
        <w:rPr>
          <w:rFonts w:eastAsia="Times New Roman"/>
          <w:color w:val="000000" w:themeColor="text1"/>
        </w:rPr>
        <w:t xml:space="preserve"> </w:t>
      </w:r>
      <w:r w:rsidR="004B4210" w:rsidRPr="004B4210">
        <w:rPr>
          <w:rFonts w:eastAsia="Times New Roman"/>
          <w:color w:val="000000" w:themeColor="text1"/>
          <w:lang w:val="en-GB"/>
        </w:rPr>
        <w:t>behaviour</w:t>
      </w:r>
      <w:r w:rsidR="00497770">
        <w:rPr>
          <w:rFonts w:eastAsia="Times New Roman"/>
          <w:color w:val="000000" w:themeColor="text1"/>
        </w:rPr>
        <w:t xml:space="preserve"> </w:t>
      </w:r>
      <w:r w:rsidRPr="002F66EC">
        <w:rPr>
          <w:rFonts w:eastAsia="Times New Roman"/>
          <w:color w:val="000000" w:themeColor="text1"/>
        </w:rPr>
        <w:t>relat</w:t>
      </w:r>
      <w:r w:rsidR="003D69E0">
        <w:rPr>
          <w:rFonts w:eastAsia="Times New Roman"/>
          <w:color w:val="000000" w:themeColor="text1"/>
        </w:rPr>
        <w:t>ed</w:t>
      </w:r>
      <w:r w:rsidRPr="002F66EC">
        <w:rPr>
          <w:rFonts w:eastAsia="Times New Roman"/>
          <w:color w:val="000000" w:themeColor="text1"/>
        </w:rPr>
        <w:t xml:space="preserve"> to age, disability, race, sex, gender reassignment, religion or belief or sexual orientation, which has the purpose or effect of: </w:t>
      </w:r>
    </w:p>
    <w:p w:rsidR="003177A9" w:rsidRPr="002F66EC" w:rsidRDefault="003177A9" w:rsidP="00491ADD">
      <w:pPr>
        <w:pStyle w:val="Bulletsbase"/>
        <w:numPr>
          <w:ilvl w:val="0"/>
          <w:numId w:val="4"/>
        </w:numPr>
      </w:pPr>
      <w:r w:rsidRPr="002F66EC">
        <w:t>violating a person’s dignity, or</w:t>
      </w:r>
    </w:p>
    <w:p w:rsidR="003177A9" w:rsidRPr="002F66EC" w:rsidRDefault="003177A9" w:rsidP="00491ADD">
      <w:pPr>
        <w:pStyle w:val="Bulletsgroup"/>
        <w:numPr>
          <w:ilvl w:val="0"/>
          <w:numId w:val="4"/>
        </w:numPr>
      </w:pPr>
      <w:r w:rsidRPr="002F66EC">
        <w:t>creating for that person an intimidating, hostile, degrading, humiliating or offensive environment.</w:t>
      </w:r>
    </w:p>
    <w:p w:rsidR="003177A9" w:rsidRPr="002F66EC" w:rsidRDefault="003177A9" w:rsidP="003177A9">
      <w:pPr>
        <w:pStyle w:val="Parabase"/>
        <w:rPr>
          <w:rFonts w:eastAsia="Times New Roman"/>
          <w:color w:val="000000" w:themeColor="text1"/>
        </w:rPr>
      </w:pPr>
      <w:r w:rsidRPr="002F66EC">
        <w:rPr>
          <w:rFonts w:eastAsia="Times New Roman"/>
          <w:color w:val="000000" w:themeColor="text1"/>
        </w:rPr>
        <w:t>‘Unwanted</w:t>
      </w:r>
      <w:r w:rsidR="00497770">
        <w:rPr>
          <w:rFonts w:eastAsia="Times New Roman"/>
          <w:color w:val="000000" w:themeColor="text1"/>
        </w:rPr>
        <w:t xml:space="preserve"> </w:t>
      </w:r>
      <w:r w:rsidRPr="002F66EC">
        <w:rPr>
          <w:rFonts w:eastAsia="Times New Roman"/>
          <w:color w:val="000000" w:themeColor="text1"/>
          <w:lang w:val="en-GB"/>
        </w:rPr>
        <w:t>behaviour</w:t>
      </w:r>
      <w:r w:rsidRPr="002F66EC">
        <w:rPr>
          <w:rFonts w:eastAsia="Times New Roman"/>
          <w:color w:val="000000" w:themeColor="text1"/>
        </w:rPr>
        <w:t xml:space="preserve">’ can include any kind of </w:t>
      </w:r>
      <w:r w:rsidRPr="002F66EC">
        <w:rPr>
          <w:rFonts w:eastAsia="Times New Roman"/>
          <w:color w:val="000000" w:themeColor="text1"/>
          <w:lang w:val="en-GB"/>
        </w:rPr>
        <w:t>behaviour</w:t>
      </w:r>
      <w:r w:rsidRPr="002F66EC">
        <w:rPr>
          <w:rFonts w:eastAsia="Times New Roman"/>
          <w:color w:val="000000" w:themeColor="text1"/>
        </w:rPr>
        <w:t xml:space="preserve">, including spoken or written words or abuse, imagery, graffiti, physical gestures, facial expressions, mimicry, jokes, pranks, acts affecting a person’s surroundings or other physical </w:t>
      </w:r>
      <w:r w:rsidR="000D1ADC">
        <w:rPr>
          <w:rFonts w:eastAsia="Times New Roman"/>
          <w:color w:val="000000" w:themeColor="text1"/>
        </w:rPr>
        <w:t>conduct</w:t>
      </w:r>
      <w:r w:rsidRPr="002F66EC">
        <w:rPr>
          <w:rFonts w:eastAsia="Times New Roman"/>
          <w:color w:val="000000" w:themeColor="text1"/>
        </w:rPr>
        <w:t xml:space="preserve">. </w:t>
      </w:r>
    </w:p>
    <w:p w:rsidR="003177A9" w:rsidRDefault="003177A9" w:rsidP="003177A9">
      <w:pPr>
        <w:pStyle w:val="Parabase"/>
        <w:rPr>
          <w:lang w:val="en-GB"/>
        </w:rPr>
      </w:pPr>
      <w:r>
        <w:rPr>
          <w:lang w:val="en-GB"/>
        </w:rPr>
        <w:t xml:space="preserve">This type of harassment is not a criminal offence but can </w:t>
      </w:r>
      <w:r w:rsidR="003772A5">
        <w:rPr>
          <w:lang w:val="en-GB"/>
        </w:rPr>
        <w:t>constitute the ground for</w:t>
      </w:r>
      <w:r>
        <w:rPr>
          <w:lang w:val="en-GB"/>
        </w:rPr>
        <w:t xml:space="preserve"> a claim in the Employment Tribunal.</w:t>
      </w:r>
    </w:p>
    <w:p w:rsidR="00166AC4" w:rsidRDefault="00CC174C" w:rsidP="00491ADD">
      <w:pPr>
        <w:pStyle w:val="Parasection"/>
        <w:rPr>
          <w:lang w:val="en-GB"/>
        </w:rPr>
      </w:pPr>
      <w:r w:rsidRPr="00CC174C">
        <w:rPr>
          <w:lang w:val="en-GB"/>
        </w:rPr>
        <w:t>The EAT has ruled that</w:t>
      </w:r>
      <w:r w:rsidR="00C17676">
        <w:rPr>
          <w:lang w:val="en-GB"/>
        </w:rPr>
        <w:t xml:space="preserve"> the</w:t>
      </w:r>
      <w:r w:rsidRPr="00CC174C">
        <w:rPr>
          <w:lang w:val="en-GB"/>
        </w:rPr>
        <w:t xml:space="preserve"> dismissal </w:t>
      </w:r>
      <w:r>
        <w:rPr>
          <w:lang w:val="en-GB"/>
        </w:rPr>
        <w:t xml:space="preserve">of an employee </w:t>
      </w:r>
      <w:r w:rsidRPr="00CC174C">
        <w:rPr>
          <w:lang w:val="en-GB"/>
        </w:rPr>
        <w:t xml:space="preserve">for non-work related tweets </w:t>
      </w:r>
      <w:r w:rsidR="00C17676">
        <w:rPr>
          <w:lang w:val="en-GB"/>
        </w:rPr>
        <w:t>wa</w:t>
      </w:r>
      <w:r w:rsidRPr="00CC174C">
        <w:rPr>
          <w:lang w:val="en-GB"/>
        </w:rPr>
        <w:t>s potentially fair</w:t>
      </w:r>
      <w:r>
        <w:rPr>
          <w:lang w:val="en-GB"/>
        </w:rPr>
        <w:t xml:space="preserve"> where the </w:t>
      </w:r>
      <w:r w:rsidRPr="00CC174C">
        <w:rPr>
          <w:lang w:val="en-GB"/>
        </w:rPr>
        <w:t>tweets could be seen by staff and customers</w:t>
      </w:r>
      <w:r>
        <w:rPr>
          <w:lang w:val="en-GB"/>
        </w:rPr>
        <w:t xml:space="preserve"> at 65 </w:t>
      </w:r>
      <w:r w:rsidR="00875A17">
        <w:rPr>
          <w:lang w:val="en-GB"/>
        </w:rPr>
        <w:t>stores</w:t>
      </w:r>
      <w:r w:rsidR="00C56999">
        <w:rPr>
          <w:lang w:val="en-GB"/>
        </w:rPr>
        <w:t>.</w:t>
      </w:r>
      <w:r>
        <w:rPr>
          <w:rStyle w:val="FootnoteReference"/>
          <w:lang w:val="en-GB"/>
        </w:rPr>
        <w:footnoteReference w:id="46"/>
      </w:r>
      <w:r>
        <w:rPr>
          <w:lang w:val="en-GB"/>
        </w:rPr>
        <w:t xml:space="preserve"> Conversely</w:t>
      </w:r>
      <w:r w:rsidR="00C32CE5">
        <w:rPr>
          <w:lang w:val="en-GB"/>
        </w:rPr>
        <w:t>, a</w:t>
      </w:r>
      <w:r w:rsidR="00166AC4">
        <w:rPr>
          <w:lang w:val="en-GB"/>
        </w:rPr>
        <w:t>n employer who demoted someone for posting comments disapproving of marriage</w:t>
      </w:r>
      <w:r w:rsidR="009A3995">
        <w:rPr>
          <w:lang w:val="en-GB"/>
        </w:rPr>
        <w:t xml:space="preserve"> of same</w:t>
      </w:r>
      <w:r w:rsidR="00C56999">
        <w:rPr>
          <w:lang w:val="en-GB"/>
        </w:rPr>
        <w:t>-</w:t>
      </w:r>
      <w:r w:rsidR="009A3995">
        <w:rPr>
          <w:lang w:val="en-GB"/>
        </w:rPr>
        <w:t>sex couples</w:t>
      </w:r>
      <w:r w:rsidR="00166AC4">
        <w:rPr>
          <w:lang w:val="en-GB"/>
        </w:rPr>
        <w:t xml:space="preserve"> on Facebook was found to have acted in breach of contract. The judge ruled that </w:t>
      </w:r>
      <w:r w:rsidR="00166AC4" w:rsidRPr="00166AC4">
        <w:rPr>
          <w:lang w:val="en-GB"/>
        </w:rPr>
        <w:t>while workplace rules can</w:t>
      </w:r>
      <w:r w:rsidR="00C32CE5">
        <w:rPr>
          <w:lang w:val="en-GB"/>
        </w:rPr>
        <w:t xml:space="preserve"> sometimes</w:t>
      </w:r>
      <w:r w:rsidR="00166AC4" w:rsidRPr="00166AC4">
        <w:rPr>
          <w:lang w:val="en-GB"/>
        </w:rPr>
        <w:t xml:space="preserve"> restrict the use of social media outside work, </w:t>
      </w:r>
      <w:r>
        <w:rPr>
          <w:lang w:val="en-GB"/>
        </w:rPr>
        <w:t xml:space="preserve">his </w:t>
      </w:r>
      <w:r w:rsidRPr="00CC174C">
        <w:rPr>
          <w:lang w:val="en-GB"/>
        </w:rPr>
        <w:t>Facebook wall was inherently non-work related</w:t>
      </w:r>
      <w:r>
        <w:rPr>
          <w:lang w:val="en-GB"/>
        </w:rPr>
        <w:t xml:space="preserve"> and the colleagues </w:t>
      </w:r>
      <w:r w:rsidR="00875A17">
        <w:rPr>
          <w:lang w:val="en-GB"/>
        </w:rPr>
        <w:t>able to access</w:t>
      </w:r>
      <w:r>
        <w:rPr>
          <w:lang w:val="en-GB"/>
        </w:rPr>
        <w:t xml:space="preserve"> it had chosen to become his </w:t>
      </w:r>
      <w:r w:rsidRPr="00CC174C">
        <w:rPr>
          <w:lang w:val="en-GB"/>
        </w:rPr>
        <w:t>Facebook</w:t>
      </w:r>
      <w:r>
        <w:rPr>
          <w:lang w:val="en-GB"/>
        </w:rPr>
        <w:t xml:space="preserve"> friend</w:t>
      </w:r>
      <w:r w:rsidR="00C17676">
        <w:rPr>
          <w:lang w:val="en-GB"/>
        </w:rPr>
        <w:t>s</w:t>
      </w:r>
      <w:r w:rsidR="00166AC4" w:rsidRPr="00166AC4">
        <w:rPr>
          <w:lang w:val="en-GB"/>
        </w:rPr>
        <w:t>.</w:t>
      </w:r>
      <w:r w:rsidR="00C32CE5">
        <w:rPr>
          <w:rStyle w:val="FootnoteReference"/>
          <w:lang w:val="en-GB"/>
        </w:rPr>
        <w:footnoteReference w:id="47"/>
      </w:r>
    </w:p>
    <w:p w:rsidR="00634D93" w:rsidRDefault="00634D93" w:rsidP="00491ADD">
      <w:pPr>
        <w:pStyle w:val="L3Headers"/>
        <w:rPr>
          <w:lang w:val="en-GB"/>
        </w:rPr>
      </w:pPr>
      <w:bookmarkStart w:id="34" w:name="_Toc410651256"/>
      <w:r>
        <w:rPr>
          <w:lang w:val="en-GB"/>
        </w:rPr>
        <w:t>Service providers</w:t>
      </w:r>
      <w:bookmarkEnd w:id="34"/>
    </w:p>
    <w:p w:rsidR="00F87879" w:rsidRDefault="009A3995" w:rsidP="00F87879">
      <w:pPr>
        <w:pStyle w:val="Parabase"/>
        <w:rPr>
          <w:lang w:val="en-GB"/>
        </w:rPr>
      </w:pPr>
      <w:r>
        <w:rPr>
          <w:lang w:val="en-GB"/>
        </w:rPr>
        <w:t xml:space="preserve">Under the Equality Act, harassment </w:t>
      </w:r>
      <w:r w:rsidR="009F5385">
        <w:rPr>
          <w:lang w:val="en-GB"/>
        </w:rPr>
        <w:t xml:space="preserve">in relation to service provision operates in a similar way to harassment in the workplace. </w:t>
      </w:r>
      <w:r w:rsidR="00F87879" w:rsidRPr="00CB4757">
        <w:t>Service</w:t>
      </w:r>
      <w:r w:rsidR="00F87879" w:rsidRPr="00B46CB7">
        <w:rPr>
          <w:lang w:val="en-GB"/>
        </w:rPr>
        <w:t xml:space="preserve"> providers include private, voluntary and public bodies, and include anyone who is concerned with the provision of services, goods or facilities to the public (or </w:t>
      </w:r>
      <w:r w:rsidR="003772A5">
        <w:rPr>
          <w:lang w:val="en-GB"/>
        </w:rPr>
        <w:t xml:space="preserve">to </w:t>
      </w:r>
      <w:r w:rsidR="00F87879" w:rsidRPr="00B46CB7">
        <w:rPr>
          <w:lang w:val="en-GB"/>
        </w:rPr>
        <w:t>a section of the public)</w:t>
      </w:r>
      <w:r w:rsidR="003D69E0">
        <w:rPr>
          <w:lang w:val="en-GB"/>
        </w:rPr>
        <w:t>,</w:t>
      </w:r>
      <w:r w:rsidR="00F87879" w:rsidRPr="00B46CB7">
        <w:rPr>
          <w:lang w:val="en-GB"/>
        </w:rPr>
        <w:t xml:space="preserve"> whether or not for payment. </w:t>
      </w:r>
    </w:p>
    <w:p w:rsidR="00F87879" w:rsidRPr="00B46CB7" w:rsidRDefault="000B48EC" w:rsidP="00491ADD">
      <w:pPr>
        <w:pStyle w:val="Parapre-bullets"/>
        <w:rPr>
          <w:lang w:val="en-GB"/>
        </w:rPr>
      </w:pPr>
      <w:r>
        <w:rPr>
          <w:lang w:val="en-GB"/>
        </w:rPr>
        <w:lastRenderedPageBreak/>
        <w:t xml:space="preserve">Harassment </w:t>
      </w:r>
      <w:r w:rsidR="003772A5">
        <w:rPr>
          <w:lang w:val="en-GB"/>
        </w:rPr>
        <w:t>occurs</w:t>
      </w:r>
      <w:r>
        <w:rPr>
          <w:lang w:val="en-GB"/>
        </w:rPr>
        <w:t xml:space="preserve"> when</w:t>
      </w:r>
      <w:r w:rsidR="00F87879" w:rsidRPr="00B46CB7">
        <w:rPr>
          <w:lang w:val="en-GB"/>
        </w:rPr>
        <w:t xml:space="preserve"> </w:t>
      </w:r>
      <w:r w:rsidR="003772A5">
        <w:rPr>
          <w:lang w:val="en-GB"/>
        </w:rPr>
        <w:t xml:space="preserve">a </w:t>
      </w:r>
      <w:r w:rsidR="00F87879" w:rsidRPr="00B46CB7">
        <w:rPr>
          <w:lang w:val="en-GB"/>
        </w:rPr>
        <w:t>service provider engages in unwanted conduct which is related to a relevant protected characteristic and which has the purpose or the effect of:</w:t>
      </w:r>
    </w:p>
    <w:p w:rsidR="00F87879" w:rsidRPr="002F66EC" w:rsidRDefault="00F87879" w:rsidP="00491ADD">
      <w:pPr>
        <w:pStyle w:val="Bulletsbase"/>
        <w:numPr>
          <w:ilvl w:val="0"/>
          <w:numId w:val="4"/>
        </w:numPr>
      </w:pPr>
      <w:r w:rsidRPr="002F66EC">
        <w:t>violating the service user’s dignity; or</w:t>
      </w:r>
    </w:p>
    <w:p w:rsidR="00F87879" w:rsidRPr="002F66EC" w:rsidRDefault="00F87879" w:rsidP="00491ADD">
      <w:pPr>
        <w:pStyle w:val="Bulletsgroup"/>
        <w:numPr>
          <w:ilvl w:val="0"/>
          <w:numId w:val="4"/>
        </w:numPr>
      </w:pPr>
      <w:r w:rsidRPr="002F66EC">
        <w:t>creating an intimidating, hostile, degrading, humiliating or offensive environment for the service user.</w:t>
      </w:r>
    </w:p>
    <w:p w:rsidR="00B478CA" w:rsidRDefault="003177A9" w:rsidP="00491ADD">
      <w:pPr>
        <w:pStyle w:val="Parasection"/>
        <w:rPr>
          <w:lang w:val="en-GB"/>
        </w:rPr>
      </w:pPr>
      <w:r>
        <w:rPr>
          <w:lang w:val="en-GB"/>
        </w:rPr>
        <w:t xml:space="preserve">This type of harassment is not a criminal offence but can </w:t>
      </w:r>
      <w:r w:rsidR="003772A5">
        <w:rPr>
          <w:lang w:val="en-GB"/>
        </w:rPr>
        <w:t>constitute the ground for</w:t>
      </w:r>
      <w:r>
        <w:rPr>
          <w:lang w:val="en-GB"/>
        </w:rPr>
        <w:t xml:space="preserve"> a claim in the civil courts.</w:t>
      </w:r>
      <w:r w:rsidR="009F5385">
        <w:rPr>
          <w:lang w:val="en-GB"/>
        </w:rPr>
        <w:t xml:space="preserve"> So </w:t>
      </w:r>
      <w:r w:rsidR="008023FC">
        <w:rPr>
          <w:lang w:val="en-GB"/>
        </w:rPr>
        <w:t xml:space="preserve">if </w:t>
      </w:r>
      <w:r w:rsidR="00860A86">
        <w:rPr>
          <w:lang w:val="en-GB"/>
        </w:rPr>
        <w:t>a security guard at a nightclub verbally abuses a customer</w:t>
      </w:r>
      <w:r w:rsidR="008023FC">
        <w:rPr>
          <w:lang w:val="en-GB"/>
        </w:rPr>
        <w:t xml:space="preserve"> in a way that meets the definition above</w:t>
      </w:r>
      <w:r w:rsidR="003772A5">
        <w:rPr>
          <w:lang w:val="en-GB"/>
        </w:rPr>
        <w:t xml:space="preserve">, this </w:t>
      </w:r>
      <w:r w:rsidR="008023FC">
        <w:rPr>
          <w:lang w:val="en-GB"/>
        </w:rPr>
        <w:t>would constitute unlawful harassment</w:t>
      </w:r>
      <w:r w:rsidR="003772A5">
        <w:rPr>
          <w:lang w:val="en-GB"/>
        </w:rPr>
        <w:t xml:space="preserve">. The </w:t>
      </w:r>
      <w:r w:rsidR="00C32CE5">
        <w:rPr>
          <w:lang w:val="en-GB"/>
        </w:rPr>
        <w:t xml:space="preserve">restriction on the </w:t>
      </w:r>
      <w:r w:rsidR="003772A5">
        <w:rPr>
          <w:lang w:val="en-GB"/>
        </w:rPr>
        <w:t>guard</w:t>
      </w:r>
      <w:r w:rsidR="00C32CE5">
        <w:rPr>
          <w:lang w:val="en-GB"/>
        </w:rPr>
        <w:t>’s freedom of expression, in this context, would be justified by reference to the need to protect the rights of customers</w:t>
      </w:r>
      <w:r w:rsidR="008023FC">
        <w:rPr>
          <w:lang w:val="en-GB"/>
        </w:rPr>
        <w:t xml:space="preserve">. </w:t>
      </w:r>
      <w:r w:rsidR="00C32CE5" w:rsidRPr="00C32CE5">
        <w:rPr>
          <w:lang w:val="en-GB"/>
        </w:rPr>
        <w:t xml:space="preserve">Note, however, that </w:t>
      </w:r>
      <w:r w:rsidR="00AD6BE5" w:rsidRPr="00A55B47">
        <w:rPr>
          <w:lang w:val="en-GB"/>
        </w:rPr>
        <w:t xml:space="preserve">there is a specific exemption for the content of television, radio and online broadcasting (including editorial decisions) which is designed to ensure that this provision does not have the effect of stifling free </w:t>
      </w:r>
      <w:r w:rsidR="009A3995">
        <w:rPr>
          <w:lang w:val="en-GB"/>
        </w:rPr>
        <w:t>expression</w:t>
      </w:r>
      <w:r w:rsidR="00C32CE5">
        <w:rPr>
          <w:lang w:val="en-GB"/>
        </w:rPr>
        <w:t>.</w:t>
      </w:r>
      <w:r w:rsidR="00AD6BE5" w:rsidRPr="00A55B47">
        <w:rPr>
          <w:rStyle w:val="FootnoteReference"/>
          <w:lang w:val="en-GB"/>
        </w:rPr>
        <w:footnoteReference w:id="48"/>
      </w:r>
    </w:p>
    <w:p w:rsidR="009E7E8B" w:rsidRDefault="00E65E4E">
      <w:pPr>
        <w:pStyle w:val="L3Headers"/>
        <w:rPr>
          <w:lang w:val="en-GB"/>
        </w:rPr>
      </w:pPr>
      <w:bookmarkStart w:id="35" w:name="_Toc410651257"/>
      <w:r>
        <w:rPr>
          <w:lang w:val="en-GB"/>
        </w:rPr>
        <w:t>Education</w:t>
      </w:r>
      <w:bookmarkEnd w:id="35"/>
    </w:p>
    <w:p w:rsidR="006A6BBC" w:rsidRDefault="00264623">
      <w:pPr>
        <w:pStyle w:val="Parabase"/>
        <w:rPr>
          <w:lang w:val="en-GB"/>
        </w:rPr>
      </w:pPr>
      <w:r>
        <w:rPr>
          <w:lang w:val="en-GB"/>
        </w:rPr>
        <w:t xml:space="preserve">There are specific </w:t>
      </w:r>
      <w:r w:rsidR="00B27341">
        <w:rPr>
          <w:lang w:val="en-GB"/>
        </w:rPr>
        <w:t>sensitivities</w:t>
      </w:r>
      <w:r w:rsidR="00287D2F">
        <w:rPr>
          <w:lang w:val="en-GB"/>
        </w:rPr>
        <w:t xml:space="preserve"> around </w:t>
      </w:r>
      <w:r>
        <w:rPr>
          <w:lang w:val="en-GB"/>
        </w:rPr>
        <w:t xml:space="preserve">what teachers can say in the classroom. </w:t>
      </w:r>
      <w:r w:rsidR="00545244">
        <w:rPr>
          <w:lang w:val="en-GB"/>
        </w:rPr>
        <w:t xml:space="preserve">It is impossible to provide a general rule, beyond those explained above, that draws a clear line between free </w:t>
      </w:r>
      <w:r w:rsidR="009A3995">
        <w:rPr>
          <w:lang w:val="en-GB"/>
        </w:rPr>
        <w:t xml:space="preserve">expression </w:t>
      </w:r>
      <w:r w:rsidR="00545244">
        <w:rPr>
          <w:lang w:val="en-GB"/>
        </w:rPr>
        <w:t xml:space="preserve">and unlawful discrimination. </w:t>
      </w:r>
    </w:p>
    <w:p w:rsidR="008D22FB" w:rsidRDefault="006A6BBC" w:rsidP="006C42BE">
      <w:pPr>
        <w:pStyle w:val="Parabase"/>
        <w:rPr>
          <w:lang w:val="en-GB"/>
        </w:rPr>
      </w:pPr>
      <w:r>
        <w:rPr>
          <w:lang w:val="en-GB"/>
        </w:rPr>
        <w:t>In relation to marriage</w:t>
      </w:r>
      <w:r w:rsidR="009A3995">
        <w:rPr>
          <w:lang w:val="en-GB"/>
        </w:rPr>
        <w:t xml:space="preserve"> of same</w:t>
      </w:r>
      <w:r w:rsidR="00C56999">
        <w:rPr>
          <w:lang w:val="en-GB"/>
        </w:rPr>
        <w:t>-</w:t>
      </w:r>
      <w:r w:rsidR="009A3995">
        <w:rPr>
          <w:lang w:val="en-GB"/>
        </w:rPr>
        <w:t>sex couples</w:t>
      </w:r>
      <w:r>
        <w:rPr>
          <w:lang w:val="en-GB"/>
        </w:rPr>
        <w:t>, there is a specific exemption to ensure that s</w:t>
      </w:r>
      <w:r w:rsidRPr="00287D2F">
        <w:rPr>
          <w:lang w:val="en-GB"/>
        </w:rPr>
        <w:t>chools with a religious character may continue to teach the position of their particular</w:t>
      </w:r>
      <w:r>
        <w:rPr>
          <w:lang w:val="en-GB"/>
        </w:rPr>
        <w:t xml:space="preserve"> </w:t>
      </w:r>
      <w:r w:rsidRPr="00287D2F">
        <w:rPr>
          <w:lang w:val="en-GB"/>
        </w:rPr>
        <w:t xml:space="preserve">faith </w:t>
      </w:r>
      <w:r>
        <w:rPr>
          <w:lang w:val="en-GB"/>
        </w:rPr>
        <w:t>in relation to</w:t>
      </w:r>
      <w:r w:rsidRPr="00287D2F">
        <w:rPr>
          <w:lang w:val="en-GB"/>
        </w:rPr>
        <w:t xml:space="preserve"> marriage and same</w:t>
      </w:r>
      <w:r w:rsidR="00C56999">
        <w:rPr>
          <w:lang w:val="en-GB"/>
        </w:rPr>
        <w:t>-</w:t>
      </w:r>
      <w:r w:rsidRPr="00287D2F">
        <w:rPr>
          <w:lang w:val="en-GB"/>
        </w:rPr>
        <w:t>sex relationships</w:t>
      </w:r>
      <w:r w:rsidR="006C42BE">
        <w:rPr>
          <w:lang w:val="en-GB"/>
        </w:rPr>
        <w:t xml:space="preserve">. However, schools must ensure that this teaching is </w:t>
      </w:r>
      <w:r w:rsidRPr="00287D2F">
        <w:rPr>
          <w:lang w:val="en-GB"/>
        </w:rPr>
        <w:t>done in an appropriate,</w:t>
      </w:r>
      <w:r>
        <w:rPr>
          <w:lang w:val="en-GB"/>
        </w:rPr>
        <w:t xml:space="preserve"> </w:t>
      </w:r>
      <w:r w:rsidRPr="00287D2F">
        <w:rPr>
          <w:lang w:val="en-GB"/>
        </w:rPr>
        <w:t>reasonable, professional and sensitive way</w:t>
      </w:r>
      <w:r>
        <w:rPr>
          <w:lang w:val="en-GB"/>
        </w:rPr>
        <w:t>.</w:t>
      </w:r>
      <w:r w:rsidR="006C42BE">
        <w:rPr>
          <w:lang w:val="en-GB"/>
        </w:rPr>
        <w:t xml:space="preserve"> If, for example, </w:t>
      </w:r>
      <w:r w:rsidR="00264623" w:rsidRPr="00264623">
        <w:rPr>
          <w:lang w:val="en-GB"/>
        </w:rPr>
        <w:t xml:space="preserve">a </w:t>
      </w:r>
      <w:r w:rsidR="00264623">
        <w:rPr>
          <w:lang w:val="en-GB"/>
        </w:rPr>
        <w:t xml:space="preserve">school </w:t>
      </w:r>
      <w:r w:rsidR="000B48EC">
        <w:rPr>
          <w:lang w:val="en-GB"/>
        </w:rPr>
        <w:t xml:space="preserve">with a religious character </w:t>
      </w:r>
      <w:r w:rsidR="006C42BE">
        <w:rPr>
          <w:lang w:val="en-GB"/>
        </w:rPr>
        <w:t xml:space="preserve">were to </w:t>
      </w:r>
      <w:r w:rsidR="00264623">
        <w:rPr>
          <w:lang w:val="en-GB"/>
        </w:rPr>
        <w:t>tell</w:t>
      </w:r>
      <w:r w:rsidR="006C42BE">
        <w:rPr>
          <w:lang w:val="en-GB"/>
        </w:rPr>
        <w:t xml:space="preserve"> its</w:t>
      </w:r>
      <w:r w:rsidR="00264623">
        <w:rPr>
          <w:lang w:val="en-GB"/>
        </w:rPr>
        <w:t xml:space="preserve"> pupils that </w:t>
      </w:r>
      <w:r w:rsidR="00C56999">
        <w:rPr>
          <w:lang w:val="en-GB"/>
        </w:rPr>
        <w:t>being gay or lesbian</w:t>
      </w:r>
      <w:r w:rsidR="00C56999" w:rsidRPr="00264623">
        <w:rPr>
          <w:lang w:val="en-GB"/>
        </w:rPr>
        <w:t xml:space="preserve"> </w:t>
      </w:r>
      <w:r w:rsidR="00264623" w:rsidRPr="00264623">
        <w:rPr>
          <w:lang w:val="en-GB"/>
        </w:rPr>
        <w:t>is ‘wrong’, and that gay and lesbian people will ‘burn in</w:t>
      </w:r>
      <w:r w:rsidR="00264623">
        <w:rPr>
          <w:lang w:val="en-GB"/>
        </w:rPr>
        <w:t xml:space="preserve"> </w:t>
      </w:r>
      <w:r w:rsidR="00264623" w:rsidRPr="00264623">
        <w:rPr>
          <w:lang w:val="en-GB"/>
        </w:rPr>
        <w:t>hell’ unless they are ‘cured of the</w:t>
      </w:r>
      <w:r w:rsidR="00264623">
        <w:rPr>
          <w:lang w:val="en-GB"/>
        </w:rPr>
        <w:t xml:space="preserve"> disease’, </w:t>
      </w:r>
      <w:r w:rsidR="006C42BE">
        <w:rPr>
          <w:lang w:val="en-GB"/>
        </w:rPr>
        <w:t xml:space="preserve">then this would likely constitute unlawful </w:t>
      </w:r>
      <w:r w:rsidR="00264623" w:rsidRPr="00264623">
        <w:rPr>
          <w:lang w:val="en-GB"/>
        </w:rPr>
        <w:t>discrimination on th</w:t>
      </w:r>
      <w:r w:rsidR="00264623">
        <w:rPr>
          <w:lang w:val="en-GB"/>
        </w:rPr>
        <w:t xml:space="preserve">e grounds of sexual orientation. </w:t>
      </w:r>
    </w:p>
    <w:p w:rsidR="00CB6459" w:rsidRDefault="00CB6459" w:rsidP="00491ADD">
      <w:pPr>
        <w:pStyle w:val="Parasection"/>
        <w:rPr>
          <w:lang w:val="en-GB"/>
        </w:rPr>
      </w:pPr>
      <w:r w:rsidRPr="00CB6459">
        <w:rPr>
          <w:lang w:val="en-GB"/>
        </w:rPr>
        <w:t>Universities</w:t>
      </w:r>
      <w:r w:rsidR="00BB5B33">
        <w:rPr>
          <w:lang w:val="en-GB"/>
        </w:rPr>
        <w:t xml:space="preserve"> and colleges</w:t>
      </w:r>
      <w:r w:rsidRPr="00CB6459">
        <w:rPr>
          <w:lang w:val="en-GB"/>
        </w:rPr>
        <w:t xml:space="preserve"> have obligations under education law</w:t>
      </w:r>
      <w:r w:rsidR="00BB5B33">
        <w:rPr>
          <w:rStyle w:val="FootnoteReference"/>
          <w:lang w:val="en-GB"/>
        </w:rPr>
        <w:footnoteReference w:id="49"/>
      </w:r>
      <w:r>
        <w:rPr>
          <w:rStyle w:val="EndnoteReference"/>
          <w:lang w:val="en-GB"/>
        </w:rPr>
        <w:t xml:space="preserve"> </w:t>
      </w:r>
      <w:r w:rsidRPr="00CB6459">
        <w:rPr>
          <w:lang w:val="en-GB"/>
        </w:rPr>
        <w:t xml:space="preserve">to protect and promote freedom of speech on their premises, as far as is reasonably practicable </w:t>
      </w:r>
      <w:r w:rsidRPr="00CB6459">
        <w:rPr>
          <w:lang w:val="en-GB"/>
        </w:rPr>
        <w:lastRenderedPageBreak/>
        <w:t>within the law</w:t>
      </w:r>
      <w:r w:rsidR="00F91577">
        <w:rPr>
          <w:lang w:val="en-GB"/>
        </w:rPr>
        <w:t>,</w:t>
      </w:r>
      <w:r>
        <w:rPr>
          <w:lang w:val="en-GB"/>
        </w:rPr>
        <w:t xml:space="preserve"> and are</w:t>
      </w:r>
      <w:r w:rsidR="0058328A">
        <w:rPr>
          <w:lang w:val="en-GB"/>
        </w:rPr>
        <w:t xml:space="preserve"> </w:t>
      </w:r>
      <w:r w:rsidR="0058328A" w:rsidRPr="0058328A">
        <w:rPr>
          <w:lang w:val="en-GB"/>
        </w:rPr>
        <w:t>institutions where</w:t>
      </w:r>
      <w:r w:rsidR="0058328A">
        <w:rPr>
          <w:lang w:val="en-GB"/>
        </w:rPr>
        <w:t xml:space="preserve"> openly debating challenging</w:t>
      </w:r>
      <w:r w:rsidR="0058328A" w:rsidRPr="0058328A">
        <w:rPr>
          <w:lang w:val="en-GB"/>
        </w:rPr>
        <w:t xml:space="preserve"> </w:t>
      </w:r>
      <w:r w:rsidR="0058328A">
        <w:rPr>
          <w:lang w:val="en-GB"/>
        </w:rPr>
        <w:t>ideas is</w:t>
      </w:r>
      <w:r w:rsidR="0058328A" w:rsidRPr="0058328A">
        <w:rPr>
          <w:lang w:val="en-GB"/>
        </w:rPr>
        <w:t xml:space="preserve"> expected</w:t>
      </w:r>
      <w:r w:rsidR="0058328A">
        <w:rPr>
          <w:lang w:val="en-GB"/>
        </w:rPr>
        <w:t>.</w:t>
      </w:r>
      <w:r w:rsidR="00497770">
        <w:rPr>
          <w:lang w:val="en-GB"/>
        </w:rPr>
        <w:t xml:space="preserve"> </w:t>
      </w:r>
      <w:r>
        <w:rPr>
          <w:lang w:val="en-GB"/>
        </w:rPr>
        <w:t xml:space="preserve">Thus the limitations on freedom of expression that </w:t>
      </w:r>
      <w:r w:rsidRPr="00CB6459">
        <w:rPr>
          <w:lang w:val="en-GB"/>
        </w:rPr>
        <w:t>universities</w:t>
      </w:r>
      <w:r>
        <w:rPr>
          <w:lang w:val="en-GB"/>
        </w:rPr>
        <w:t xml:space="preserve"> can lawfully impose will be less</w:t>
      </w:r>
      <w:r w:rsidRPr="00CB6459">
        <w:rPr>
          <w:lang w:val="en-GB"/>
        </w:rPr>
        <w:t xml:space="preserve"> </w:t>
      </w:r>
      <w:r>
        <w:rPr>
          <w:lang w:val="en-GB"/>
        </w:rPr>
        <w:t xml:space="preserve">than in the context of schools. </w:t>
      </w:r>
    </w:p>
    <w:p w:rsidR="009E7E8B" w:rsidRDefault="00E65E4E">
      <w:pPr>
        <w:pStyle w:val="L3Headers"/>
        <w:rPr>
          <w:lang w:val="en-GB"/>
        </w:rPr>
      </w:pPr>
      <w:bookmarkStart w:id="36" w:name="_Toc410651258"/>
      <w:r>
        <w:rPr>
          <w:lang w:val="en-GB"/>
        </w:rPr>
        <w:t>Electoral conduct</w:t>
      </w:r>
      <w:bookmarkEnd w:id="36"/>
      <w:r w:rsidR="00574051">
        <w:rPr>
          <w:lang w:val="en-GB"/>
        </w:rPr>
        <w:t xml:space="preserve"> </w:t>
      </w:r>
    </w:p>
    <w:p w:rsidR="006A6BBC" w:rsidRDefault="00AB2D18" w:rsidP="00AB2D18">
      <w:pPr>
        <w:pStyle w:val="Parabase"/>
        <w:rPr>
          <w:lang w:val="en-GB"/>
        </w:rPr>
      </w:pPr>
      <w:r>
        <w:rPr>
          <w:lang w:val="en-GB"/>
        </w:rPr>
        <w:t>The right to freedom of expression gives very strong protection to political speech</w:t>
      </w:r>
      <w:r w:rsidR="00D15628">
        <w:rPr>
          <w:lang w:val="en-GB"/>
        </w:rPr>
        <w:t xml:space="preserve"> and materials</w:t>
      </w:r>
      <w:r w:rsidR="003D69E0">
        <w:rPr>
          <w:lang w:val="en-GB"/>
        </w:rPr>
        <w:t>,</w:t>
      </w:r>
      <w:r w:rsidR="00D15628">
        <w:rPr>
          <w:lang w:val="en-GB"/>
        </w:rPr>
        <w:t xml:space="preserve"> provided that no criminal offence is committed. </w:t>
      </w:r>
      <w:r>
        <w:rPr>
          <w:lang w:val="en-GB"/>
        </w:rPr>
        <w:t>This is especially true in the context of elections. As t</w:t>
      </w:r>
      <w:r w:rsidRPr="004B4210">
        <w:rPr>
          <w:lang w:val="en-GB"/>
        </w:rPr>
        <w:t xml:space="preserve">he </w:t>
      </w:r>
      <w:proofErr w:type="spellStart"/>
      <w:r w:rsidRPr="004B4210">
        <w:rPr>
          <w:lang w:val="en-GB"/>
        </w:rPr>
        <w:t>E</w:t>
      </w:r>
      <w:r w:rsidR="00067818">
        <w:rPr>
          <w:lang w:val="en-GB"/>
        </w:rPr>
        <w:t>CtHR</w:t>
      </w:r>
      <w:proofErr w:type="spellEnd"/>
      <w:r w:rsidRPr="004B4210">
        <w:rPr>
          <w:lang w:val="en-GB"/>
        </w:rPr>
        <w:t xml:space="preserve"> </w:t>
      </w:r>
      <w:r>
        <w:rPr>
          <w:lang w:val="en-GB"/>
        </w:rPr>
        <w:t xml:space="preserve">has </w:t>
      </w:r>
      <w:r w:rsidRPr="004B4210">
        <w:rPr>
          <w:lang w:val="en-GB"/>
        </w:rPr>
        <w:t xml:space="preserve">stated: </w:t>
      </w:r>
      <w:r w:rsidR="00C56999">
        <w:rPr>
          <w:lang w:val="en-GB"/>
        </w:rPr>
        <w:t>‘</w:t>
      </w:r>
      <w:r w:rsidRPr="004B4210">
        <w:rPr>
          <w:lang w:val="en-GB"/>
        </w:rPr>
        <w:t>it is particularly important in the period preceding an election that opinion and information of all kinds are permitted to circulate freely</w:t>
      </w:r>
      <w:r w:rsidR="00C56999">
        <w:rPr>
          <w:lang w:val="en-GB"/>
        </w:rPr>
        <w:t>’.</w:t>
      </w:r>
      <w:r>
        <w:rPr>
          <w:rStyle w:val="FootnoteReference"/>
          <w:lang w:val="en-GB"/>
        </w:rPr>
        <w:footnoteReference w:id="50"/>
      </w:r>
    </w:p>
    <w:p w:rsidR="00AB2D18" w:rsidRDefault="00AB2D18" w:rsidP="00AB2D18">
      <w:pPr>
        <w:pStyle w:val="Parabase"/>
        <w:rPr>
          <w:lang w:val="en-GB"/>
        </w:rPr>
      </w:pPr>
      <w:r>
        <w:rPr>
          <w:lang w:val="en-GB"/>
        </w:rPr>
        <w:t>Accordingly, all who participate in the democratic process (</w:t>
      </w:r>
      <w:r w:rsidRPr="004B4210">
        <w:rPr>
          <w:lang w:val="en-GB"/>
        </w:rPr>
        <w:t>including those who criticise and challenge perce</w:t>
      </w:r>
      <w:r w:rsidRPr="00545244">
        <w:rPr>
          <w:lang w:val="en-GB"/>
        </w:rPr>
        <w:t>ived ‘discriminatory’ condu</w:t>
      </w:r>
      <w:r>
        <w:rPr>
          <w:lang w:val="en-GB"/>
        </w:rPr>
        <w:t xml:space="preserve">ct) are </w:t>
      </w:r>
      <w:r w:rsidRPr="004B4210">
        <w:rPr>
          <w:lang w:val="en-GB"/>
        </w:rPr>
        <w:t xml:space="preserve">given considerable leeway to express themselves, </w:t>
      </w:r>
      <w:r>
        <w:rPr>
          <w:lang w:val="en-GB"/>
        </w:rPr>
        <w:t xml:space="preserve">to </w:t>
      </w:r>
      <w:r w:rsidRPr="004B4210">
        <w:rPr>
          <w:lang w:val="en-GB"/>
        </w:rPr>
        <w:t>contribute to debat</w:t>
      </w:r>
      <w:r w:rsidRPr="00545244">
        <w:rPr>
          <w:lang w:val="en-GB"/>
        </w:rPr>
        <w:t xml:space="preserve">es and </w:t>
      </w:r>
      <w:r>
        <w:rPr>
          <w:lang w:val="en-GB"/>
        </w:rPr>
        <w:t>to make criticisms,</w:t>
      </w:r>
      <w:r w:rsidRPr="00545244">
        <w:rPr>
          <w:lang w:val="en-GB"/>
        </w:rPr>
        <w:t xml:space="preserve"> even if </w:t>
      </w:r>
      <w:r>
        <w:rPr>
          <w:lang w:val="en-GB"/>
        </w:rPr>
        <w:t>the views expressed are</w:t>
      </w:r>
      <w:r w:rsidRPr="004B4210">
        <w:rPr>
          <w:lang w:val="en-GB"/>
        </w:rPr>
        <w:t xml:space="preserve"> provocative, shocking, disturbing or offensive</w:t>
      </w:r>
      <w:r w:rsidR="000E25D1">
        <w:rPr>
          <w:lang w:val="en-GB"/>
        </w:rPr>
        <w:t xml:space="preserve"> to some people</w:t>
      </w:r>
      <w:r w:rsidRPr="004B4210">
        <w:rPr>
          <w:lang w:val="en-GB"/>
        </w:rPr>
        <w:t xml:space="preserve">. </w:t>
      </w:r>
    </w:p>
    <w:p w:rsidR="008D22FB" w:rsidRDefault="00AB2D18">
      <w:pPr>
        <w:pStyle w:val="Parabase"/>
        <w:rPr>
          <w:lang w:val="en-GB"/>
        </w:rPr>
      </w:pPr>
      <w:r>
        <w:rPr>
          <w:lang w:val="en-GB"/>
        </w:rPr>
        <w:t xml:space="preserve">In recent </w:t>
      </w:r>
      <w:r w:rsidR="0071490E">
        <w:rPr>
          <w:lang w:val="en-GB"/>
        </w:rPr>
        <w:t>election campaigns</w:t>
      </w:r>
      <w:r>
        <w:rPr>
          <w:lang w:val="en-GB"/>
        </w:rPr>
        <w:t>,</w:t>
      </w:r>
      <w:r w:rsidR="0071490E">
        <w:rPr>
          <w:lang w:val="en-GB"/>
        </w:rPr>
        <w:t xml:space="preserve"> </w:t>
      </w:r>
      <w:r>
        <w:rPr>
          <w:lang w:val="en-GB"/>
        </w:rPr>
        <w:t>a number of incidents have been reported of intolerant</w:t>
      </w:r>
      <w:r w:rsidR="0071490E">
        <w:rPr>
          <w:lang w:val="en-GB"/>
        </w:rPr>
        <w:t xml:space="preserve"> and discriminatory behaviour, </w:t>
      </w:r>
      <w:r>
        <w:rPr>
          <w:lang w:val="en-GB"/>
        </w:rPr>
        <w:t>particularly</w:t>
      </w:r>
      <w:r w:rsidR="0071490E">
        <w:rPr>
          <w:lang w:val="en-GB"/>
        </w:rPr>
        <w:t xml:space="preserve"> </w:t>
      </w:r>
      <w:r w:rsidR="00D117F5">
        <w:rPr>
          <w:lang w:val="en-GB"/>
        </w:rPr>
        <w:t xml:space="preserve">in relation to </w:t>
      </w:r>
      <w:r w:rsidR="0071490E">
        <w:rPr>
          <w:lang w:val="en-GB"/>
        </w:rPr>
        <w:t xml:space="preserve">racist </w:t>
      </w:r>
      <w:r w:rsidR="00C67451">
        <w:rPr>
          <w:lang w:val="en-GB"/>
        </w:rPr>
        <w:t>election material.</w:t>
      </w:r>
      <w:r w:rsidR="00246404">
        <w:rPr>
          <w:rStyle w:val="FootnoteReference"/>
          <w:lang w:val="en-GB"/>
        </w:rPr>
        <w:footnoteReference w:id="51"/>
      </w:r>
      <w:r w:rsidR="00C67451">
        <w:rPr>
          <w:lang w:val="en-GB"/>
        </w:rPr>
        <w:t xml:space="preserve"> </w:t>
      </w:r>
      <w:r w:rsidR="00AD6BE5" w:rsidRPr="00A55B47">
        <w:rPr>
          <w:lang w:val="en-GB"/>
        </w:rPr>
        <w:t>Such material may not fall foul of electoral law, nor meet the threshold for incitement to racial hatred</w:t>
      </w:r>
      <w:r w:rsidR="00865778">
        <w:rPr>
          <w:lang w:val="en-GB"/>
        </w:rPr>
        <w:t>.</w:t>
      </w:r>
      <w:r w:rsidR="00C67451">
        <w:rPr>
          <w:lang w:val="en-GB"/>
        </w:rPr>
        <w:t xml:space="preserve"> </w:t>
      </w:r>
      <w:r w:rsidR="00865778">
        <w:rPr>
          <w:lang w:val="en-GB"/>
        </w:rPr>
        <w:t>Nevertheless, l</w:t>
      </w:r>
      <w:r w:rsidR="00C67451">
        <w:rPr>
          <w:lang w:val="en-GB"/>
        </w:rPr>
        <w:t xml:space="preserve">ocal </w:t>
      </w:r>
      <w:r w:rsidR="00213A2A">
        <w:rPr>
          <w:lang w:val="en-GB"/>
        </w:rPr>
        <w:t>authorities</w:t>
      </w:r>
      <w:r w:rsidR="00C67451">
        <w:rPr>
          <w:lang w:val="en-GB"/>
        </w:rPr>
        <w:t xml:space="preserve"> can counter misleading information given by political parties and may seek to do so </w:t>
      </w:r>
      <w:r w:rsidR="003D69E0">
        <w:rPr>
          <w:lang w:val="en-GB"/>
        </w:rPr>
        <w:t xml:space="preserve">in order </w:t>
      </w:r>
      <w:r w:rsidR="00C67451">
        <w:rPr>
          <w:lang w:val="en-GB"/>
        </w:rPr>
        <w:t>to comply with their duties under the PSED by publishing objective and factual information.</w:t>
      </w:r>
      <w:r w:rsidR="00497770">
        <w:rPr>
          <w:lang w:val="en-GB"/>
        </w:rPr>
        <w:t xml:space="preserve"> </w:t>
      </w:r>
      <w:r w:rsidR="004B4210" w:rsidRPr="004B4210">
        <w:rPr>
          <w:lang w:val="en-GB"/>
        </w:rPr>
        <w:t xml:space="preserve">Political parties, as associations and employers, have duties under the Equality Act 2010 not to discriminate against their members </w:t>
      </w:r>
      <w:r w:rsidR="00D15628">
        <w:rPr>
          <w:lang w:val="en-GB"/>
        </w:rPr>
        <w:t xml:space="preserve">or prospective members </w:t>
      </w:r>
      <w:r w:rsidR="004B4210" w:rsidRPr="004B4210">
        <w:rPr>
          <w:lang w:val="en-GB"/>
        </w:rPr>
        <w:t>and employees.</w:t>
      </w:r>
      <w:r w:rsidR="00497770">
        <w:rPr>
          <w:lang w:val="en-GB"/>
        </w:rPr>
        <w:t xml:space="preserve"> </w:t>
      </w:r>
    </w:p>
    <w:p w:rsidR="008D22FB" w:rsidRDefault="004B4210">
      <w:pPr>
        <w:pStyle w:val="Parabase"/>
        <w:rPr>
          <w:lang w:val="en-GB"/>
        </w:rPr>
      </w:pPr>
      <w:r w:rsidRPr="004B4210">
        <w:rPr>
          <w:lang w:val="en-GB"/>
        </w:rPr>
        <w:t xml:space="preserve">Spoken or written comments about candidates seeking elected office by other candidates or third parties during the course of a democratic election fall outside the scope of the Equality Act 2010. Such comments might in certain instances be perceived as </w:t>
      </w:r>
      <w:r w:rsidR="000B48EC">
        <w:rPr>
          <w:lang w:val="en-GB"/>
        </w:rPr>
        <w:t>prejudiced</w:t>
      </w:r>
      <w:r w:rsidRPr="004B4210">
        <w:rPr>
          <w:lang w:val="en-GB"/>
        </w:rPr>
        <w:t xml:space="preserve"> and/or risk undermining community relations, but they do not generally give rise to </w:t>
      </w:r>
      <w:r w:rsidR="00DD31E1">
        <w:rPr>
          <w:lang w:val="en-GB"/>
        </w:rPr>
        <w:t xml:space="preserve">breaches of </w:t>
      </w:r>
      <w:r w:rsidRPr="004B4210">
        <w:rPr>
          <w:lang w:val="en-GB"/>
        </w:rPr>
        <w:t xml:space="preserve">equality law. </w:t>
      </w:r>
    </w:p>
    <w:p w:rsidR="00B478CA" w:rsidRDefault="004B4210" w:rsidP="00A55B47">
      <w:pPr>
        <w:pStyle w:val="Parabase"/>
      </w:pPr>
      <w:r w:rsidRPr="004B4210">
        <w:rPr>
          <w:lang w:val="en-GB"/>
        </w:rPr>
        <w:t xml:space="preserve">The </w:t>
      </w:r>
      <w:r w:rsidR="00574051">
        <w:rPr>
          <w:lang w:val="en-GB"/>
        </w:rPr>
        <w:t>PSED</w:t>
      </w:r>
      <w:r w:rsidRPr="004B4210">
        <w:rPr>
          <w:lang w:val="en-GB"/>
        </w:rPr>
        <w:t xml:space="preserve"> </w:t>
      </w:r>
      <w:r w:rsidR="00545244" w:rsidRPr="0025287E">
        <w:rPr>
          <w:lang w:val="en-GB"/>
        </w:rPr>
        <w:t>does not apply to political parties, candidates or campaigning organisations</w:t>
      </w:r>
      <w:r w:rsidR="00CD251B">
        <w:rPr>
          <w:lang w:val="en-GB"/>
        </w:rPr>
        <w:t>.</w:t>
      </w:r>
      <w:r w:rsidR="00497770">
        <w:rPr>
          <w:lang w:val="en-GB"/>
        </w:rPr>
        <w:t xml:space="preserve"> </w:t>
      </w:r>
      <w:r w:rsidR="00CD251B">
        <w:rPr>
          <w:lang w:val="en-GB"/>
        </w:rPr>
        <w:t xml:space="preserve">This means they are under no obligation </w:t>
      </w:r>
      <w:r w:rsidR="00CD251B" w:rsidRPr="004B4210">
        <w:rPr>
          <w:lang w:val="en-GB"/>
        </w:rPr>
        <w:t xml:space="preserve">to </w:t>
      </w:r>
      <w:r w:rsidR="00CD251B">
        <w:rPr>
          <w:lang w:val="en-GB"/>
        </w:rPr>
        <w:t>have</w:t>
      </w:r>
      <w:r w:rsidR="00CD251B" w:rsidRPr="004B4210">
        <w:rPr>
          <w:lang w:val="en-GB"/>
        </w:rPr>
        <w:t xml:space="preserve"> ‘due regard’ to </w:t>
      </w:r>
      <w:r w:rsidR="00D15628">
        <w:rPr>
          <w:lang w:val="en-GB"/>
        </w:rPr>
        <w:t xml:space="preserve">the duty to </w:t>
      </w:r>
      <w:r w:rsidR="00CD251B" w:rsidRPr="004B4210">
        <w:rPr>
          <w:lang w:val="en-GB"/>
        </w:rPr>
        <w:t>foster</w:t>
      </w:r>
      <w:r w:rsidR="00C17676">
        <w:rPr>
          <w:lang w:val="en-GB"/>
        </w:rPr>
        <w:t xml:space="preserve"> </w:t>
      </w:r>
      <w:r w:rsidR="00CD251B" w:rsidRPr="004B4210">
        <w:rPr>
          <w:lang w:val="en-GB"/>
        </w:rPr>
        <w:t>good relations</w:t>
      </w:r>
      <w:r w:rsidR="00CD251B">
        <w:rPr>
          <w:lang w:val="en-GB"/>
        </w:rPr>
        <w:t>.</w:t>
      </w:r>
      <w:r w:rsidR="00497770">
        <w:rPr>
          <w:lang w:val="en-GB"/>
        </w:rPr>
        <w:t xml:space="preserve"> </w:t>
      </w:r>
      <w:r w:rsidR="00CD251B">
        <w:rPr>
          <w:lang w:val="en-GB"/>
        </w:rPr>
        <w:t>However, the duty</w:t>
      </w:r>
      <w:r w:rsidR="00545244" w:rsidRPr="0025287E">
        <w:rPr>
          <w:lang w:val="en-GB"/>
        </w:rPr>
        <w:t xml:space="preserve"> does apply to public authorities</w:t>
      </w:r>
      <w:r w:rsidR="00545244">
        <w:rPr>
          <w:lang w:val="en-GB"/>
        </w:rPr>
        <w:t xml:space="preserve"> involved in the conduct of elections</w:t>
      </w:r>
      <w:r w:rsidR="00FF0CB3">
        <w:rPr>
          <w:lang w:val="en-GB"/>
        </w:rPr>
        <w:t>,</w:t>
      </w:r>
      <w:r w:rsidR="00D117F5">
        <w:rPr>
          <w:lang w:val="en-GB"/>
        </w:rPr>
        <w:t xml:space="preserve"> </w:t>
      </w:r>
      <w:r w:rsidR="00FF0CB3">
        <w:rPr>
          <w:lang w:val="en-GB"/>
        </w:rPr>
        <w:t>including both</w:t>
      </w:r>
      <w:r w:rsidR="00545244">
        <w:rPr>
          <w:lang w:val="en-GB"/>
        </w:rPr>
        <w:t xml:space="preserve"> local authorities and the Electoral </w:t>
      </w:r>
      <w:r w:rsidR="00545244">
        <w:rPr>
          <w:lang w:val="en-GB"/>
        </w:rPr>
        <w:lastRenderedPageBreak/>
        <w:t xml:space="preserve">Commission. Where </w:t>
      </w:r>
      <w:r w:rsidR="00CD251B">
        <w:rPr>
          <w:lang w:val="en-GB"/>
        </w:rPr>
        <w:t>the PSED</w:t>
      </w:r>
      <w:r w:rsidR="00545244">
        <w:rPr>
          <w:lang w:val="en-GB"/>
        </w:rPr>
        <w:t xml:space="preserve"> applies, it </w:t>
      </w:r>
      <w:r w:rsidR="00CD251B">
        <w:rPr>
          <w:lang w:val="en-GB"/>
        </w:rPr>
        <w:t>requires rigorous consideration</w:t>
      </w:r>
      <w:r w:rsidRPr="004B4210">
        <w:rPr>
          <w:lang w:val="en-GB"/>
        </w:rPr>
        <w:t xml:space="preserve"> in advance of decision-making or policy-formulation, but it does not prescribe partic</w:t>
      </w:r>
      <w:r w:rsidR="00B27341" w:rsidRPr="00545244">
        <w:rPr>
          <w:lang w:val="en-GB"/>
        </w:rPr>
        <w:t xml:space="preserve">ular outcomes. </w:t>
      </w:r>
    </w:p>
    <w:p w:rsidR="008D22FB" w:rsidRDefault="004B4210" w:rsidP="00F949CD">
      <w:pPr>
        <w:pStyle w:val="Parasection"/>
        <w:rPr>
          <w:lang w:val="en-GB"/>
        </w:rPr>
      </w:pPr>
      <w:r w:rsidRPr="004B4210">
        <w:rPr>
          <w:lang w:val="en-GB"/>
        </w:rPr>
        <w:t xml:space="preserve">The boundary between legitimate free speech and </w:t>
      </w:r>
      <w:r w:rsidR="00CD251B">
        <w:rPr>
          <w:lang w:val="en-GB"/>
        </w:rPr>
        <w:t>the transgression of</w:t>
      </w:r>
      <w:r w:rsidRPr="004B4210">
        <w:rPr>
          <w:lang w:val="en-GB"/>
        </w:rPr>
        <w:t xml:space="preserve"> acceptable limits during the course of an election is not always clear-cut. In the final analysis only the courts can determine </w:t>
      </w:r>
      <w:r w:rsidR="00CD251B">
        <w:rPr>
          <w:lang w:val="en-GB"/>
        </w:rPr>
        <w:t>whether</w:t>
      </w:r>
      <w:r w:rsidRPr="004B4210">
        <w:rPr>
          <w:lang w:val="en-GB"/>
        </w:rPr>
        <w:t xml:space="preserve"> the right to free expression has been violated. </w:t>
      </w:r>
    </w:p>
    <w:p w:rsidR="008D22FB" w:rsidRDefault="004B4210" w:rsidP="00F949CD">
      <w:pPr>
        <w:pStyle w:val="L3Headers"/>
        <w:rPr>
          <w:lang w:val="en-GB"/>
        </w:rPr>
      </w:pPr>
      <w:bookmarkStart w:id="37" w:name="_Toc410651259"/>
      <w:r w:rsidRPr="00F949CD">
        <w:t>Electoral</w:t>
      </w:r>
      <w:r w:rsidRPr="004B4210">
        <w:rPr>
          <w:lang w:val="en-GB"/>
        </w:rPr>
        <w:t xml:space="preserve"> law</w:t>
      </w:r>
      <w:bookmarkEnd w:id="37"/>
      <w:r w:rsidRPr="004B4210">
        <w:rPr>
          <w:lang w:val="en-GB"/>
        </w:rPr>
        <w:t xml:space="preserve"> </w:t>
      </w:r>
    </w:p>
    <w:p w:rsidR="008D22FB" w:rsidRDefault="00CD251B">
      <w:pPr>
        <w:pStyle w:val="Parabase"/>
        <w:rPr>
          <w:lang w:val="en-GB"/>
        </w:rPr>
      </w:pPr>
      <w:r>
        <w:rPr>
          <w:lang w:val="en-GB"/>
        </w:rPr>
        <w:t xml:space="preserve">The Electoral Commission </w:t>
      </w:r>
      <w:r w:rsidR="004B4210" w:rsidRPr="004B4210">
        <w:rPr>
          <w:lang w:val="en-GB"/>
        </w:rPr>
        <w:t>regulate</w:t>
      </w:r>
      <w:r w:rsidR="00017566">
        <w:rPr>
          <w:lang w:val="en-GB"/>
        </w:rPr>
        <w:t>s</w:t>
      </w:r>
      <w:r w:rsidR="004B4210" w:rsidRPr="004B4210">
        <w:rPr>
          <w:lang w:val="en-GB"/>
        </w:rPr>
        <w:t xml:space="preserve"> and enforce</w:t>
      </w:r>
      <w:r w:rsidR="00017566">
        <w:rPr>
          <w:lang w:val="en-GB"/>
        </w:rPr>
        <w:t>s</w:t>
      </w:r>
      <w:r w:rsidR="004B4210" w:rsidRPr="004B4210">
        <w:rPr>
          <w:lang w:val="en-GB"/>
        </w:rPr>
        <w:t xml:space="preserve"> the rules concerning democratic elections in the UK. </w:t>
      </w:r>
    </w:p>
    <w:p w:rsidR="008D22FB" w:rsidRDefault="00017566">
      <w:pPr>
        <w:pStyle w:val="Parabase"/>
        <w:rPr>
          <w:lang w:val="en-GB"/>
        </w:rPr>
      </w:pPr>
      <w:r>
        <w:rPr>
          <w:lang w:val="en-GB"/>
        </w:rPr>
        <w:t>It</w:t>
      </w:r>
      <w:r w:rsidR="004B4210" w:rsidRPr="004B4210">
        <w:rPr>
          <w:lang w:val="en-GB"/>
        </w:rPr>
        <w:t xml:space="preserve"> has criticised the current legal and regulatory electoral regime</w:t>
      </w:r>
      <w:r>
        <w:rPr>
          <w:lang w:val="en-GB"/>
        </w:rPr>
        <w:t xml:space="preserve"> as</w:t>
      </w:r>
      <w:r w:rsidR="00C56999">
        <w:rPr>
          <w:lang w:val="en-GB"/>
        </w:rPr>
        <w:t>:</w:t>
      </w:r>
      <w:r w:rsidR="004B4210" w:rsidRPr="004B4210">
        <w:rPr>
          <w:lang w:val="en-GB"/>
        </w:rPr>
        <w:t xml:space="preserve"> </w:t>
      </w:r>
      <w:r w:rsidR="00C56999">
        <w:rPr>
          <w:lang w:val="en-GB"/>
        </w:rPr>
        <w:t>‘</w:t>
      </w:r>
      <w:r w:rsidR="004B4210" w:rsidRPr="004B4210">
        <w:rPr>
          <w:lang w:val="en-GB"/>
        </w:rPr>
        <w:t>fragmented, inconsistent and not up to date...</w:t>
      </w:r>
      <w:r w:rsidR="003D69E0">
        <w:rPr>
          <w:lang w:val="en-GB"/>
        </w:rPr>
        <w:t xml:space="preserve"> </w:t>
      </w:r>
      <w:r w:rsidR="004B4210" w:rsidRPr="004B4210">
        <w:rPr>
          <w:lang w:val="en-GB"/>
        </w:rPr>
        <w:t>accountability is fragmented and in many cases no one is able to intervene to ensure these standards are met</w:t>
      </w:r>
      <w:r w:rsidR="00C56999">
        <w:rPr>
          <w:lang w:val="en-GB"/>
        </w:rPr>
        <w:t>’</w:t>
      </w:r>
      <w:r w:rsidR="004B4210" w:rsidRPr="004B4210">
        <w:rPr>
          <w:lang w:val="en-GB"/>
        </w:rPr>
        <w:t>.</w:t>
      </w:r>
      <w:r w:rsidR="00C715D5">
        <w:rPr>
          <w:rStyle w:val="FootnoteReference"/>
          <w:lang w:val="en-GB"/>
        </w:rPr>
        <w:footnoteReference w:id="52"/>
      </w:r>
      <w:r w:rsidR="004B4210" w:rsidRPr="004B4210">
        <w:rPr>
          <w:lang w:val="en-GB"/>
        </w:rPr>
        <w:t xml:space="preserve"> The Law Commission </w:t>
      </w:r>
      <w:r w:rsidR="00574051">
        <w:rPr>
          <w:lang w:val="en-GB"/>
        </w:rPr>
        <w:t>is</w:t>
      </w:r>
      <w:r w:rsidR="00574051" w:rsidRPr="004B4210">
        <w:rPr>
          <w:lang w:val="en-GB"/>
        </w:rPr>
        <w:t xml:space="preserve"> </w:t>
      </w:r>
      <w:r w:rsidR="004B4210" w:rsidRPr="004B4210">
        <w:rPr>
          <w:lang w:val="en-GB"/>
        </w:rPr>
        <w:t xml:space="preserve">currently working on proposals to reform UK electoral law. </w:t>
      </w:r>
    </w:p>
    <w:p w:rsidR="008D22FB" w:rsidRDefault="004B4210">
      <w:pPr>
        <w:pStyle w:val="Parabase"/>
        <w:rPr>
          <w:lang w:val="en-GB"/>
        </w:rPr>
      </w:pPr>
      <w:r w:rsidRPr="004B4210">
        <w:rPr>
          <w:lang w:val="en-GB"/>
        </w:rPr>
        <w:t>Section 106 of the Representation of the People Act 1983 makes it illegal to make false or misleading statements about the personal character or conduct of an election candidate during an election period</w:t>
      </w:r>
      <w:r w:rsidR="00336CC1">
        <w:rPr>
          <w:lang w:val="en-GB"/>
        </w:rPr>
        <w:t>.</w:t>
      </w:r>
      <w:r w:rsidR="00497770">
        <w:rPr>
          <w:lang w:val="en-GB"/>
        </w:rPr>
        <w:t xml:space="preserve"> </w:t>
      </w:r>
      <w:r w:rsidR="00336CC1">
        <w:rPr>
          <w:lang w:val="en-GB"/>
        </w:rPr>
        <w:t>The Election Court upheld a complaint</w:t>
      </w:r>
      <w:r w:rsidRPr="004B4210">
        <w:rPr>
          <w:lang w:val="en-GB"/>
        </w:rPr>
        <w:t xml:space="preserve"> by the unsuccessful Liberal Democrat candidate about the conduct of the Labour MP Phil </w:t>
      </w:r>
      <w:proofErr w:type="spellStart"/>
      <w:r w:rsidRPr="004B4210">
        <w:rPr>
          <w:lang w:val="en-GB"/>
        </w:rPr>
        <w:t>Woolas</w:t>
      </w:r>
      <w:proofErr w:type="spellEnd"/>
      <w:r w:rsidRPr="004B4210">
        <w:rPr>
          <w:lang w:val="en-GB"/>
        </w:rPr>
        <w:t xml:space="preserve"> during the 2010 General Election</w:t>
      </w:r>
      <w:r w:rsidR="00336CC1">
        <w:rPr>
          <w:lang w:val="en-GB"/>
        </w:rPr>
        <w:t xml:space="preserve">, as a </w:t>
      </w:r>
      <w:r w:rsidR="00C17676">
        <w:rPr>
          <w:lang w:val="en-GB"/>
        </w:rPr>
        <w:t>consequence</w:t>
      </w:r>
      <w:r w:rsidR="00336CC1">
        <w:rPr>
          <w:lang w:val="en-GB"/>
        </w:rPr>
        <w:t xml:space="preserve"> of which</w:t>
      </w:r>
      <w:r w:rsidR="00C17676">
        <w:rPr>
          <w:lang w:val="en-GB"/>
        </w:rPr>
        <w:t xml:space="preserve"> </w:t>
      </w:r>
      <w:r w:rsidRPr="004B4210">
        <w:rPr>
          <w:lang w:val="en-GB"/>
        </w:rPr>
        <w:t xml:space="preserve">Mr </w:t>
      </w:r>
      <w:proofErr w:type="spellStart"/>
      <w:r w:rsidRPr="004B4210">
        <w:rPr>
          <w:lang w:val="en-GB"/>
        </w:rPr>
        <w:t>Woolas</w:t>
      </w:r>
      <w:proofErr w:type="spellEnd"/>
      <w:r w:rsidRPr="004B4210">
        <w:rPr>
          <w:lang w:val="en-GB"/>
        </w:rPr>
        <w:t xml:space="preserve"> was required to vacate his seat, resulting in a by-election</w:t>
      </w:r>
      <w:r w:rsidR="003A51DA">
        <w:rPr>
          <w:lang w:val="en-GB"/>
        </w:rPr>
        <w:t>.</w:t>
      </w:r>
      <w:r w:rsidR="00497770">
        <w:rPr>
          <w:lang w:val="en-GB"/>
        </w:rPr>
        <w:t xml:space="preserve"> </w:t>
      </w:r>
      <w:r w:rsidRPr="004B4210">
        <w:rPr>
          <w:lang w:val="en-GB"/>
        </w:rPr>
        <w:t xml:space="preserve">Mr </w:t>
      </w:r>
      <w:proofErr w:type="spellStart"/>
      <w:r w:rsidRPr="004B4210">
        <w:rPr>
          <w:lang w:val="en-GB"/>
        </w:rPr>
        <w:t>Woolas</w:t>
      </w:r>
      <w:proofErr w:type="spellEnd"/>
      <w:r w:rsidRPr="004B4210">
        <w:rPr>
          <w:lang w:val="en-GB"/>
        </w:rPr>
        <w:t xml:space="preserve"> appealed unsuccessfully against this verdict</w:t>
      </w:r>
      <w:r w:rsidR="00C56999">
        <w:rPr>
          <w:lang w:val="en-GB"/>
        </w:rPr>
        <w:t>.</w:t>
      </w:r>
      <w:r w:rsidR="00545244">
        <w:rPr>
          <w:rStyle w:val="FootnoteReference"/>
          <w:lang w:val="en-GB"/>
        </w:rPr>
        <w:footnoteReference w:id="53"/>
      </w:r>
      <w:r w:rsidRPr="004B4210">
        <w:rPr>
          <w:lang w:val="en-GB"/>
        </w:rPr>
        <w:t xml:space="preserve"> The High Court held that the restriction on the right to freedom of expression</w:t>
      </w:r>
      <w:r w:rsidR="003A51DA">
        <w:rPr>
          <w:lang w:val="en-GB"/>
        </w:rPr>
        <w:t xml:space="preserve"> was</w:t>
      </w:r>
      <w:r w:rsidRPr="004B4210">
        <w:rPr>
          <w:lang w:val="en-GB"/>
        </w:rPr>
        <w:t xml:space="preserve"> in this case permissible because false statements undermined free and fair elections. </w:t>
      </w:r>
    </w:p>
    <w:p w:rsidR="00B94D41" w:rsidRDefault="00B0015C" w:rsidP="00491ADD">
      <w:pPr>
        <w:pStyle w:val="Parasection"/>
        <w:rPr>
          <w:lang w:val="en-GB"/>
        </w:rPr>
      </w:pPr>
      <w:r>
        <w:rPr>
          <w:lang w:val="en-GB"/>
        </w:rPr>
        <w:t xml:space="preserve">At first glance, the </w:t>
      </w:r>
      <w:r w:rsidR="00294CDF">
        <w:rPr>
          <w:lang w:val="en-GB"/>
        </w:rPr>
        <w:t xml:space="preserve">section 106 </w:t>
      </w:r>
      <w:r>
        <w:rPr>
          <w:lang w:val="en-GB"/>
        </w:rPr>
        <w:t xml:space="preserve">offence would not apply to </w:t>
      </w:r>
      <w:r w:rsidR="00B94D41">
        <w:rPr>
          <w:lang w:val="en-GB"/>
        </w:rPr>
        <w:t xml:space="preserve">many kinds of </w:t>
      </w:r>
      <w:r>
        <w:rPr>
          <w:lang w:val="en-GB"/>
        </w:rPr>
        <w:t xml:space="preserve">hate speech </w:t>
      </w:r>
      <w:r w:rsidR="00B94D41">
        <w:rPr>
          <w:lang w:val="en-GB"/>
        </w:rPr>
        <w:t xml:space="preserve">since </w:t>
      </w:r>
      <w:r>
        <w:rPr>
          <w:lang w:val="en-GB"/>
        </w:rPr>
        <w:t xml:space="preserve">it only prohibits false or misleading statements about a candidate’s </w:t>
      </w:r>
      <w:r w:rsidR="00503290">
        <w:rPr>
          <w:lang w:val="en-GB"/>
        </w:rPr>
        <w:t>‘</w:t>
      </w:r>
      <w:r>
        <w:rPr>
          <w:lang w:val="en-GB"/>
        </w:rPr>
        <w:t>personal character or conduct</w:t>
      </w:r>
      <w:r w:rsidR="00503290">
        <w:rPr>
          <w:lang w:val="en-GB"/>
        </w:rPr>
        <w:t>’</w:t>
      </w:r>
      <w:r>
        <w:rPr>
          <w:lang w:val="en-GB"/>
        </w:rPr>
        <w:t xml:space="preserve"> while hate speech is generally dir</w:t>
      </w:r>
      <w:r w:rsidR="00B94D41">
        <w:rPr>
          <w:lang w:val="en-GB"/>
        </w:rPr>
        <w:t xml:space="preserve">ected at social groups. </w:t>
      </w:r>
      <w:r w:rsidR="00294CDF">
        <w:rPr>
          <w:lang w:val="en-GB"/>
        </w:rPr>
        <w:t>H</w:t>
      </w:r>
      <w:r w:rsidR="00B94D41">
        <w:rPr>
          <w:lang w:val="en-GB"/>
        </w:rPr>
        <w:t>owever, a false or misleading statement about a candidate’s ethnic or religious group could lead to prosecution</w:t>
      </w:r>
      <w:r w:rsidR="003D69E0">
        <w:rPr>
          <w:lang w:val="en-GB"/>
        </w:rPr>
        <w:t>.</w:t>
      </w:r>
      <w:r w:rsidR="00497770">
        <w:rPr>
          <w:lang w:val="en-GB"/>
        </w:rPr>
        <w:t xml:space="preserve"> </w:t>
      </w:r>
      <w:r w:rsidR="003D69E0">
        <w:rPr>
          <w:lang w:val="en-GB"/>
        </w:rPr>
        <w:t>E</w:t>
      </w:r>
      <w:r w:rsidR="00294CDF">
        <w:rPr>
          <w:lang w:val="en-GB"/>
        </w:rPr>
        <w:t>xample</w:t>
      </w:r>
      <w:r w:rsidR="003D69E0">
        <w:rPr>
          <w:lang w:val="en-GB"/>
        </w:rPr>
        <w:t xml:space="preserve">s would include </w:t>
      </w:r>
      <w:r w:rsidR="00B94D41">
        <w:rPr>
          <w:lang w:val="en-GB"/>
        </w:rPr>
        <w:t xml:space="preserve">an election pamphlet </w:t>
      </w:r>
      <w:r w:rsidR="00294CDF">
        <w:rPr>
          <w:lang w:val="en-GB"/>
        </w:rPr>
        <w:t xml:space="preserve">that </w:t>
      </w:r>
      <w:r w:rsidR="00581087">
        <w:rPr>
          <w:lang w:val="en-GB"/>
        </w:rPr>
        <w:t>suggested that a candidate’s religious beliefs made him sympathetic to terrorists.</w:t>
      </w:r>
    </w:p>
    <w:p w:rsidR="006749E2" w:rsidRDefault="006749E2" w:rsidP="00491ADD">
      <w:pPr>
        <w:pStyle w:val="L3Headers"/>
        <w:rPr>
          <w:lang w:val="en-GB"/>
        </w:rPr>
      </w:pPr>
    </w:p>
    <w:p w:rsidR="008417EF" w:rsidRDefault="008417EF" w:rsidP="00491ADD">
      <w:pPr>
        <w:pStyle w:val="L3Headers"/>
        <w:rPr>
          <w:lang w:val="en-GB"/>
        </w:rPr>
      </w:pPr>
      <w:bookmarkStart w:id="38" w:name="_Toc410651260"/>
      <w:r>
        <w:rPr>
          <w:lang w:val="en-GB"/>
        </w:rPr>
        <w:lastRenderedPageBreak/>
        <w:t xml:space="preserve">The </w:t>
      </w:r>
      <w:r w:rsidR="008023FC">
        <w:rPr>
          <w:lang w:val="en-GB"/>
        </w:rPr>
        <w:t xml:space="preserve">Equality and Human Rights </w:t>
      </w:r>
      <w:r>
        <w:rPr>
          <w:lang w:val="en-GB"/>
        </w:rPr>
        <w:t>Commission</w:t>
      </w:r>
      <w:bookmarkEnd w:id="38"/>
    </w:p>
    <w:p w:rsidR="00A019FA" w:rsidRDefault="00574051" w:rsidP="00A019FA">
      <w:pPr>
        <w:pStyle w:val="Parabase"/>
        <w:rPr>
          <w:lang w:val="en-GB"/>
        </w:rPr>
      </w:pPr>
      <w:r>
        <w:rPr>
          <w:lang w:val="en-GB"/>
        </w:rPr>
        <w:t xml:space="preserve">The Commission is </w:t>
      </w:r>
      <w:r w:rsidR="00A019FA">
        <w:rPr>
          <w:lang w:val="en-GB"/>
        </w:rPr>
        <w:t>a UN accredited National Human Rights Institution and a National Equality Body</w:t>
      </w:r>
      <w:r w:rsidR="003A51DA">
        <w:rPr>
          <w:lang w:val="en-GB"/>
        </w:rPr>
        <w:t>,</w:t>
      </w:r>
      <w:r w:rsidR="00A019FA">
        <w:rPr>
          <w:lang w:val="en-GB"/>
        </w:rPr>
        <w:t xml:space="preserve"> </w:t>
      </w:r>
      <w:r>
        <w:rPr>
          <w:lang w:val="en-GB"/>
        </w:rPr>
        <w:t>with statutory</w:t>
      </w:r>
      <w:r w:rsidR="00A019FA">
        <w:rPr>
          <w:lang w:val="en-GB"/>
        </w:rPr>
        <w:t xml:space="preserve"> duties and powers under the Equality Act 2006. These include a </w:t>
      </w:r>
      <w:r>
        <w:rPr>
          <w:lang w:val="en-GB"/>
        </w:rPr>
        <w:t xml:space="preserve">general </w:t>
      </w:r>
      <w:r w:rsidR="00A019FA">
        <w:rPr>
          <w:lang w:val="en-GB"/>
        </w:rPr>
        <w:t xml:space="preserve">duty to </w:t>
      </w:r>
      <w:r>
        <w:rPr>
          <w:lang w:val="en-GB"/>
        </w:rPr>
        <w:t xml:space="preserve">exercise its functions in a way which </w:t>
      </w:r>
      <w:r w:rsidR="00A019FA">
        <w:rPr>
          <w:lang w:val="en-GB"/>
        </w:rPr>
        <w:t>encourage</w:t>
      </w:r>
      <w:r>
        <w:rPr>
          <w:lang w:val="en-GB"/>
        </w:rPr>
        <w:t>s</w:t>
      </w:r>
      <w:r w:rsidR="00A019FA">
        <w:rPr>
          <w:lang w:val="en-GB"/>
        </w:rPr>
        <w:t xml:space="preserve"> and support</w:t>
      </w:r>
      <w:r>
        <w:rPr>
          <w:lang w:val="en-GB"/>
        </w:rPr>
        <w:t>s</w:t>
      </w:r>
      <w:r w:rsidR="00A019FA" w:rsidRPr="00B46CB7">
        <w:rPr>
          <w:lang w:val="en-GB"/>
        </w:rPr>
        <w:t xml:space="preserve"> the dev</w:t>
      </w:r>
      <w:r w:rsidR="00A019FA">
        <w:rPr>
          <w:lang w:val="en-GB"/>
        </w:rPr>
        <w:t xml:space="preserve">elopment of a society in which </w:t>
      </w:r>
      <w:r w:rsidR="00A019FA" w:rsidRPr="00B46CB7">
        <w:rPr>
          <w:lang w:val="en-GB"/>
        </w:rPr>
        <w:t xml:space="preserve">there is mutual respect between </w:t>
      </w:r>
      <w:r w:rsidR="00A019FA">
        <w:rPr>
          <w:lang w:val="en-GB"/>
        </w:rPr>
        <w:t>different groups of people</w:t>
      </w:r>
      <w:r w:rsidR="00A019FA" w:rsidRPr="00B46CB7">
        <w:rPr>
          <w:lang w:val="en-GB"/>
        </w:rPr>
        <w:t xml:space="preserve"> based on understanding and valuing of diversity and on shared respect for equality and human rights</w:t>
      </w:r>
      <w:r w:rsidR="003A51DA">
        <w:rPr>
          <w:lang w:val="en-GB"/>
        </w:rPr>
        <w:t xml:space="preserve"> (which include</w:t>
      </w:r>
      <w:r w:rsidR="00A564A6">
        <w:rPr>
          <w:lang w:val="en-GB"/>
        </w:rPr>
        <w:t>s</w:t>
      </w:r>
      <w:r w:rsidR="00A019FA">
        <w:rPr>
          <w:lang w:val="en-GB"/>
        </w:rPr>
        <w:t xml:space="preserve"> freedom of expression</w:t>
      </w:r>
      <w:r w:rsidR="003A51DA">
        <w:rPr>
          <w:lang w:val="en-GB"/>
        </w:rPr>
        <w:t>)</w:t>
      </w:r>
      <w:r w:rsidR="00A019FA" w:rsidRPr="00B46CB7">
        <w:rPr>
          <w:lang w:val="en-GB"/>
        </w:rPr>
        <w:t>.</w:t>
      </w:r>
    </w:p>
    <w:p w:rsidR="00A019FA" w:rsidRDefault="009D0A95" w:rsidP="00A019FA">
      <w:pPr>
        <w:pStyle w:val="Parabase"/>
        <w:rPr>
          <w:lang w:val="en-GB"/>
        </w:rPr>
      </w:pPr>
      <w:r>
        <w:rPr>
          <w:lang w:val="en-GB"/>
        </w:rPr>
        <w:t>The Commission has</w:t>
      </w:r>
      <w:r w:rsidR="00A019FA" w:rsidRPr="00B46CB7">
        <w:rPr>
          <w:lang w:val="en-GB"/>
        </w:rPr>
        <w:t xml:space="preserve"> a duty to exercise </w:t>
      </w:r>
      <w:r w:rsidR="003A51DA">
        <w:rPr>
          <w:lang w:val="en-GB"/>
        </w:rPr>
        <w:t>its</w:t>
      </w:r>
      <w:r w:rsidR="00A019FA" w:rsidRPr="00B46CB7">
        <w:rPr>
          <w:lang w:val="en-GB"/>
        </w:rPr>
        <w:t xml:space="preserve"> powers to promote understanding of the importance of and to encourage good practice </w:t>
      </w:r>
      <w:r w:rsidR="00A019FA">
        <w:rPr>
          <w:lang w:val="en-GB"/>
        </w:rPr>
        <w:t xml:space="preserve">in relation to </w:t>
      </w:r>
      <w:r w:rsidR="00A019FA" w:rsidRPr="00B46CB7">
        <w:rPr>
          <w:lang w:val="en-GB"/>
        </w:rPr>
        <w:t xml:space="preserve">equality and diversity and human rights. </w:t>
      </w:r>
    </w:p>
    <w:p w:rsidR="00A019FA" w:rsidRDefault="003A51DA" w:rsidP="00A019FA">
      <w:pPr>
        <w:pStyle w:val="Parabase"/>
        <w:rPr>
          <w:lang w:val="en-GB"/>
        </w:rPr>
      </w:pPr>
      <w:r>
        <w:rPr>
          <w:lang w:val="en-GB"/>
        </w:rPr>
        <w:t>It</w:t>
      </w:r>
      <w:r w:rsidR="00A019FA" w:rsidRPr="00B46CB7">
        <w:rPr>
          <w:lang w:val="en-GB"/>
        </w:rPr>
        <w:t xml:space="preserve"> also ha</w:t>
      </w:r>
      <w:r>
        <w:rPr>
          <w:lang w:val="en-GB"/>
        </w:rPr>
        <w:t>s</w:t>
      </w:r>
      <w:r w:rsidR="00A019FA" w:rsidRPr="00B46CB7">
        <w:rPr>
          <w:lang w:val="en-GB"/>
        </w:rPr>
        <w:t xml:space="preserve"> a statutory duty to work towards the elimination of unlawful discrimination and towards the elimination of unlawful harassment</w:t>
      </w:r>
      <w:r>
        <w:rPr>
          <w:lang w:val="en-GB"/>
        </w:rPr>
        <w:t>.</w:t>
      </w:r>
      <w:r w:rsidR="00497770">
        <w:rPr>
          <w:lang w:val="en-GB"/>
        </w:rPr>
        <w:t xml:space="preserve"> </w:t>
      </w:r>
      <w:r>
        <w:rPr>
          <w:lang w:val="en-GB"/>
        </w:rPr>
        <w:t>The Commission is</w:t>
      </w:r>
      <w:r w:rsidR="00A019FA" w:rsidRPr="00B46CB7">
        <w:rPr>
          <w:lang w:val="en-GB"/>
        </w:rPr>
        <w:t xml:space="preserve"> subject to the PSED </w:t>
      </w:r>
      <w:r w:rsidR="00FF0CB3">
        <w:rPr>
          <w:lang w:val="en-GB"/>
        </w:rPr>
        <w:t xml:space="preserve">when </w:t>
      </w:r>
      <w:r w:rsidR="00046F8F">
        <w:rPr>
          <w:lang w:val="en-GB"/>
        </w:rPr>
        <w:t>exercising</w:t>
      </w:r>
      <w:r w:rsidR="00A019FA" w:rsidRPr="00B46CB7">
        <w:rPr>
          <w:lang w:val="en-GB"/>
        </w:rPr>
        <w:t xml:space="preserve"> </w:t>
      </w:r>
      <w:r>
        <w:rPr>
          <w:lang w:val="en-GB"/>
        </w:rPr>
        <w:t>its</w:t>
      </w:r>
      <w:r w:rsidR="00A019FA" w:rsidRPr="00B46CB7">
        <w:rPr>
          <w:lang w:val="en-GB"/>
        </w:rPr>
        <w:t xml:space="preserve"> powers.</w:t>
      </w:r>
    </w:p>
    <w:p w:rsidR="00F949CD" w:rsidRPr="007E1E0B" w:rsidRDefault="00F949CD" w:rsidP="00A019FA">
      <w:pPr>
        <w:pStyle w:val="Parabase"/>
        <w:rPr>
          <w:lang w:val="en-GB"/>
        </w:rPr>
      </w:pPr>
    </w:p>
    <w:tbl>
      <w:tblPr>
        <w:tblStyle w:val="TableGrid"/>
        <w:tblpPr w:leftFromText="180" w:rightFromText="180" w:vertAnchor="text" w:horzAnchor="margin" w:tblpY="41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ayout w:type="fixed"/>
        <w:tblCellMar>
          <w:top w:w="142" w:type="dxa"/>
          <w:left w:w="142" w:type="dxa"/>
          <w:bottom w:w="142" w:type="dxa"/>
          <w:right w:w="142" w:type="dxa"/>
        </w:tblCellMar>
        <w:tblLook w:val="04A0"/>
      </w:tblPr>
      <w:tblGrid>
        <w:gridCol w:w="9072"/>
      </w:tblGrid>
      <w:tr w:rsidR="008417EF" w:rsidRPr="00B46CB7" w:rsidTr="006A5E86">
        <w:tc>
          <w:tcPr>
            <w:tcW w:w="9072" w:type="dxa"/>
            <w:shd w:val="clear" w:color="auto" w:fill="FDE9D9" w:themeFill="accent6" w:themeFillTint="33"/>
          </w:tcPr>
          <w:p w:rsidR="008417EF" w:rsidRPr="00357206" w:rsidRDefault="00374068" w:rsidP="006A5E86">
            <w:pPr>
              <w:pStyle w:val="L4Header"/>
              <w:widowControl w:val="0"/>
              <w:rPr>
                <w:lang w:val="en-GB"/>
              </w:rPr>
            </w:pPr>
            <w:r w:rsidRPr="00491ADD">
              <w:t>What is</w:t>
            </w:r>
            <w:r w:rsidR="008417EF" w:rsidRPr="00491ADD">
              <w:t xml:space="preserve"> the Commission</w:t>
            </w:r>
            <w:r w:rsidRPr="00491ADD">
              <w:t>'s role</w:t>
            </w:r>
            <w:r w:rsidR="00BD2D66" w:rsidRPr="00491ADD">
              <w:t xml:space="preserve"> </w:t>
            </w:r>
            <w:r w:rsidRPr="00491ADD">
              <w:t xml:space="preserve">in </w:t>
            </w:r>
            <w:r w:rsidR="008417EF" w:rsidRPr="00491ADD">
              <w:t>investigat</w:t>
            </w:r>
            <w:r w:rsidRPr="00491ADD">
              <w:t>ing</w:t>
            </w:r>
            <w:r w:rsidR="008417EF" w:rsidRPr="00491ADD">
              <w:t xml:space="preserve"> incidences of offensive speech?</w:t>
            </w:r>
            <w:r w:rsidR="008417EF" w:rsidRPr="00B46CB7">
              <w:rPr>
                <w:lang w:val="en-GB"/>
              </w:rPr>
              <w:t xml:space="preserve"> </w:t>
            </w:r>
            <w:r w:rsidR="008417EF" w:rsidRPr="00B46CB7">
              <w:rPr>
                <w:vanish/>
                <w:lang w:val="en-GB"/>
              </w:rPr>
              <w:t xml:space="preserve">This sectionnoteType=Explanatory Notes has no associated </w:t>
            </w:r>
          </w:p>
          <w:p w:rsidR="008417EF" w:rsidRPr="00B46CB7" w:rsidRDefault="008417EF" w:rsidP="006A5E86">
            <w:pPr>
              <w:pStyle w:val="ListParagraph"/>
              <w:spacing w:line="276" w:lineRule="auto"/>
              <w:ind w:left="360"/>
              <w:rPr>
                <w:rFonts w:ascii="Arial" w:hAnsi="Arial" w:cs="Arial"/>
                <w:lang w:val="en-GB"/>
              </w:rPr>
            </w:pPr>
          </w:p>
          <w:p w:rsidR="008417EF" w:rsidRPr="00503290" w:rsidRDefault="00CF654D" w:rsidP="006A5E86">
            <w:pPr>
              <w:spacing w:line="276" w:lineRule="auto"/>
              <w:rPr>
                <w:rFonts w:ascii="Arial" w:hAnsi="Arial" w:cs="Arial"/>
                <w:b/>
                <w:lang w:val="en-GB"/>
              </w:rPr>
            </w:pPr>
            <w:r w:rsidRPr="00CF654D">
              <w:rPr>
                <w:rFonts w:ascii="Arial" w:hAnsi="Arial" w:cs="Arial"/>
                <w:b/>
                <w:lang w:val="en-GB"/>
              </w:rPr>
              <w:t>Criminal offences</w:t>
            </w:r>
          </w:p>
          <w:p w:rsidR="008D22FB" w:rsidRDefault="008417EF" w:rsidP="00491ADD">
            <w:pPr>
              <w:pStyle w:val="Parabase"/>
              <w:rPr>
                <w:lang w:val="en-GB"/>
              </w:rPr>
            </w:pPr>
            <w:r w:rsidRPr="007A04DF">
              <w:rPr>
                <w:lang w:val="en-GB"/>
              </w:rPr>
              <w:t xml:space="preserve">The Commission has no remit </w:t>
            </w:r>
            <w:r w:rsidR="003A16D1">
              <w:rPr>
                <w:lang w:val="en-GB"/>
              </w:rPr>
              <w:t>to</w:t>
            </w:r>
            <w:r w:rsidR="003A16D1" w:rsidRPr="007A04DF">
              <w:rPr>
                <w:lang w:val="en-GB"/>
              </w:rPr>
              <w:t xml:space="preserve"> </w:t>
            </w:r>
            <w:r w:rsidRPr="007A04DF">
              <w:rPr>
                <w:lang w:val="en-GB"/>
              </w:rPr>
              <w:t xml:space="preserve">assess whether or not a crime has been committed. Complainants </w:t>
            </w:r>
            <w:r>
              <w:rPr>
                <w:lang w:val="en-GB"/>
              </w:rPr>
              <w:t>who believe they may be victims of crime are</w:t>
            </w:r>
            <w:r w:rsidRPr="007A04DF">
              <w:rPr>
                <w:lang w:val="en-GB"/>
              </w:rPr>
              <w:t xml:space="preserve"> referred to the police, the complaints service of the relevant police force or to the </w:t>
            </w:r>
            <w:r>
              <w:rPr>
                <w:lang w:val="en-GB"/>
              </w:rPr>
              <w:t>Independent Police Complaints Commission</w:t>
            </w:r>
            <w:r w:rsidR="007966C3">
              <w:rPr>
                <w:lang w:val="en-GB"/>
              </w:rPr>
              <w:t xml:space="preserve"> or, in Scotland, the </w:t>
            </w:r>
            <w:r w:rsidR="007966C3" w:rsidRPr="00E03DF7">
              <w:rPr>
                <w:lang w:val="en-GB"/>
              </w:rPr>
              <w:t>Police Investigations and Review Commissioner</w:t>
            </w:r>
            <w:r w:rsidRPr="007A04DF">
              <w:rPr>
                <w:lang w:val="en-GB"/>
              </w:rPr>
              <w:t xml:space="preserve">. They </w:t>
            </w:r>
            <w:r>
              <w:rPr>
                <w:lang w:val="en-GB"/>
              </w:rPr>
              <w:t>may</w:t>
            </w:r>
            <w:r w:rsidRPr="007A04DF">
              <w:rPr>
                <w:lang w:val="en-GB"/>
              </w:rPr>
              <w:t xml:space="preserve"> also be advised to seek independent legal advice if they may have a </w:t>
            </w:r>
            <w:r w:rsidRPr="00491ADD">
              <w:t>civil</w:t>
            </w:r>
            <w:r w:rsidRPr="007A04DF">
              <w:rPr>
                <w:lang w:val="en-GB"/>
              </w:rPr>
              <w:t xml:space="preserve"> claim, or if the police or </w:t>
            </w:r>
            <w:r>
              <w:rPr>
                <w:lang w:val="en-GB"/>
              </w:rPr>
              <w:t>prosecutor’s</w:t>
            </w:r>
            <w:r w:rsidRPr="007A04DF">
              <w:rPr>
                <w:lang w:val="en-GB"/>
              </w:rPr>
              <w:t xml:space="preserve"> decision may be susceptible to judicial review.</w:t>
            </w:r>
            <w:r w:rsidR="00497770">
              <w:rPr>
                <w:lang w:val="en-GB"/>
              </w:rPr>
              <w:t xml:space="preserve"> </w:t>
            </w:r>
          </w:p>
          <w:p w:rsidR="008417EF" w:rsidRPr="007A04DF" w:rsidRDefault="008417EF" w:rsidP="00491ADD">
            <w:pPr>
              <w:pStyle w:val="Parasection"/>
              <w:rPr>
                <w:lang w:val="en-GB"/>
              </w:rPr>
            </w:pPr>
            <w:r>
              <w:rPr>
                <w:lang w:val="en-GB"/>
              </w:rPr>
              <w:t xml:space="preserve">Complainants in England and </w:t>
            </w:r>
            <w:r w:rsidRPr="00491ADD">
              <w:t>Wales</w:t>
            </w:r>
            <w:r>
              <w:rPr>
                <w:lang w:val="en-GB"/>
              </w:rPr>
              <w:t xml:space="preserve"> are encouraged to </w:t>
            </w:r>
            <w:r w:rsidR="007634F3">
              <w:rPr>
                <w:lang w:val="en-GB"/>
              </w:rPr>
              <w:t xml:space="preserve">report </w:t>
            </w:r>
            <w:r w:rsidR="003A6BB0">
              <w:rPr>
                <w:lang w:val="en-GB"/>
              </w:rPr>
              <w:t xml:space="preserve">hate crimes </w:t>
            </w:r>
            <w:r>
              <w:rPr>
                <w:lang w:val="en-GB"/>
              </w:rPr>
              <w:t xml:space="preserve">to </w:t>
            </w:r>
            <w:r w:rsidRPr="007A04DF">
              <w:rPr>
                <w:lang w:val="en-GB"/>
              </w:rPr>
              <w:t xml:space="preserve">the police </w:t>
            </w:r>
            <w:r w:rsidR="003A6BB0">
              <w:rPr>
                <w:lang w:val="en-GB"/>
              </w:rPr>
              <w:t xml:space="preserve">directly or </w:t>
            </w:r>
            <w:r w:rsidRPr="007A04DF">
              <w:rPr>
                <w:lang w:val="en-GB"/>
              </w:rPr>
              <w:t xml:space="preserve">through the </w:t>
            </w:r>
            <w:hyperlink r:id="rId13" w:tgtFrame="_blank" w:history="1">
              <w:r w:rsidRPr="007A04DF">
                <w:rPr>
                  <w:rStyle w:val="Hyperlink"/>
                  <w:lang w:val="en-GB"/>
                </w:rPr>
                <w:t>True Vision</w:t>
              </w:r>
            </w:hyperlink>
            <w:r w:rsidRPr="007A04DF">
              <w:rPr>
                <w:lang w:val="en-GB"/>
              </w:rPr>
              <w:t xml:space="preserve"> website</w:t>
            </w:r>
            <w:r>
              <w:rPr>
                <w:lang w:val="en-GB"/>
              </w:rPr>
              <w:t>.</w:t>
            </w:r>
            <w:r>
              <w:rPr>
                <w:rStyle w:val="FootnoteReference"/>
                <w:lang w:val="en-GB"/>
              </w:rPr>
              <w:footnoteReference w:id="54"/>
            </w:r>
          </w:p>
          <w:p w:rsidR="006749E2" w:rsidRDefault="006749E2" w:rsidP="003A6BB0">
            <w:pPr>
              <w:spacing w:line="276" w:lineRule="auto"/>
              <w:rPr>
                <w:rFonts w:ascii="Arial" w:hAnsi="Arial" w:cs="Arial"/>
                <w:b/>
                <w:lang w:val="en-GB"/>
              </w:rPr>
            </w:pPr>
          </w:p>
          <w:p w:rsidR="003A6BB0" w:rsidRPr="00503290" w:rsidRDefault="00CF654D" w:rsidP="003A6BB0">
            <w:pPr>
              <w:spacing w:line="276" w:lineRule="auto"/>
              <w:rPr>
                <w:rFonts w:ascii="Arial" w:hAnsi="Arial" w:cs="Arial"/>
                <w:b/>
                <w:lang w:val="en-GB"/>
              </w:rPr>
            </w:pPr>
            <w:r w:rsidRPr="00CF654D">
              <w:rPr>
                <w:rFonts w:ascii="Arial" w:hAnsi="Arial" w:cs="Arial"/>
                <w:b/>
                <w:lang w:val="en-GB"/>
              </w:rPr>
              <w:lastRenderedPageBreak/>
              <w:t>Media controversies</w:t>
            </w:r>
          </w:p>
          <w:p w:rsidR="008D22FB" w:rsidRDefault="00826AD3" w:rsidP="006749E2">
            <w:pPr>
              <w:pStyle w:val="Parasection"/>
              <w:rPr>
                <w:lang w:val="en-GB"/>
              </w:rPr>
            </w:pPr>
            <w:r>
              <w:rPr>
                <w:lang w:val="en-GB"/>
              </w:rPr>
              <w:t>It is not our role to judge in individual cases whether offensive comments may or may not be protected under Article 10</w:t>
            </w:r>
            <w:r w:rsidR="00BD2D66">
              <w:rPr>
                <w:lang w:val="en-GB"/>
              </w:rPr>
              <w:t>.</w:t>
            </w:r>
            <w:r w:rsidR="00497770">
              <w:rPr>
                <w:lang w:val="en-GB"/>
              </w:rPr>
              <w:t xml:space="preserve"> </w:t>
            </w:r>
            <w:r w:rsidR="00BD2D66">
              <w:rPr>
                <w:lang w:val="en-GB"/>
              </w:rPr>
              <w:t>This</w:t>
            </w:r>
            <w:r>
              <w:rPr>
                <w:lang w:val="en-GB"/>
              </w:rPr>
              <w:t xml:space="preserve"> is the role of the courts if infringement of that right is alleged</w:t>
            </w:r>
            <w:r w:rsidR="00BD2D66">
              <w:rPr>
                <w:lang w:val="en-GB"/>
              </w:rPr>
              <w:t>.</w:t>
            </w:r>
            <w:r w:rsidR="00497770">
              <w:rPr>
                <w:lang w:val="en-GB"/>
              </w:rPr>
              <w:t xml:space="preserve"> </w:t>
            </w:r>
            <w:r w:rsidR="00BD2D66">
              <w:rPr>
                <w:lang w:val="en-GB"/>
              </w:rPr>
              <w:t>Nor is it</w:t>
            </w:r>
            <w:r>
              <w:rPr>
                <w:lang w:val="en-GB"/>
              </w:rPr>
              <w:t xml:space="preserve"> for us to determine whether any particular </w:t>
            </w:r>
            <w:r w:rsidR="00067818">
              <w:rPr>
                <w:lang w:val="en-GB"/>
              </w:rPr>
              <w:t>comment reaches</w:t>
            </w:r>
            <w:r>
              <w:rPr>
                <w:lang w:val="en-GB"/>
              </w:rPr>
              <w:t xml:space="preserve"> a criminal threshold. </w:t>
            </w:r>
            <w:r w:rsidR="003A6BB0" w:rsidRPr="003A6BB0">
              <w:rPr>
                <w:lang w:val="en-GB"/>
              </w:rPr>
              <w:t xml:space="preserve">Nevertheless, the Commission considers that </w:t>
            </w:r>
            <w:r w:rsidR="00336CC1" w:rsidRPr="003A6BB0">
              <w:rPr>
                <w:lang w:val="en-GB"/>
              </w:rPr>
              <w:t>those in the public eye and in positions of influence</w:t>
            </w:r>
            <w:r w:rsidR="00336CC1">
              <w:rPr>
                <w:lang w:val="en-GB"/>
              </w:rPr>
              <w:t>, in particular, should</w:t>
            </w:r>
            <w:r w:rsidR="00336CC1" w:rsidRPr="003A6BB0" w:rsidDel="00336CC1">
              <w:rPr>
                <w:lang w:val="en-GB"/>
              </w:rPr>
              <w:t xml:space="preserve"> </w:t>
            </w:r>
            <w:r w:rsidR="003A16D1">
              <w:rPr>
                <w:lang w:val="en-GB"/>
              </w:rPr>
              <w:t>act</w:t>
            </w:r>
            <w:r w:rsidR="003A16D1" w:rsidRPr="003A6BB0">
              <w:rPr>
                <w:lang w:val="en-GB"/>
              </w:rPr>
              <w:t xml:space="preserve"> </w:t>
            </w:r>
            <w:r w:rsidR="003A6BB0" w:rsidRPr="003A6BB0">
              <w:rPr>
                <w:lang w:val="en-GB"/>
              </w:rPr>
              <w:t>responsibl</w:t>
            </w:r>
            <w:r w:rsidR="003A16D1">
              <w:rPr>
                <w:lang w:val="en-GB"/>
              </w:rPr>
              <w:t>y</w:t>
            </w:r>
            <w:r w:rsidR="003A6BB0" w:rsidRPr="003A6BB0">
              <w:rPr>
                <w:lang w:val="en-GB"/>
              </w:rPr>
              <w:t xml:space="preserve"> in</w:t>
            </w:r>
            <w:r w:rsidR="003A16D1">
              <w:rPr>
                <w:lang w:val="en-GB"/>
              </w:rPr>
              <w:t xml:space="preserve"> relation to</w:t>
            </w:r>
            <w:r w:rsidR="003A6BB0" w:rsidRPr="003A6BB0">
              <w:rPr>
                <w:lang w:val="en-GB"/>
              </w:rPr>
              <w:t xml:space="preserve"> use of language when discussing sensitive issues</w:t>
            </w:r>
            <w:r w:rsidR="00336CC1">
              <w:rPr>
                <w:lang w:val="en-GB"/>
              </w:rPr>
              <w:t>.</w:t>
            </w:r>
            <w:r w:rsidR="003A6BB0" w:rsidRPr="003A6BB0">
              <w:rPr>
                <w:lang w:val="en-GB"/>
              </w:rPr>
              <w:t xml:space="preserve"> </w:t>
            </w:r>
          </w:p>
          <w:p w:rsidR="008417EF" w:rsidRPr="00503290" w:rsidRDefault="00CF654D" w:rsidP="006A5E86">
            <w:pPr>
              <w:spacing w:line="276" w:lineRule="auto"/>
              <w:rPr>
                <w:rFonts w:ascii="Arial" w:hAnsi="Arial" w:cs="Arial"/>
                <w:b/>
                <w:lang w:val="en-GB"/>
              </w:rPr>
            </w:pPr>
            <w:r w:rsidRPr="00CF654D">
              <w:rPr>
                <w:rFonts w:ascii="Arial" w:hAnsi="Arial" w:cs="Arial"/>
                <w:b/>
                <w:lang w:val="en-GB"/>
              </w:rPr>
              <w:t>Harassment or discrimination in the provision of services or public functions</w:t>
            </w:r>
          </w:p>
          <w:p w:rsidR="008417EF" w:rsidRDefault="00DB2A83" w:rsidP="00491ADD">
            <w:pPr>
              <w:pStyle w:val="Parabase"/>
              <w:rPr>
                <w:lang w:val="en-GB"/>
              </w:rPr>
            </w:pPr>
            <w:r>
              <w:rPr>
                <w:lang w:val="en-GB"/>
              </w:rPr>
              <w:t>As the national equality regulator, the Commission has a statutory role in relation to unlawful acts constituting breaches of the Equality Act (such as discrimination or harassment).</w:t>
            </w:r>
            <w:r w:rsidR="00497770">
              <w:rPr>
                <w:lang w:val="en-GB"/>
              </w:rPr>
              <w:t xml:space="preserve"> </w:t>
            </w:r>
            <w:r w:rsidR="008417EF" w:rsidRPr="007A04DF">
              <w:rPr>
                <w:lang w:val="en-GB"/>
              </w:rPr>
              <w:t>Where the facts of a case suggest that an unlawful act may have been committed by a service provider or a person or body that carries out public functions</w:t>
            </w:r>
            <w:r>
              <w:rPr>
                <w:lang w:val="en-GB"/>
              </w:rPr>
              <w:t>,</w:t>
            </w:r>
            <w:r w:rsidR="008417EF" w:rsidRPr="007A04DF">
              <w:rPr>
                <w:lang w:val="en-GB"/>
              </w:rPr>
              <w:t xml:space="preserve"> then it is within the Commission’s powers to make enquir</w:t>
            </w:r>
            <w:r w:rsidR="00374068">
              <w:rPr>
                <w:lang w:val="en-GB"/>
              </w:rPr>
              <w:t>i</w:t>
            </w:r>
            <w:r w:rsidR="008417EF" w:rsidRPr="007A04DF">
              <w:rPr>
                <w:lang w:val="en-GB"/>
              </w:rPr>
              <w:t xml:space="preserve">es to determine </w:t>
            </w:r>
            <w:r w:rsidR="008417EF" w:rsidRPr="00491ADD">
              <w:t>whether</w:t>
            </w:r>
            <w:r w:rsidR="008417EF" w:rsidRPr="007A04DF">
              <w:rPr>
                <w:lang w:val="en-GB"/>
              </w:rPr>
              <w:t xml:space="preserve"> or not any further action should be taken. </w:t>
            </w:r>
          </w:p>
          <w:p w:rsidR="00374068" w:rsidRPr="007A04DF" w:rsidRDefault="00374068" w:rsidP="00491ADD">
            <w:pPr>
              <w:pStyle w:val="Parasection"/>
              <w:rPr>
                <w:lang w:val="en-GB"/>
              </w:rPr>
            </w:pPr>
            <w:r>
              <w:rPr>
                <w:lang w:val="en-GB"/>
              </w:rPr>
              <w:t>In one example, we received a request for assistance from a Gypsy Traveller who had been the victim of grotesque online hate speech.</w:t>
            </w:r>
            <w:r w:rsidR="00497770">
              <w:rPr>
                <w:lang w:val="en-GB"/>
              </w:rPr>
              <w:t xml:space="preserve"> </w:t>
            </w:r>
            <w:r>
              <w:rPr>
                <w:lang w:val="en-GB"/>
              </w:rPr>
              <w:t>A complaint had been made to the police</w:t>
            </w:r>
            <w:r w:rsidR="00531605">
              <w:rPr>
                <w:lang w:val="en-GB"/>
              </w:rPr>
              <w:t>,</w:t>
            </w:r>
            <w:r>
              <w:rPr>
                <w:lang w:val="en-GB"/>
              </w:rPr>
              <w:t xml:space="preserve"> who had not taken it seriously.</w:t>
            </w:r>
            <w:r w:rsidR="00497770">
              <w:rPr>
                <w:lang w:val="en-GB"/>
              </w:rPr>
              <w:t xml:space="preserve"> </w:t>
            </w:r>
            <w:r>
              <w:rPr>
                <w:lang w:val="en-GB"/>
              </w:rPr>
              <w:t xml:space="preserve">The Commission made enquiries </w:t>
            </w:r>
            <w:r w:rsidR="00BD2D66">
              <w:rPr>
                <w:lang w:val="en-GB"/>
              </w:rPr>
              <w:t>of</w:t>
            </w:r>
            <w:r>
              <w:rPr>
                <w:lang w:val="en-GB"/>
              </w:rPr>
              <w:t xml:space="preserve"> the police force about the difference between its</w:t>
            </w:r>
            <w:r w:rsidR="00BD2D66">
              <w:rPr>
                <w:lang w:val="en-GB"/>
              </w:rPr>
              <w:t xml:space="preserve"> </w:t>
            </w:r>
            <w:r w:rsidR="00531605">
              <w:rPr>
                <w:lang w:val="en-GB"/>
              </w:rPr>
              <w:t>response</w:t>
            </w:r>
            <w:r>
              <w:rPr>
                <w:lang w:val="en-GB"/>
              </w:rPr>
              <w:t xml:space="preserve"> in this particular case and the response it had provided in relation to similar hate speech directed to an individual with a different protected characteristic. As a result, the police reviewed the case and referred it to the CPS for prosecution.</w:t>
            </w:r>
          </w:p>
          <w:p w:rsidR="008417EF" w:rsidRPr="00503290" w:rsidRDefault="00CF654D" w:rsidP="006A5E86">
            <w:pPr>
              <w:spacing w:line="276" w:lineRule="auto"/>
              <w:rPr>
                <w:rFonts w:ascii="Arial" w:hAnsi="Arial" w:cs="Arial"/>
                <w:b/>
                <w:lang w:val="en-GB"/>
              </w:rPr>
            </w:pPr>
            <w:r w:rsidRPr="00CF654D">
              <w:rPr>
                <w:rFonts w:ascii="Arial" w:hAnsi="Arial" w:cs="Arial"/>
                <w:b/>
                <w:lang w:val="en-GB"/>
              </w:rPr>
              <w:t>Public Sector Equality Duty</w:t>
            </w:r>
          </w:p>
          <w:p w:rsidR="008417EF" w:rsidRDefault="008417EF" w:rsidP="006A5E86">
            <w:pPr>
              <w:pStyle w:val="Parabase"/>
              <w:widowControl w:val="0"/>
              <w:spacing w:after="0"/>
              <w:rPr>
                <w:lang w:val="en-GB"/>
              </w:rPr>
            </w:pPr>
            <w:r w:rsidRPr="007A04DF">
              <w:rPr>
                <w:lang w:val="en-GB"/>
              </w:rPr>
              <w:t xml:space="preserve">Where the facts </w:t>
            </w:r>
            <w:r w:rsidR="00374068">
              <w:rPr>
                <w:lang w:val="en-GB"/>
              </w:rPr>
              <w:t>indicate</w:t>
            </w:r>
            <w:r w:rsidRPr="007A04DF">
              <w:rPr>
                <w:lang w:val="en-GB"/>
              </w:rPr>
              <w:t xml:space="preserve"> that a public authority or a body exercising public functions may not have complied with the PSED</w:t>
            </w:r>
            <w:r w:rsidR="00DB2A83">
              <w:rPr>
                <w:lang w:val="en-GB"/>
              </w:rPr>
              <w:t>,</w:t>
            </w:r>
            <w:r w:rsidRPr="007A04DF">
              <w:rPr>
                <w:lang w:val="en-GB"/>
              </w:rPr>
              <w:t xml:space="preserve"> the Commission may conduct enquiries to assess the extent to which or the manner in which it has complied.</w:t>
            </w:r>
            <w:r>
              <w:rPr>
                <w:lang w:val="en-GB"/>
              </w:rPr>
              <w:t xml:space="preserve"> </w:t>
            </w:r>
            <w:r w:rsidRPr="00B46CB7">
              <w:rPr>
                <w:lang w:val="en-GB"/>
              </w:rPr>
              <w:t>This may lead to collaborative working with the or</w:t>
            </w:r>
            <w:r>
              <w:rPr>
                <w:lang w:val="en-GB"/>
              </w:rPr>
              <w:t>ganisation concerned to improve</w:t>
            </w:r>
            <w:r w:rsidRPr="00B46CB7">
              <w:rPr>
                <w:lang w:val="en-GB"/>
              </w:rPr>
              <w:t xml:space="preserve"> compliance, including by way of formal agreement on an action plan</w:t>
            </w:r>
            <w:r>
              <w:rPr>
                <w:lang w:val="en-GB"/>
              </w:rPr>
              <w:t>.</w:t>
            </w:r>
            <w:r w:rsidRPr="00B46CB7">
              <w:rPr>
                <w:rStyle w:val="FootnoteReference"/>
                <w:lang w:val="en-GB"/>
              </w:rPr>
              <w:footnoteReference w:id="55"/>
            </w:r>
            <w:r w:rsidRPr="00B46CB7">
              <w:rPr>
                <w:lang w:val="en-GB"/>
              </w:rPr>
              <w:t xml:space="preserve"> It may be appropriate in certain cases to progress to </w:t>
            </w:r>
            <w:r>
              <w:rPr>
                <w:lang w:val="en-GB"/>
              </w:rPr>
              <w:t>formal enforcement action.</w:t>
            </w:r>
          </w:p>
          <w:p w:rsidR="00A019FA" w:rsidRPr="007A04DF" w:rsidRDefault="00A019FA" w:rsidP="00A019FA">
            <w:pPr>
              <w:pStyle w:val="Parabase"/>
              <w:widowControl w:val="0"/>
              <w:spacing w:after="0"/>
              <w:rPr>
                <w:lang w:val="en-GB"/>
              </w:rPr>
            </w:pPr>
          </w:p>
          <w:p w:rsidR="008417EF" w:rsidRPr="00B46CB7" w:rsidRDefault="008417EF" w:rsidP="006A5E86">
            <w:pPr>
              <w:pStyle w:val="Parabase"/>
              <w:widowControl w:val="0"/>
              <w:spacing w:after="0"/>
              <w:rPr>
                <w:lang w:val="en-GB"/>
              </w:rPr>
            </w:pPr>
          </w:p>
        </w:tc>
      </w:tr>
    </w:tbl>
    <w:p w:rsidR="00BE3F04" w:rsidRDefault="00BE3F04">
      <w:pPr>
        <w:rPr>
          <w:rFonts w:ascii="Arial" w:eastAsia="Helvetica" w:hAnsi="Arial" w:cs="Arial"/>
          <w:b/>
          <w:color w:val="E36C0A" w:themeColor="accent6" w:themeShade="BF"/>
          <w:sz w:val="28"/>
          <w:szCs w:val="28"/>
          <w:lang w:val="en-GB" w:eastAsia="en-GB"/>
        </w:rPr>
      </w:pPr>
      <w:bookmarkStart w:id="39" w:name="_Toc393443919"/>
      <w:r>
        <w:rPr>
          <w:rFonts w:ascii="Arial" w:eastAsia="Helvetica" w:hAnsi="Arial" w:cs="Arial"/>
          <w:b/>
          <w:color w:val="E36C0A" w:themeColor="accent6" w:themeShade="BF"/>
          <w:sz w:val="28"/>
          <w:szCs w:val="28"/>
          <w:lang w:val="en-GB" w:eastAsia="en-GB"/>
        </w:rPr>
        <w:lastRenderedPageBreak/>
        <w:br w:type="page"/>
      </w:r>
    </w:p>
    <w:p w:rsidR="00E973EE" w:rsidRPr="006C4507" w:rsidRDefault="00E973EE" w:rsidP="00491ADD">
      <w:pPr>
        <w:pStyle w:val="L3Headers"/>
      </w:pPr>
      <w:bookmarkStart w:id="40" w:name="_Toc410651261"/>
      <w:bookmarkEnd w:id="39"/>
      <w:r w:rsidRPr="006C4507">
        <w:lastRenderedPageBreak/>
        <w:t>Contacts</w:t>
      </w:r>
      <w:bookmarkEnd w:id="40"/>
    </w:p>
    <w:p w:rsidR="00E973EE" w:rsidRPr="00B80F4E" w:rsidRDefault="00E973EE" w:rsidP="00E973EE">
      <w:pPr>
        <w:pStyle w:val="Parabase"/>
        <w:rPr>
          <w:kern w:val="28"/>
        </w:rPr>
      </w:pPr>
      <w:r w:rsidRPr="00B80F4E">
        <w:rPr>
          <w:kern w:val="28"/>
        </w:rPr>
        <w:t>This publication and related equality and human rights resources are available from the Commission’s website: www.equalityhumanrights.com</w:t>
      </w:r>
    </w:p>
    <w:p w:rsidR="00E973EE" w:rsidRPr="00B80F4E" w:rsidRDefault="00E973EE" w:rsidP="00E973EE">
      <w:pPr>
        <w:pStyle w:val="Parass"/>
        <w:rPr>
          <w:kern w:val="28"/>
        </w:rPr>
      </w:pPr>
      <w:r w:rsidRPr="00B80F4E">
        <w:rPr>
          <w:kern w:val="28"/>
        </w:rPr>
        <w:t>For advice, information or guidance on equality, discrimination or human rights issues, please contact the Equality Advisory and Support Service, a free and independent service.</w:t>
      </w:r>
    </w:p>
    <w:p w:rsidR="00E973EE" w:rsidRPr="00B80F4E" w:rsidRDefault="00E973EE" w:rsidP="00E973EE">
      <w:pPr>
        <w:pStyle w:val="Parabase"/>
        <w:rPr>
          <w:kern w:val="28"/>
        </w:rPr>
      </w:pPr>
      <w:r w:rsidRPr="00B80F4E">
        <w:rPr>
          <w:kern w:val="28"/>
        </w:rPr>
        <w:t xml:space="preserve">Website </w:t>
      </w:r>
      <w:r w:rsidRPr="00B80F4E">
        <w:rPr>
          <w:kern w:val="28"/>
        </w:rPr>
        <w:tab/>
        <w:t>www.equalityadvisoryservice.com</w:t>
      </w:r>
    </w:p>
    <w:p w:rsidR="00E973EE" w:rsidRPr="00B80F4E" w:rsidRDefault="00E973EE" w:rsidP="00E973EE">
      <w:pPr>
        <w:pStyle w:val="Parabase"/>
        <w:rPr>
          <w:kern w:val="28"/>
        </w:rPr>
      </w:pPr>
      <w:r w:rsidRPr="00B80F4E">
        <w:rPr>
          <w:kern w:val="28"/>
        </w:rPr>
        <w:t xml:space="preserve">Telephone </w:t>
      </w:r>
      <w:r w:rsidRPr="00B80F4E">
        <w:rPr>
          <w:kern w:val="28"/>
        </w:rPr>
        <w:tab/>
        <w:t>0808 800 0082</w:t>
      </w:r>
    </w:p>
    <w:p w:rsidR="00E973EE" w:rsidRPr="00B80F4E" w:rsidRDefault="00E973EE" w:rsidP="00E973EE">
      <w:pPr>
        <w:pStyle w:val="Parabase"/>
        <w:rPr>
          <w:kern w:val="28"/>
        </w:rPr>
      </w:pPr>
      <w:proofErr w:type="spellStart"/>
      <w:r w:rsidRPr="00B80F4E">
        <w:rPr>
          <w:kern w:val="28"/>
        </w:rPr>
        <w:t>Textphone</w:t>
      </w:r>
      <w:proofErr w:type="spellEnd"/>
      <w:r w:rsidRPr="00B80F4E">
        <w:rPr>
          <w:kern w:val="28"/>
        </w:rPr>
        <w:t xml:space="preserve"> </w:t>
      </w:r>
      <w:r w:rsidRPr="00B80F4E">
        <w:rPr>
          <w:kern w:val="28"/>
        </w:rPr>
        <w:tab/>
        <w:t>0808 800 0084</w:t>
      </w:r>
    </w:p>
    <w:p w:rsidR="00E973EE" w:rsidRPr="00B80F4E" w:rsidRDefault="00E973EE" w:rsidP="00E973EE">
      <w:pPr>
        <w:pStyle w:val="Parabase"/>
        <w:spacing w:after="0"/>
        <w:rPr>
          <w:kern w:val="28"/>
        </w:rPr>
      </w:pPr>
      <w:r w:rsidRPr="00B80F4E">
        <w:rPr>
          <w:kern w:val="28"/>
        </w:rPr>
        <w:t xml:space="preserve">Hours </w:t>
      </w:r>
      <w:r w:rsidRPr="00B80F4E">
        <w:rPr>
          <w:kern w:val="28"/>
        </w:rPr>
        <w:tab/>
      </w:r>
      <w:r w:rsidRPr="00B80F4E">
        <w:rPr>
          <w:kern w:val="28"/>
        </w:rPr>
        <w:tab/>
        <w:t>09:00 to 20:00 (Monday to Friday)</w:t>
      </w:r>
    </w:p>
    <w:p w:rsidR="00E973EE" w:rsidRPr="00B80F4E" w:rsidRDefault="00E973EE" w:rsidP="00E973EE">
      <w:pPr>
        <w:pStyle w:val="Parabase"/>
        <w:rPr>
          <w:kern w:val="28"/>
        </w:rPr>
      </w:pPr>
      <w:r w:rsidRPr="00B80F4E">
        <w:rPr>
          <w:kern w:val="28"/>
        </w:rPr>
        <w:tab/>
      </w:r>
      <w:r w:rsidRPr="00B80F4E">
        <w:rPr>
          <w:kern w:val="28"/>
        </w:rPr>
        <w:tab/>
        <w:t>10:00 to 14:00 (Saturday)</w:t>
      </w:r>
    </w:p>
    <w:p w:rsidR="00E973EE" w:rsidRPr="00B80F4E" w:rsidRDefault="00E973EE" w:rsidP="00E973EE">
      <w:pPr>
        <w:pStyle w:val="Parabase"/>
        <w:spacing w:after="240"/>
        <w:rPr>
          <w:kern w:val="28"/>
        </w:rPr>
      </w:pPr>
      <w:r w:rsidRPr="00B80F4E">
        <w:rPr>
          <w:kern w:val="28"/>
        </w:rPr>
        <w:t xml:space="preserve">Post </w:t>
      </w:r>
      <w:r w:rsidRPr="00B80F4E">
        <w:rPr>
          <w:kern w:val="28"/>
        </w:rPr>
        <w:tab/>
      </w:r>
      <w:r w:rsidRPr="00B80F4E">
        <w:rPr>
          <w:kern w:val="28"/>
        </w:rPr>
        <w:tab/>
        <w:t>FREEPOST Equality Advisory Support Service FPN4431</w:t>
      </w:r>
    </w:p>
    <w:p w:rsidR="00E973EE" w:rsidRPr="00B80F4E" w:rsidRDefault="00E973EE" w:rsidP="00E973EE">
      <w:pPr>
        <w:pStyle w:val="Parass"/>
        <w:rPr>
          <w:kern w:val="28"/>
        </w:rPr>
      </w:pPr>
      <w:r w:rsidRPr="00B80F4E">
        <w:rPr>
          <w:kern w:val="28"/>
        </w:rPr>
        <w:t>Questions and comments regarding this publication may be addressed to: correspondence@equalityhumanrights.com. The Commission welcomes your feedback</w:t>
      </w:r>
    </w:p>
    <w:p w:rsidR="00E973EE" w:rsidRPr="00B80F4E" w:rsidRDefault="00E973EE" w:rsidP="00E973EE">
      <w:pPr>
        <w:pStyle w:val="L4Headers"/>
        <w:rPr>
          <w:kern w:val="28"/>
        </w:rPr>
      </w:pPr>
      <w:bookmarkStart w:id="41" w:name="_Toc410639596"/>
      <w:bookmarkStart w:id="42" w:name="_Toc410651262"/>
      <w:r w:rsidRPr="00B80F4E">
        <w:rPr>
          <w:kern w:val="28"/>
        </w:rPr>
        <w:t>Alternative formats</w:t>
      </w:r>
      <w:bookmarkEnd w:id="41"/>
      <w:bookmarkEnd w:id="42"/>
    </w:p>
    <w:p w:rsidR="00E973EE" w:rsidRPr="00B80F4E" w:rsidRDefault="00E973EE" w:rsidP="00E973EE">
      <w:pPr>
        <w:pStyle w:val="Parasection"/>
        <w:rPr>
          <w:kern w:val="28"/>
        </w:rPr>
      </w:pPr>
      <w:r w:rsidRPr="00B80F4E">
        <w:rPr>
          <w:kern w:val="28"/>
        </w:rPr>
        <w:t xml:space="preserve">This guide is available as a PDF file and as a Microsoft Word file from </w:t>
      </w:r>
      <w:hyperlink r:id="rId14" w:history="1">
        <w:r w:rsidRPr="00B80F4E">
          <w:rPr>
            <w:rStyle w:val="Hyperlink"/>
            <w:b/>
            <w:kern w:val="28"/>
          </w:rPr>
          <w:t>www.equalityhumanrights.com</w:t>
        </w:r>
      </w:hyperlink>
      <w:r w:rsidRPr="00B80F4E">
        <w:rPr>
          <w:kern w:val="28"/>
        </w:rPr>
        <w:t xml:space="preserve">. For information on accessing a Commission publication in an alternative format, please contact: </w:t>
      </w:r>
      <w:hyperlink r:id="rId15" w:history="1">
        <w:r w:rsidRPr="00B80F4E">
          <w:rPr>
            <w:rStyle w:val="Hyperlink"/>
            <w:b/>
            <w:kern w:val="28"/>
          </w:rPr>
          <w:t>correspondence@equalityhumanrights.com</w:t>
        </w:r>
      </w:hyperlink>
    </w:p>
    <w:p w:rsidR="00E973EE" w:rsidRPr="006C4507" w:rsidRDefault="00E973EE" w:rsidP="00E973EE">
      <w:pPr>
        <w:pStyle w:val="Paraapres-box"/>
        <w:spacing w:after="40"/>
      </w:pPr>
      <w:r>
        <w:t>© 2015</w:t>
      </w:r>
      <w:r w:rsidRPr="006C4507">
        <w:t xml:space="preserve"> Equality and Human Rights Commission</w:t>
      </w:r>
    </w:p>
    <w:p w:rsidR="00E973EE" w:rsidRPr="006C4507" w:rsidRDefault="00E973EE" w:rsidP="00E973EE">
      <w:pPr>
        <w:pStyle w:val="Paraapres-box"/>
        <w:spacing w:after="40"/>
      </w:pPr>
      <w:r>
        <w:t>Published February 2015</w:t>
      </w:r>
    </w:p>
    <w:p w:rsidR="00990A16" w:rsidRPr="00990A16" w:rsidRDefault="00E973EE" w:rsidP="00491ADD">
      <w:pPr>
        <w:pStyle w:val="Parabase"/>
        <w:rPr>
          <w:lang w:val="en-GB"/>
        </w:rPr>
      </w:pPr>
      <w:r w:rsidRPr="006C4507">
        <w:t xml:space="preserve">ISBN </w:t>
      </w:r>
      <w:r w:rsidR="00990A16" w:rsidRPr="00990A16">
        <w:rPr>
          <w:lang w:val="en-GB"/>
        </w:rPr>
        <w:t>978-1-84206-595-2</w:t>
      </w:r>
    </w:p>
    <w:p w:rsidR="00E973EE" w:rsidRPr="006C4507" w:rsidRDefault="00E973EE" w:rsidP="00E973EE">
      <w:pPr>
        <w:pStyle w:val="Paraapres-box"/>
        <w:spacing w:after="40"/>
      </w:pPr>
    </w:p>
    <w:p w:rsidR="00E973EE" w:rsidRDefault="00E973EE">
      <w:pPr>
        <w:pStyle w:val="Parabase"/>
        <w:spacing w:after="40"/>
        <w:rPr>
          <w:lang w:val="en-GB"/>
        </w:rPr>
      </w:pPr>
    </w:p>
    <w:sectPr w:rsidR="00E973EE" w:rsidSect="00B12262">
      <w:footerReference w:type="default" r:id="rId16"/>
      <w:pgSz w:w="11900" w:h="16840"/>
      <w:pgMar w:top="1134" w:right="1440" w:bottom="1134" w:left="1440" w:header="567" w:footer="567" w:gutter="0"/>
      <w:pgNumType w:start="1"/>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28A3B7" w15:done="0"/>
  <w15:commentEx w15:paraId="0D1D5D2E" w15:done="0"/>
  <w15:commentEx w15:paraId="0D34958C" w15:paraIdParent="0D1D5D2E" w15:done="0"/>
  <w15:commentEx w15:paraId="3A8C5BF1" w15:done="0"/>
  <w15:commentEx w15:paraId="35B0092A" w15:done="0"/>
  <w15:commentEx w15:paraId="6B5CD6FF" w15:paraIdParent="35B0092A" w15:done="0"/>
  <w15:commentEx w15:paraId="3D5C5737" w15:done="0"/>
  <w15:commentEx w15:paraId="09CB0C2D" w15:paraIdParent="3D5C5737" w15:done="0"/>
  <w15:commentEx w15:paraId="1A8AB359" w15:done="0"/>
  <w15:commentEx w15:paraId="10A9BCD0" w15:paraIdParent="1A8AB359" w15:done="0"/>
  <w15:commentEx w15:paraId="560F130E" w15:done="0"/>
  <w15:commentEx w15:paraId="35623D29" w15:paraIdParent="560F130E" w15:done="0"/>
  <w15:commentEx w15:paraId="1B5AE2FE" w15:done="0"/>
  <w15:commentEx w15:paraId="4E7F3481" w15:paraIdParent="1B5AE2FE" w15:done="0"/>
  <w15:commentEx w15:paraId="2C42DF7E" w15:done="0"/>
  <w15:commentEx w15:paraId="4DECFED0" w15:done="0"/>
  <w15:commentEx w15:paraId="08C2FB20" w15:done="0"/>
  <w15:commentEx w15:paraId="3B28ADBA" w15:done="0"/>
  <w15:commentEx w15:paraId="229D8DC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AEB" w:rsidRDefault="006C5AEB" w:rsidP="00820267">
      <w:r>
        <w:separator/>
      </w:r>
    </w:p>
  </w:endnote>
  <w:endnote w:type="continuationSeparator" w:id="0">
    <w:p w:rsidR="006C5AEB" w:rsidRDefault="006C5AEB" w:rsidP="008202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Georgia-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EB" w:rsidRDefault="006C5AEB" w:rsidP="00BF79E9">
    <w:pPr>
      <w:pStyle w:val="Heading2"/>
      <w:tabs>
        <w:tab w:val="right" w:pos="9026"/>
      </w:tabs>
      <w:spacing w:before="0" w:after="60"/>
      <w:rPr>
        <w:rFonts w:cs="Arial"/>
        <w:b w:val="0"/>
        <w:sz w:val="15"/>
        <w:szCs w:val="15"/>
      </w:rPr>
    </w:pPr>
  </w:p>
  <w:p w:rsidR="006C5AEB" w:rsidRPr="00ED1F86" w:rsidRDefault="006C5AEB" w:rsidP="00BF79E9">
    <w:pPr>
      <w:pStyle w:val="Heading2"/>
      <w:tabs>
        <w:tab w:val="right" w:pos="9026"/>
      </w:tabs>
      <w:spacing w:before="0" w:after="60"/>
      <w:rPr>
        <w:rFonts w:cs="Arial"/>
        <w:b w:val="0"/>
        <w:sz w:val="15"/>
        <w:szCs w:val="15"/>
      </w:rPr>
    </w:pPr>
  </w:p>
  <w:p w:rsidR="006C5AEB" w:rsidRPr="00ED1F86" w:rsidRDefault="006C5AEB" w:rsidP="00BF79E9">
    <w:pPr>
      <w:pStyle w:val="Heading2"/>
      <w:tabs>
        <w:tab w:val="right" w:pos="9026"/>
      </w:tabs>
      <w:spacing w:before="0" w:after="60"/>
      <w:rPr>
        <w:rFonts w:cs="Arial"/>
        <w:b w:val="0"/>
        <w:sz w:val="15"/>
        <w:szCs w:val="15"/>
      </w:rPr>
    </w:pPr>
  </w:p>
  <w:p w:rsidR="006C5AEB" w:rsidRPr="00ED1F86" w:rsidRDefault="006C5AEB" w:rsidP="00BF79E9">
    <w:pPr>
      <w:pStyle w:val="Heading2"/>
      <w:tabs>
        <w:tab w:val="right" w:pos="9026"/>
      </w:tabs>
      <w:spacing w:before="0" w:after="60"/>
      <w:rPr>
        <w:rFonts w:cs="Arial"/>
        <w:b w:val="0"/>
        <w:sz w:val="15"/>
        <w:szCs w:val="15"/>
      </w:rPr>
    </w:pPr>
    <w:r w:rsidRPr="00ED1F86">
      <w:rPr>
        <w:rFonts w:cs="Arial"/>
        <w:b w:val="0"/>
        <w:sz w:val="15"/>
        <w:szCs w:val="15"/>
      </w:rPr>
      <w:t>Equality and Human Rights Commission</w:t>
    </w:r>
    <w:r>
      <w:rPr>
        <w:rFonts w:cs="Arial"/>
        <w:b w:val="0"/>
        <w:sz w:val="15"/>
        <w:szCs w:val="15"/>
      </w:rPr>
      <w:t xml:space="preserve"> · www.equalityhumanrights.com</w:t>
    </w:r>
    <w:r w:rsidRPr="00ED1F86">
      <w:rPr>
        <w:rFonts w:cs="Arial"/>
        <w:b w:val="0"/>
        <w:sz w:val="15"/>
        <w:szCs w:val="15"/>
      </w:rPr>
      <w:tab/>
    </w:r>
    <w:r w:rsidR="004553C2" w:rsidRPr="00E62CFC">
      <w:rPr>
        <w:rFonts w:cs="Arial"/>
        <w:sz w:val="18"/>
        <w:szCs w:val="18"/>
      </w:rPr>
      <w:fldChar w:fldCharType="begin"/>
    </w:r>
    <w:r w:rsidRPr="00E62CFC">
      <w:rPr>
        <w:rFonts w:cs="Arial"/>
        <w:sz w:val="18"/>
        <w:szCs w:val="18"/>
      </w:rPr>
      <w:instrText xml:space="preserve"> PAGE   \* MERGEFORMAT </w:instrText>
    </w:r>
    <w:r w:rsidR="004553C2" w:rsidRPr="00E62CFC">
      <w:rPr>
        <w:rFonts w:cs="Arial"/>
        <w:sz w:val="18"/>
        <w:szCs w:val="18"/>
      </w:rPr>
      <w:fldChar w:fldCharType="separate"/>
    </w:r>
    <w:r>
      <w:rPr>
        <w:rFonts w:cs="Arial"/>
        <w:noProof/>
        <w:sz w:val="18"/>
        <w:szCs w:val="18"/>
      </w:rPr>
      <w:t>3</w:t>
    </w:r>
    <w:r w:rsidR="004553C2" w:rsidRPr="00E62CFC">
      <w:rPr>
        <w:rFonts w:cs="Arial"/>
        <w:noProof/>
        <w:sz w:val="18"/>
        <w:szCs w:val="18"/>
      </w:rPr>
      <w:fldChar w:fldCharType="end"/>
    </w:r>
  </w:p>
  <w:p w:rsidR="006C5AEB" w:rsidRPr="00ED1F86" w:rsidRDefault="006C5AEB" w:rsidP="00BF79E9">
    <w:pPr>
      <w:pStyle w:val="Heading2"/>
      <w:spacing w:before="0" w:after="0"/>
      <w:rPr>
        <w:rFonts w:cs="Arial"/>
        <w:b w:val="0"/>
        <w:sz w:val="15"/>
        <w:szCs w:val="15"/>
      </w:rPr>
    </w:pPr>
    <w:r w:rsidRPr="00ED1F86">
      <w:rPr>
        <w:rFonts w:cs="Arial"/>
        <w:b w:val="0"/>
        <w:sz w:val="15"/>
        <w:szCs w:val="15"/>
      </w:rPr>
      <w:t>Publication GD.14.</w:t>
    </w:r>
    <w:r>
      <w:rPr>
        <w:rFonts w:cs="Arial"/>
        <w:b w:val="0"/>
        <w:sz w:val="15"/>
        <w:szCs w:val="15"/>
      </w:rPr>
      <w:t>LF</w:t>
    </w:r>
    <w:r w:rsidRPr="00ED1F86">
      <w:rPr>
        <w:rFonts w:cs="Arial"/>
        <w:b w:val="0"/>
        <w:sz w:val="15"/>
        <w:szCs w:val="15"/>
      </w:rPr>
      <w:t>01</w:t>
    </w:r>
    <w:r>
      <w:rPr>
        <w:rFonts w:cs="Arial"/>
        <w:b w:val="0"/>
        <w:sz w:val="15"/>
        <w:szCs w:val="15"/>
      </w:rPr>
      <w:t xml:space="preserve"> · Last updated 17/07/14</w:t>
    </w:r>
    <w:r w:rsidRPr="00ED1F86">
      <w:rPr>
        <w:rFonts w:cs="Arial"/>
        <w:b w:val="0"/>
        <w:sz w:val="15"/>
        <w:szCs w:val="15"/>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EB" w:rsidRPr="00C01B37" w:rsidRDefault="006C5AEB" w:rsidP="00BF79E9">
    <w:pPr>
      <w:widowControl w:val="0"/>
      <w:spacing w:after="60" w:line="264" w:lineRule="auto"/>
      <w:ind w:left="-567" w:right="-188"/>
      <w:jc w:val="right"/>
      <w:rPr>
        <w:rFonts w:ascii="Arial" w:hAnsi="Arial" w:cs="Arial"/>
        <w:color w:val="000000"/>
        <w:sz w:val="22"/>
      </w:rPr>
    </w:pPr>
    <w:r w:rsidRPr="00C01B37">
      <w:rPr>
        <w:rFonts w:ascii="Arial" w:hAnsi="Arial" w:cs="Arial"/>
        <w:sz w:val="40"/>
        <w:szCs w:val="40"/>
      </w:rPr>
      <w:tab/>
    </w:r>
    <w:r w:rsidRPr="00C01B37">
      <w:rPr>
        <w:rFonts w:ascii="Arial" w:hAnsi="Arial" w:cs="Arial"/>
        <w:noProof/>
        <w:sz w:val="22"/>
        <w:lang w:val="en-GB" w:eastAsia="en-GB"/>
      </w:rPr>
      <w:drawing>
        <wp:anchor distT="0" distB="0" distL="114300" distR="114300" simplePos="0" relativeHeight="251659264" behindDoc="0" locked="0" layoutInCell="1" allowOverlap="1">
          <wp:simplePos x="0" y="0"/>
          <wp:positionH relativeFrom="column">
            <wp:posOffset>-190500</wp:posOffset>
          </wp:positionH>
          <wp:positionV relativeFrom="paragraph">
            <wp:posOffset>15240</wp:posOffset>
          </wp:positionV>
          <wp:extent cx="1846580" cy="449580"/>
          <wp:effectExtent l="19050" t="0" r="1270" b="0"/>
          <wp:wrapNone/>
          <wp:docPr id="10" name="Picture 10" descr="Logo - 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GB"/>
                  <pic:cNvPicPr>
                    <a:picLocks noChangeAspect="1" noChangeArrowheads="1"/>
                  </pic:cNvPicPr>
                </pic:nvPicPr>
                <pic:blipFill>
                  <a:blip r:embed="rId1"/>
                  <a:srcRect/>
                  <a:stretch>
                    <a:fillRect/>
                  </a:stretch>
                </pic:blipFill>
                <pic:spPr bwMode="auto">
                  <a:xfrm>
                    <a:off x="0" y="0"/>
                    <a:ext cx="1846580" cy="449580"/>
                  </a:xfrm>
                  <a:prstGeom prst="rect">
                    <a:avLst/>
                  </a:prstGeom>
                  <a:noFill/>
                  <a:ln w="9525">
                    <a:noFill/>
                    <a:miter lim="800000"/>
                    <a:headEnd/>
                    <a:tailEnd/>
                  </a:ln>
                </pic:spPr>
              </pic:pic>
            </a:graphicData>
          </a:graphic>
        </wp:anchor>
      </w:drawing>
    </w:r>
    <w:r w:rsidRPr="00C01B37">
      <w:rPr>
        <w:rFonts w:ascii="Arial" w:hAnsi="Arial" w:cs="Arial"/>
        <w:noProof/>
        <w:sz w:val="22"/>
      </w:rPr>
      <w:t>Equality</w:t>
    </w:r>
    <w:r w:rsidRPr="00C01B37">
      <w:rPr>
        <w:rFonts w:ascii="Arial" w:hAnsi="Arial" w:cs="Arial"/>
        <w:color w:val="000000"/>
        <w:sz w:val="22"/>
      </w:rPr>
      <w:t xml:space="preserve"> and Human Rights Commission</w:t>
    </w:r>
  </w:p>
  <w:p w:rsidR="006C5AEB" w:rsidRDefault="004553C2" w:rsidP="00BF79E9">
    <w:pPr>
      <w:widowControl w:val="0"/>
      <w:spacing w:after="60" w:line="264" w:lineRule="auto"/>
      <w:ind w:left="-567" w:right="-188"/>
      <w:jc w:val="right"/>
      <w:rPr>
        <w:rFonts w:cs="Arial"/>
        <w:color w:val="000000"/>
        <w:sz w:val="22"/>
      </w:rPr>
    </w:pPr>
    <w:hyperlink r:id="rId2" w:history="1">
      <w:r w:rsidR="006C5AEB" w:rsidRPr="00C01B37">
        <w:rPr>
          <w:rStyle w:val="Hyperlink"/>
          <w:rFonts w:ascii="Arial" w:hAnsi="Arial" w:cs="Arial"/>
          <w:sz w:val="22"/>
        </w:rPr>
        <w:t>www.equalityhumanrights.com</w:t>
      </w:r>
    </w:hyperlink>
  </w:p>
  <w:p w:rsidR="006C5AEB" w:rsidRPr="00047FDA" w:rsidRDefault="006C5AEB" w:rsidP="00BF79E9">
    <w:pPr>
      <w:widowControl w:val="0"/>
      <w:spacing w:after="60" w:line="264" w:lineRule="auto"/>
      <w:ind w:left="-567" w:right="-330"/>
      <w:jc w:val="right"/>
      <w:rPr>
        <w:rFonts w:cs="Arial"/>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EB" w:rsidRPr="00E34345" w:rsidRDefault="006C5AEB" w:rsidP="001C060F">
    <w:pPr>
      <w:pStyle w:val="Heading2"/>
      <w:tabs>
        <w:tab w:val="right" w:pos="9026"/>
      </w:tabs>
      <w:spacing w:before="0" w:after="60"/>
      <w:rPr>
        <w:rFonts w:ascii="Arial" w:hAnsi="Arial" w:cs="Arial"/>
        <w:b w:val="0"/>
        <w:sz w:val="15"/>
        <w:szCs w:val="15"/>
      </w:rPr>
    </w:pPr>
  </w:p>
  <w:p w:rsidR="006C5AEB" w:rsidRPr="00E34345" w:rsidRDefault="006C5AEB" w:rsidP="001C060F">
    <w:pPr>
      <w:pStyle w:val="Heading2"/>
      <w:tabs>
        <w:tab w:val="right" w:pos="9026"/>
      </w:tabs>
      <w:spacing w:before="0" w:after="60"/>
      <w:rPr>
        <w:rFonts w:ascii="Arial" w:hAnsi="Arial" w:cs="Arial"/>
        <w:b w:val="0"/>
        <w:sz w:val="15"/>
        <w:szCs w:val="15"/>
      </w:rPr>
    </w:pPr>
  </w:p>
  <w:p w:rsidR="006C5AEB" w:rsidRPr="00E34345" w:rsidRDefault="006C5AEB" w:rsidP="001C060F">
    <w:pPr>
      <w:pStyle w:val="Heading2"/>
      <w:tabs>
        <w:tab w:val="right" w:pos="9026"/>
      </w:tabs>
      <w:spacing w:before="0" w:after="60"/>
      <w:rPr>
        <w:rFonts w:ascii="Arial" w:hAnsi="Arial" w:cs="Arial"/>
        <w:b w:val="0"/>
        <w:sz w:val="15"/>
        <w:szCs w:val="15"/>
      </w:rPr>
    </w:pPr>
  </w:p>
  <w:p w:rsidR="006C5AEB" w:rsidRPr="008D4958" w:rsidRDefault="006C5AEB" w:rsidP="006028A1">
    <w:pPr>
      <w:pStyle w:val="Heading2"/>
      <w:tabs>
        <w:tab w:val="right" w:pos="9026"/>
      </w:tabs>
      <w:spacing w:before="0" w:after="40"/>
      <w:rPr>
        <w:rFonts w:ascii="Arial" w:hAnsi="Arial" w:cs="Arial"/>
        <w:b w:val="0"/>
        <w:sz w:val="16"/>
        <w:szCs w:val="16"/>
      </w:rPr>
    </w:pPr>
    <w:r w:rsidRPr="00CF654D">
      <w:rPr>
        <w:rFonts w:ascii="Arial" w:hAnsi="Arial" w:cs="Arial"/>
        <w:b w:val="0"/>
        <w:sz w:val="16"/>
        <w:szCs w:val="16"/>
      </w:rPr>
      <w:t>Equality and Human Rights Commission · www.equalityhumanrights.com</w:t>
    </w:r>
    <w:r w:rsidRPr="00CF654D">
      <w:rPr>
        <w:rFonts w:ascii="Arial" w:hAnsi="Arial" w:cs="Arial"/>
        <w:b w:val="0"/>
        <w:sz w:val="16"/>
        <w:szCs w:val="16"/>
      </w:rPr>
      <w:tab/>
    </w:r>
    <w:r w:rsidR="004553C2" w:rsidRPr="00CF654D">
      <w:rPr>
        <w:rFonts w:ascii="Arial" w:hAnsi="Arial" w:cs="Arial"/>
        <w:sz w:val="16"/>
        <w:szCs w:val="16"/>
      </w:rPr>
      <w:fldChar w:fldCharType="begin"/>
    </w:r>
    <w:r w:rsidRPr="00CF654D">
      <w:rPr>
        <w:rFonts w:ascii="Arial" w:hAnsi="Arial" w:cs="Arial"/>
        <w:sz w:val="16"/>
        <w:szCs w:val="16"/>
      </w:rPr>
      <w:instrText xml:space="preserve"> PAGE   \* MERGEFORMAT </w:instrText>
    </w:r>
    <w:r w:rsidR="004553C2" w:rsidRPr="00CF654D">
      <w:rPr>
        <w:rFonts w:ascii="Arial" w:hAnsi="Arial" w:cs="Arial"/>
        <w:sz w:val="16"/>
        <w:szCs w:val="16"/>
      </w:rPr>
      <w:fldChar w:fldCharType="separate"/>
    </w:r>
    <w:r w:rsidR="00560F49">
      <w:rPr>
        <w:rFonts w:ascii="Arial" w:hAnsi="Arial" w:cs="Arial"/>
        <w:noProof/>
        <w:sz w:val="16"/>
        <w:szCs w:val="16"/>
      </w:rPr>
      <w:t>19</w:t>
    </w:r>
    <w:r w:rsidR="004553C2" w:rsidRPr="00CF654D">
      <w:rPr>
        <w:rFonts w:ascii="Arial" w:hAnsi="Arial" w:cs="Arial"/>
        <w:noProof/>
        <w:sz w:val="16"/>
        <w:szCs w:val="16"/>
      </w:rPr>
      <w:fldChar w:fldCharType="end"/>
    </w:r>
  </w:p>
  <w:p w:rsidR="006C5AEB" w:rsidRPr="008D4958" w:rsidRDefault="006C5AEB" w:rsidP="006028A1">
    <w:pPr>
      <w:pStyle w:val="Heading2"/>
      <w:spacing w:before="0" w:after="0"/>
      <w:rPr>
        <w:rFonts w:ascii="Arial" w:hAnsi="Arial" w:cs="Arial"/>
        <w:sz w:val="16"/>
        <w:szCs w:val="16"/>
      </w:rPr>
    </w:pPr>
    <w:r w:rsidRPr="00CF654D">
      <w:rPr>
        <w:rFonts w:ascii="Arial" w:hAnsi="Arial" w:cs="Arial"/>
        <w:b w:val="0"/>
        <w:sz w:val="16"/>
        <w:szCs w:val="16"/>
      </w:rPr>
      <w:t>Published February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AEB" w:rsidRDefault="006C5AEB" w:rsidP="00820267">
      <w:r>
        <w:separator/>
      </w:r>
    </w:p>
  </w:footnote>
  <w:footnote w:type="continuationSeparator" w:id="0">
    <w:p w:rsidR="006C5AEB" w:rsidRDefault="006C5AEB" w:rsidP="00820267">
      <w:r>
        <w:continuationSeparator/>
      </w:r>
    </w:p>
  </w:footnote>
  <w:footnote w:id="1">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See also Scotland Act 1998 and the Government of Wales Act 2006: An Act of the Scottish Parliament or the Welsh Assembly is not law if it is incompatible with any of the Convention rights. Scottish and Welsh Ministers also have no power to act in a manner incompatible with any Convention right.</w:t>
      </w:r>
    </w:p>
  </w:footnote>
  <w:footnote w:id="2">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i/>
        </w:rPr>
        <w:t>Derbyshire County Council v Times Newspapers</w:t>
      </w:r>
      <w:r w:rsidRPr="00F949CD">
        <w:rPr>
          <w:rFonts w:ascii="Arial" w:hAnsi="Arial" w:cs="Arial"/>
        </w:rPr>
        <w:t xml:space="preserve"> [1995] AC 534.</w:t>
      </w:r>
    </w:p>
  </w:footnote>
  <w:footnote w:id="3">
    <w:p w:rsidR="006C5AEB" w:rsidRPr="00A55B47" w:rsidRDefault="006C5AEB" w:rsidP="00A55B47">
      <w:pPr>
        <w:keepNext/>
        <w:keepLines/>
        <w:spacing w:line="276" w:lineRule="auto"/>
        <w:rPr>
          <w:rFonts w:ascii="Arial" w:hAnsi="Arial" w:cs="Arial"/>
        </w:rPr>
      </w:pPr>
      <w:r w:rsidRPr="00F949CD">
        <w:rPr>
          <w:rStyle w:val="FootnoteReference"/>
          <w:rFonts w:ascii="Arial" w:hAnsi="Arial" w:cs="Arial"/>
          <w:sz w:val="20"/>
          <w:szCs w:val="20"/>
        </w:rPr>
        <w:footnoteRef/>
      </w:r>
      <w:r w:rsidRPr="00F949CD">
        <w:rPr>
          <w:rFonts w:ascii="Arial" w:hAnsi="Arial" w:cs="Arial"/>
          <w:sz w:val="20"/>
          <w:szCs w:val="20"/>
        </w:rPr>
        <w:t xml:space="preserve"> </w:t>
      </w:r>
      <w:proofErr w:type="spellStart"/>
      <w:r w:rsidRPr="00F949CD">
        <w:rPr>
          <w:rFonts w:ascii="Arial" w:hAnsi="Arial" w:cs="Arial"/>
          <w:i/>
          <w:sz w:val="20"/>
          <w:szCs w:val="20"/>
        </w:rPr>
        <w:t>Informationsverein</w:t>
      </w:r>
      <w:proofErr w:type="spellEnd"/>
      <w:r w:rsidRPr="00F949CD">
        <w:rPr>
          <w:rFonts w:ascii="Arial" w:hAnsi="Arial" w:cs="Arial"/>
          <w:i/>
          <w:sz w:val="20"/>
          <w:szCs w:val="20"/>
        </w:rPr>
        <w:t xml:space="preserve"> </w:t>
      </w:r>
      <w:proofErr w:type="spellStart"/>
      <w:r w:rsidRPr="00F949CD">
        <w:rPr>
          <w:rFonts w:ascii="Arial" w:hAnsi="Arial" w:cs="Arial"/>
          <w:i/>
          <w:sz w:val="20"/>
          <w:szCs w:val="20"/>
        </w:rPr>
        <w:t>Lentia</w:t>
      </w:r>
      <w:proofErr w:type="spellEnd"/>
      <w:r w:rsidRPr="00F949CD">
        <w:rPr>
          <w:rFonts w:ascii="Arial" w:hAnsi="Arial" w:cs="Arial"/>
          <w:i/>
          <w:sz w:val="20"/>
          <w:szCs w:val="20"/>
        </w:rPr>
        <w:t xml:space="preserve"> and others v Austria </w:t>
      </w:r>
      <w:r w:rsidRPr="00F949CD">
        <w:rPr>
          <w:rFonts w:ascii="Arial" w:hAnsi="Arial" w:cs="Arial"/>
          <w:sz w:val="20"/>
          <w:szCs w:val="20"/>
        </w:rPr>
        <w:t>(1993).</w:t>
      </w:r>
      <w:r w:rsidRPr="00A55B47">
        <w:rPr>
          <w:rFonts w:ascii="Arial" w:hAnsi="Arial" w:cs="Arial"/>
        </w:rPr>
        <w:t xml:space="preserve"> </w:t>
      </w:r>
    </w:p>
  </w:footnote>
  <w:footnote w:id="4">
    <w:p w:rsidR="006C5AEB" w:rsidRPr="00F949CD" w:rsidRDefault="006C5AEB">
      <w:pPr>
        <w:pStyle w:val="FootnoteText"/>
        <w:rPr>
          <w:rFonts w:ascii="Arial" w:hAnsi="Arial" w:cs="Arial"/>
        </w:rPr>
      </w:pPr>
      <w:r w:rsidRPr="00F949CD">
        <w:rPr>
          <w:rStyle w:val="FootnoteReference"/>
          <w:rFonts w:ascii="Arial" w:hAnsi="Arial" w:cs="Arial"/>
        </w:rPr>
        <w:footnoteRef/>
      </w:r>
      <w:r w:rsidRPr="00F949CD">
        <w:rPr>
          <w:rFonts w:ascii="Arial" w:hAnsi="Arial" w:cs="Arial"/>
        </w:rPr>
        <w:t xml:space="preserve"> </w:t>
      </w:r>
      <w:proofErr w:type="spellStart"/>
      <w:r w:rsidRPr="00F949CD">
        <w:rPr>
          <w:rFonts w:ascii="Arial" w:hAnsi="Arial" w:cs="Arial"/>
          <w:i/>
        </w:rPr>
        <w:t>Handyside</w:t>
      </w:r>
      <w:proofErr w:type="spellEnd"/>
      <w:r w:rsidRPr="00F949CD">
        <w:rPr>
          <w:rFonts w:ascii="Arial" w:hAnsi="Arial" w:cs="Arial"/>
          <w:i/>
        </w:rPr>
        <w:t xml:space="preserve"> v the United Kingdom</w:t>
      </w:r>
      <w:r w:rsidRPr="00F949CD">
        <w:rPr>
          <w:rFonts w:ascii="Arial" w:hAnsi="Arial" w:cs="Arial"/>
        </w:rPr>
        <w:t xml:space="preserve"> (1976)</w:t>
      </w:r>
      <w:r>
        <w:rPr>
          <w:rFonts w:ascii="Arial" w:hAnsi="Arial" w:cs="Arial"/>
        </w:rPr>
        <w:t>.</w:t>
      </w:r>
    </w:p>
  </w:footnote>
  <w:footnote w:id="5">
    <w:p w:rsidR="006C5AEB" w:rsidRPr="00F949CD" w:rsidRDefault="006C5AEB">
      <w:pPr>
        <w:pStyle w:val="FootnoteText"/>
        <w:rPr>
          <w:rFonts w:ascii="Arial" w:hAnsi="Arial" w:cs="Arial"/>
        </w:rPr>
      </w:pPr>
      <w:r w:rsidRPr="00F949CD">
        <w:rPr>
          <w:rStyle w:val="FootnoteReference"/>
          <w:rFonts w:ascii="Arial" w:hAnsi="Arial" w:cs="Arial"/>
        </w:rPr>
        <w:footnoteRef/>
      </w:r>
      <w:r w:rsidRPr="00F949CD">
        <w:rPr>
          <w:rFonts w:ascii="Arial" w:hAnsi="Arial" w:cs="Arial"/>
        </w:rPr>
        <w:t xml:space="preserve"> </w:t>
      </w:r>
      <w:proofErr w:type="spellStart"/>
      <w:r w:rsidRPr="00F949CD">
        <w:rPr>
          <w:rStyle w:val="sb8d990e2"/>
          <w:rFonts w:ascii="Arial" w:hAnsi="Arial" w:cs="Arial"/>
          <w:i/>
        </w:rPr>
        <w:t>Delfi</w:t>
      </w:r>
      <w:proofErr w:type="spellEnd"/>
      <w:r w:rsidRPr="00F949CD">
        <w:rPr>
          <w:rStyle w:val="sb8d990e2"/>
          <w:rFonts w:ascii="Arial" w:hAnsi="Arial" w:cs="Arial"/>
          <w:i/>
        </w:rPr>
        <w:t xml:space="preserve"> As v Estonia</w:t>
      </w:r>
      <w:r w:rsidRPr="00F949CD">
        <w:rPr>
          <w:rStyle w:val="sb8d990e2"/>
          <w:rFonts w:ascii="Arial" w:hAnsi="Arial" w:cs="Arial"/>
        </w:rPr>
        <w:t xml:space="preserve"> (2014). </w:t>
      </w:r>
    </w:p>
  </w:footnote>
  <w:footnote w:id="6">
    <w:p w:rsidR="006C5AEB" w:rsidRPr="00F949CD" w:rsidRDefault="006C5AEB" w:rsidP="00545244">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proofErr w:type="spellStart"/>
      <w:r w:rsidRPr="00F949CD">
        <w:rPr>
          <w:rFonts w:ascii="Arial" w:hAnsi="Arial" w:cs="Arial"/>
          <w:i/>
          <w:lang w:val="en-GB"/>
        </w:rPr>
        <w:t>Jersild</w:t>
      </w:r>
      <w:proofErr w:type="spellEnd"/>
      <w:r w:rsidRPr="00F949CD">
        <w:rPr>
          <w:rFonts w:ascii="Arial" w:hAnsi="Arial" w:cs="Arial"/>
          <w:i/>
          <w:lang w:val="en-GB"/>
        </w:rPr>
        <w:t xml:space="preserve"> v Denmark</w:t>
      </w:r>
      <w:r w:rsidRPr="00F949CD">
        <w:rPr>
          <w:rFonts w:ascii="Arial" w:hAnsi="Arial" w:cs="Arial"/>
          <w:lang w:val="en-GB"/>
        </w:rPr>
        <w:t xml:space="preserve"> (1994).</w:t>
      </w:r>
    </w:p>
    <w:p w:rsidR="006C5AEB" w:rsidRPr="00A55B47" w:rsidRDefault="006C5AEB" w:rsidP="00545244">
      <w:pPr>
        <w:pStyle w:val="FootnoteText"/>
        <w:rPr>
          <w:rFonts w:ascii="Arial" w:hAnsi="Arial" w:cs="Arial"/>
          <w:sz w:val="24"/>
          <w:szCs w:val="24"/>
          <w:lang w:val="en-GB"/>
        </w:rPr>
      </w:pPr>
    </w:p>
  </w:footnote>
  <w:footnote w:id="7">
    <w:p w:rsidR="006C5AEB" w:rsidRPr="00F949CD" w:rsidRDefault="006C5AEB" w:rsidP="002145A2">
      <w:pPr>
        <w:pStyle w:val="FootnoteText"/>
        <w:rPr>
          <w:rFonts w:ascii="Arial" w:hAnsi="Arial" w:cs="Arial"/>
        </w:rPr>
      </w:pPr>
      <w:r w:rsidRPr="00F949CD">
        <w:rPr>
          <w:rStyle w:val="FootnoteReference"/>
          <w:rFonts w:ascii="Arial" w:hAnsi="Arial" w:cs="Arial"/>
        </w:rPr>
        <w:footnoteRef/>
      </w:r>
      <w:r w:rsidRPr="00F949CD">
        <w:rPr>
          <w:rFonts w:ascii="Arial" w:hAnsi="Arial" w:cs="Arial"/>
        </w:rPr>
        <w:t xml:space="preserve"> </w:t>
      </w:r>
      <w:proofErr w:type="spellStart"/>
      <w:r w:rsidRPr="00F949CD">
        <w:rPr>
          <w:rFonts w:ascii="Arial" w:hAnsi="Arial" w:cs="Arial"/>
          <w:i/>
        </w:rPr>
        <w:t>Jersild</w:t>
      </w:r>
      <w:proofErr w:type="spellEnd"/>
      <w:r w:rsidRPr="00F949CD">
        <w:rPr>
          <w:rFonts w:ascii="Arial" w:hAnsi="Arial" w:cs="Arial"/>
          <w:i/>
        </w:rPr>
        <w:t xml:space="preserve"> v Denmark</w:t>
      </w:r>
      <w:r w:rsidRPr="00F949CD">
        <w:rPr>
          <w:rFonts w:ascii="Arial" w:hAnsi="Arial" w:cs="Arial"/>
        </w:rPr>
        <w:t xml:space="preserve"> (1994).</w:t>
      </w:r>
    </w:p>
  </w:footnote>
  <w:footnote w:id="8">
    <w:p w:rsidR="006C5AEB" w:rsidRPr="00F949CD" w:rsidRDefault="006C5AEB" w:rsidP="004D2374">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E.g. </w:t>
      </w:r>
      <w:r w:rsidRPr="00F949CD">
        <w:rPr>
          <w:rFonts w:ascii="Arial" w:hAnsi="Arial" w:cs="Arial"/>
          <w:lang w:val="en-GB"/>
        </w:rPr>
        <w:t>Recommendation No. R(97) 20 on ‘hate speech’ adopted October 1997 by Committee of Ministers of Council of Europe.</w:t>
      </w:r>
    </w:p>
  </w:footnote>
  <w:footnote w:id="9">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E.g. the right to non-discrimination under Article 7 of Universal Declaration of Human Rights 1948, Article 26 of International Covenant on Civil and Political Rights 1966, Article 5 of Convention for the Elimination of All Forms of Racial Discrimination 1969, and Article 14 of European Convention on Human Rights.</w:t>
      </w:r>
    </w:p>
  </w:footnote>
  <w:footnote w:id="10">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See also Article 4 of the Convention for the Elimination of All Forms of Discrimination of Racial Discrimination 1969.</w:t>
      </w:r>
    </w:p>
  </w:footnote>
  <w:footnote w:id="11">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E.g. </w:t>
      </w:r>
      <w:proofErr w:type="spellStart"/>
      <w:r w:rsidRPr="00F949CD">
        <w:rPr>
          <w:rFonts w:ascii="Arial" w:hAnsi="Arial" w:cs="Arial"/>
          <w:i/>
        </w:rPr>
        <w:t>Vejdeland</w:t>
      </w:r>
      <w:proofErr w:type="spellEnd"/>
      <w:r w:rsidRPr="00F949CD">
        <w:rPr>
          <w:rFonts w:ascii="Arial" w:hAnsi="Arial" w:cs="Arial"/>
          <w:i/>
        </w:rPr>
        <w:t xml:space="preserve"> and others v Sweden</w:t>
      </w:r>
      <w:r w:rsidRPr="00F949CD">
        <w:rPr>
          <w:rFonts w:ascii="Arial" w:hAnsi="Arial" w:cs="Arial"/>
        </w:rPr>
        <w:t xml:space="preserve"> (2014) 58 EHRR 15.</w:t>
      </w:r>
    </w:p>
  </w:footnote>
  <w:footnote w:id="12">
    <w:p w:rsidR="006C5AEB" w:rsidRPr="00A55B47" w:rsidRDefault="006C5AEB">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i/>
          <w:lang w:val="en-GB"/>
        </w:rPr>
        <w:t xml:space="preserve">Erbakan v Turkey </w:t>
      </w:r>
      <w:r w:rsidRPr="00F949CD">
        <w:rPr>
          <w:rFonts w:ascii="Arial" w:hAnsi="Arial" w:cs="Arial"/>
          <w:lang w:val="en-GB"/>
        </w:rPr>
        <w:t>(2006).</w:t>
      </w:r>
    </w:p>
  </w:footnote>
  <w:footnote w:id="13">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 xml:space="preserve">See e.g. </w:t>
      </w:r>
      <w:proofErr w:type="spellStart"/>
      <w:r w:rsidRPr="00F949CD">
        <w:rPr>
          <w:rFonts w:ascii="Arial" w:hAnsi="Arial" w:cs="Arial"/>
          <w:i/>
          <w:lang w:val="en-GB"/>
        </w:rPr>
        <w:t>Gündüz</w:t>
      </w:r>
      <w:proofErr w:type="spellEnd"/>
      <w:r w:rsidRPr="00F949CD">
        <w:rPr>
          <w:rFonts w:ascii="Arial" w:hAnsi="Arial" w:cs="Arial"/>
          <w:i/>
          <w:lang w:val="en-GB"/>
        </w:rPr>
        <w:t xml:space="preserve"> v Turkey</w:t>
      </w:r>
      <w:r w:rsidRPr="00F949CD">
        <w:rPr>
          <w:rFonts w:ascii="Arial" w:hAnsi="Arial" w:cs="Arial"/>
          <w:lang w:val="en-GB"/>
        </w:rPr>
        <w:t xml:space="preserve"> (2005). </w:t>
      </w:r>
    </w:p>
  </w:footnote>
  <w:footnote w:id="14">
    <w:p w:rsidR="006C5AEB" w:rsidRPr="00F949CD" w:rsidRDefault="006C5AEB" w:rsidP="000D2F9C">
      <w:pPr>
        <w:pStyle w:val="FootnoteText"/>
        <w:rPr>
          <w:lang w:val="en-GB"/>
        </w:rPr>
      </w:pPr>
      <w:r w:rsidRPr="00F949CD">
        <w:rPr>
          <w:rStyle w:val="FootnoteReference"/>
          <w:rFonts w:ascii="Arial" w:hAnsi="Arial" w:cs="Arial"/>
        </w:rPr>
        <w:footnoteRef/>
      </w:r>
      <w:r w:rsidRPr="00F949CD">
        <w:rPr>
          <w:rFonts w:ascii="Arial" w:hAnsi="Arial" w:cs="Arial"/>
        </w:rPr>
        <w:t xml:space="preserve"> </w:t>
      </w:r>
      <w:proofErr w:type="spellStart"/>
      <w:r w:rsidRPr="00F949CD">
        <w:rPr>
          <w:rFonts w:ascii="Arial" w:hAnsi="Arial" w:cs="Arial"/>
          <w:i/>
          <w:lang w:val="en-GB"/>
        </w:rPr>
        <w:t>Feret</w:t>
      </w:r>
      <w:proofErr w:type="spellEnd"/>
      <w:r w:rsidRPr="00F949CD">
        <w:rPr>
          <w:rFonts w:ascii="Arial" w:hAnsi="Arial" w:cs="Arial"/>
          <w:i/>
          <w:lang w:val="en-GB"/>
        </w:rPr>
        <w:t xml:space="preserve"> v Belgium</w:t>
      </w:r>
      <w:r w:rsidRPr="00F949CD">
        <w:rPr>
          <w:rFonts w:ascii="Arial" w:hAnsi="Arial" w:cs="Arial"/>
          <w:lang w:val="en-GB"/>
        </w:rPr>
        <w:t xml:space="preserve"> App. No. 15615/07.</w:t>
      </w:r>
    </w:p>
  </w:footnote>
  <w:footnote w:id="15">
    <w:p w:rsidR="006C5AEB" w:rsidRPr="00F949CD" w:rsidRDefault="006C5AEB" w:rsidP="00A41BD4">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i/>
          <w:lang w:val="en-GB"/>
        </w:rPr>
        <w:t xml:space="preserve">Norwood v the United Kingdom </w:t>
      </w:r>
      <w:r w:rsidRPr="00F949CD">
        <w:rPr>
          <w:rFonts w:ascii="Arial" w:hAnsi="Arial" w:cs="Arial"/>
          <w:lang w:val="en-GB"/>
        </w:rPr>
        <w:t>(2004).</w:t>
      </w:r>
    </w:p>
  </w:footnote>
  <w:footnote w:id="16">
    <w:p w:rsidR="006C5AEB" w:rsidRPr="00F949CD" w:rsidRDefault="006C5AEB" w:rsidP="00A41BD4">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proofErr w:type="spellStart"/>
      <w:r w:rsidRPr="00F949CD">
        <w:rPr>
          <w:rFonts w:ascii="Arial" w:hAnsi="Arial" w:cs="Arial"/>
          <w:i/>
          <w:lang w:val="en-GB"/>
        </w:rPr>
        <w:t>Garaudy</w:t>
      </w:r>
      <w:proofErr w:type="spellEnd"/>
      <w:r w:rsidRPr="00F949CD">
        <w:rPr>
          <w:rFonts w:ascii="Arial" w:hAnsi="Arial" w:cs="Arial"/>
          <w:i/>
          <w:lang w:val="en-GB"/>
        </w:rPr>
        <w:t xml:space="preserve"> v France</w:t>
      </w:r>
      <w:r w:rsidRPr="00F949CD">
        <w:rPr>
          <w:rFonts w:ascii="Arial" w:hAnsi="Arial" w:cs="Arial"/>
          <w:lang w:val="en-GB"/>
        </w:rPr>
        <w:t xml:space="preserve"> (2003).</w:t>
      </w:r>
    </w:p>
  </w:footnote>
  <w:footnote w:id="17">
    <w:p w:rsidR="006C5AEB" w:rsidRPr="00440519" w:rsidRDefault="006C5AEB">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See Hate Crime Operational Guidance, College of Policing 2014.</w:t>
      </w:r>
    </w:p>
  </w:footnote>
  <w:footnote w:id="18">
    <w:p w:rsidR="006C5AEB" w:rsidRPr="00F949CD" w:rsidRDefault="006C5AEB" w:rsidP="00A55B47">
      <w:pPr>
        <w:autoSpaceDE w:val="0"/>
        <w:autoSpaceDN w:val="0"/>
        <w:adjustRightInd w:val="0"/>
        <w:spacing w:line="276" w:lineRule="auto"/>
        <w:rPr>
          <w:rFonts w:ascii="Arial" w:hAnsi="Arial" w:cs="Arial"/>
          <w:sz w:val="20"/>
          <w:szCs w:val="20"/>
        </w:rPr>
      </w:pPr>
      <w:r w:rsidRPr="00F949CD">
        <w:rPr>
          <w:rStyle w:val="FootnoteReference"/>
          <w:rFonts w:ascii="Arial" w:hAnsi="Arial" w:cs="Arial"/>
          <w:sz w:val="20"/>
          <w:szCs w:val="20"/>
        </w:rPr>
        <w:footnoteRef/>
      </w:r>
      <w:r w:rsidRPr="00F949CD">
        <w:rPr>
          <w:rFonts w:ascii="Arial" w:hAnsi="Arial" w:cs="Arial"/>
          <w:sz w:val="20"/>
          <w:szCs w:val="20"/>
        </w:rPr>
        <w:t xml:space="preserve"> </w:t>
      </w:r>
      <w:r w:rsidRPr="00F949CD">
        <w:rPr>
          <w:rFonts w:ascii="Arial" w:eastAsia="Calibri" w:hAnsi="Arial" w:cs="Arial"/>
          <w:sz w:val="20"/>
          <w:szCs w:val="20"/>
          <w:lang w:val="en-GB" w:eastAsia="en-GB"/>
        </w:rPr>
        <w:t>The racial hatred offences are in sections 18 to 23 of the Public Order Act (‘POA’) 1986. These apply in England and Wales and Scotland. The offences of stirring up hatred on the grounds of religion and sexual orientation are in sections 29B to 29F</w:t>
      </w:r>
      <w:r w:rsidRPr="00F949CD">
        <w:rPr>
          <w:rFonts w:ascii="Arial" w:hAnsi="Arial" w:cs="Arial"/>
          <w:sz w:val="20"/>
          <w:szCs w:val="20"/>
        </w:rPr>
        <w:t xml:space="preserve">. These apply to England and Wales only. </w:t>
      </w:r>
    </w:p>
  </w:footnote>
  <w:footnote w:id="19">
    <w:p w:rsidR="006C5AEB" w:rsidRPr="00F949CD" w:rsidRDefault="006C5AEB" w:rsidP="001D32D2">
      <w:pPr>
        <w:pStyle w:val="FootnoteText"/>
        <w:spacing w:line="276" w:lineRule="auto"/>
        <w:rPr>
          <w:rFonts w:ascii="Arial" w:hAnsi="Arial" w:cs="Arial"/>
        </w:rPr>
      </w:pPr>
      <w:r w:rsidRPr="00F949CD">
        <w:rPr>
          <w:rStyle w:val="FootnoteReference"/>
          <w:rFonts w:ascii="Arial" w:hAnsi="Arial" w:cs="Arial"/>
        </w:rPr>
        <w:footnoteRef/>
      </w:r>
      <w:r w:rsidRPr="00F949CD">
        <w:rPr>
          <w:rFonts w:ascii="Arial" w:hAnsi="Arial" w:cs="Arial"/>
        </w:rPr>
        <w:t xml:space="preserve"> Section 5 POA was amended by section 57 of the Crime and Courts Act 2013 to remove the word ‘insulting’. The amendment came into force on 1 February 2014.</w:t>
      </w:r>
    </w:p>
  </w:footnote>
  <w:footnote w:id="20">
    <w:p w:rsidR="006C5AEB" w:rsidRPr="00F949CD" w:rsidRDefault="006C5AEB" w:rsidP="00A55B47">
      <w:pPr>
        <w:pStyle w:val="FootnoteText"/>
        <w:spacing w:line="276" w:lineRule="auto"/>
        <w:rPr>
          <w:rFonts w:ascii="Arial" w:hAnsi="Arial" w:cs="Arial"/>
        </w:rPr>
      </w:pPr>
      <w:r w:rsidRPr="00F949CD">
        <w:rPr>
          <w:rStyle w:val="FootnoteReference"/>
          <w:rFonts w:ascii="Arial" w:hAnsi="Arial" w:cs="Arial"/>
        </w:rPr>
        <w:footnoteRef/>
      </w:r>
      <w:r w:rsidRPr="00F949CD">
        <w:rPr>
          <w:rFonts w:ascii="Arial" w:hAnsi="Arial" w:cs="Arial"/>
        </w:rPr>
        <w:t xml:space="preserve"> Racial hatred is defined in section 17 POA 1986 as ‘hatred against a group of persons ... defined by reference to </w:t>
      </w:r>
      <w:proofErr w:type="spellStart"/>
      <w:r w:rsidRPr="00F949CD">
        <w:rPr>
          <w:rFonts w:ascii="Arial" w:hAnsi="Arial" w:cs="Arial"/>
        </w:rPr>
        <w:t>colour</w:t>
      </w:r>
      <w:proofErr w:type="spellEnd"/>
      <w:r w:rsidRPr="00F949CD">
        <w:rPr>
          <w:rFonts w:ascii="Arial" w:hAnsi="Arial" w:cs="Arial"/>
        </w:rPr>
        <w:t>, race, nationality (including citizenship) or ethnic or national origins’.</w:t>
      </w:r>
    </w:p>
  </w:footnote>
  <w:footnote w:id="21">
    <w:p w:rsidR="006C5AEB" w:rsidRPr="00A55B47" w:rsidRDefault="006C5AEB" w:rsidP="00E93D40">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This is consistent with the position under international law: see e.g. paragraph 48 of General Comment No. 34 of the UN Human Rights Committee (CCPR/C/GC/34) in relation to the right to freedom of expression under Article 19 of the International Covenant on Civil and Political Rights: ‘Prohibitions on displays of lack of respect for a religion or other belief system, including blasphemy laws, are incompatible with the Covenant, except in the specific circumstances envisaged in article 20, paragraph 2, of the Covenant…. Nor would it be permissible for such prohibitions to be used to prevent or punish criticism of religious leaders or commentary on religious doctrine and tenets of faith’.</w:t>
      </w:r>
    </w:p>
  </w:footnote>
  <w:footnote w:id="22">
    <w:p w:rsidR="006C5AEB" w:rsidRPr="00FB55D9" w:rsidRDefault="006C5AEB" w:rsidP="00FB55D9">
      <w:pPr>
        <w:pStyle w:val="FootnoteText"/>
        <w:rPr>
          <w:lang w:val="en-GB"/>
        </w:rPr>
      </w:pPr>
      <w:r w:rsidRPr="00FB55D9">
        <w:rPr>
          <w:rStyle w:val="FootnoteReference"/>
        </w:rPr>
        <w:footnoteRef/>
      </w:r>
      <w:r w:rsidRPr="00FB55D9">
        <w:t xml:space="preserve"> </w:t>
      </w:r>
      <w:r w:rsidRPr="00FB55D9">
        <w:rPr>
          <w:rFonts w:ascii="Arial" w:hAnsi="Arial" w:cs="Arial"/>
        </w:rPr>
        <w:t>Religious Prejudice under section 74 Criminal Justice (Scotland) Act 2003, Sexual Orientation and Transgender Identity under section 2 Offences (Aggravation by Prejudice) (Scotland) Act 2009, Disability under section 1 Offences (Aggravation by Prejudice) (Scotland) Act 2009.</w:t>
      </w:r>
    </w:p>
  </w:footnote>
  <w:footnote w:id="23">
    <w:p w:rsidR="006C5AEB" w:rsidRDefault="006C5AEB" w:rsidP="00FB55D9">
      <w:pPr>
        <w:pStyle w:val="FootnoteText"/>
        <w:rPr>
          <w:sz w:val="24"/>
          <w:szCs w:val="24"/>
          <w:lang w:val="en-GB"/>
        </w:rPr>
      </w:pPr>
      <w:r w:rsidRPr="00FB55D9">
        <w:rPr>
          <w:rStyle w:val="FootnoteReference"/>
        </w:rPr>
        <w:footnoteRef/>
      </w:r>
      <w:r w:rsidRPr="00FB55D9">
        <w:t xml:space="preserve"> </w:t>
      </w:r>
      <w:r>
        <w:rPr>
          <w:rFonts w:ascii="Arial" w:hAnsi="Arial" w:cs="Arial"/>
        </w:rPr>
        <w:t>Ibid.</w:t>
      </w:r>
    </w:p>
  </w:footnote>
  <w:footnote w:id="24">
    <w:p w:rsidR="006C5AEB" w:rsidRPr="00336C0B" w:rsidRDefault="006C5AEB">
      <w:pPr>
        <w:pStyle w:val="FootnoteText"/>
        <w:rPr>
          <w:lang w:val="en-GB"/>
        </w:rPr>
      </w:pPr>
      <w:r>
        <w:rPr>
          <w:rStyle w:val="FootnoteReference"/>
        </w:rPr>
        <w:footnoteRef/>
      </w:r>
      <w:r>
        <w:t xml:space="preserve"> </w:t>
      </w:r>
      <w:r w:rsidRPr="00F949CD">
        <w:rPr>
          <w:rFonts w:ascii="Arial" w:hAnsi="Arial" w:cs="Arial"/>
        </w:rPr>
        <w:t xml:space="preserve">Section 1 </w:t>
      </w:r>
      <w:r w:rsidRPr="00F949CD">
        <w:rPr>
          <w:rFonts w:ascii="Arial" w:hAnsi="Arial" w:cs="Arial"/>
          <w:lang w:val="en-GB"/>
        </w:rPr>
        <w:t>Offensive behaviour at football matches and threatening communications (Scotland) Act 2012.</w:t>
      </w:r>
    </w:p>
  </w:footnote>
  <w:footnote w:id="25">
    <w:p w:rsidR="006C5AEB" w:rsidRPr="00F949CD" w:rsidRDefault="006C5AEB" w:rsidP="00A55B47">
      <w:pPr>
        <w:pStyle w:val="FootnoteText"/>
        <w:spacing w:line="276" w:lineRule="auto"/>
        <w:rPr>
          <w:rFonts w:ascii="Arial" w:hAnsi="Arial" w:cs="Arial"/>
          <w:lang w:val="en-GB"/>
        </w:rPr>
      </w:pPr>
      <w:r w:rsidRPr="00F949CD">
        <w:rPr>
          <w:rStyle w:val="FootnoteReference"/>
          <w:rFonts w:ascii="Arial" w:hAnsi="Arial" w:cs="Arial"/>
        </w:rPr>
        <w:footnoteRef/>
      </w:r>
      <w:r>
        <w:rPr>
          <w:rFonts w:ascii="Arial" w:hAnsi="Arial" w:cs="Arial"/>
        </w:rPr>
        <w:t xml:space="preserve"> </w:t>
      </w:r>
      <w:r w:rsidRPr="00336C0B">
        <w:rPr>
          <w:rFonts w:ascii="Arial" w:hAnsi="Arial" w:cs="Arial"/>
          <w:color w:val="1F497D"/>
          <w:sz w:val="24"/>
          <w:szCs w:val="24"/>
        </w:rPr>
        <w:t xml:space="preserve"> </w:t>
      </w:r>
      <w:r w:rsidRPr="00336C0B">
        <w:rPr>
          <w:rFonts w:ascii="Arial" w:hAnsi="Arial" w:cs="Arial"/>
        </w:rPr>
        <w:t>A Football Banning Order may be imposed preventing the accused from attending any football matches throughout the UK or abroad for up to 10 years.</w:t>
      </w:r>
    </w:p>
  </w:footnote>
  <w:footnote w:id="26">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Section 16 of the Marriage and Civil Partnership (Scotland) Act 2014 and the Prosecution Guidance in relation to Same-Sex Marriage.</w:t>
      </w:r>
    </w:p>
  </w:footnote>
  <w:footnote w:id="27">
    <w:p w:rsidR="006C5AEB" w:rsidRPr="00F949CD" w:rsidRDefault="006C5AEB" w:rsidP="00A55B47">
      <w:pPr>
        <w:pStyle w:val="FootnoteText"/>
        <w:spacing w:line="276" w:lineRule="auto"/>
        <w:rPr>
          <w:rFonts w:ascii="Arial" w:hAnsi="Arial" w:cs="Arial"/>
        </w:rPr>
      </w:pPr>
      <w:r w:rsidRPr="00F949CD">
        <w:rPr>
          <w:rStyle w:val="FootnoteReference"/>
          <w:rFonts w:ascii="Arial" w:hAnsi="Arial" w:cs="Arial"/>
        </w:rPr>
        <w:footnoteRef/>
      </w:r>
      <w:r w:rsidRPr="00F949CD">
        <w:rPr>
          <w:rFonts w:ascii="Arial" w:hAnsi="Arial" w:cs="Arial"/>
        </w:rPr>
        <w:t xml:space="preserve"> Section 1 Malicious Communications Act 1988.</w:t>
      </w:r>
    </w:p>
  </w:footnote>
  <w:footnote w:id="28">
    <w:p w:rsidR="006C5AEB" w:rsidRPr="00F949CD" w:rsidRDefault="006C5AEB" w:rsidP="00E93D40">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Section 6 of the Offensive Behaviour at Football Matches and Threatening Communications (Scotland) Act 2012.</w:t>
      </w:r>
    </w:p>
  </w:footnote>
  <w:footnote w:id="29">
    <w:p w:rsidR="006C5AEB" w:rsidRPr="00A55B47" w:rsidRDefault="006C5AEB" w:rsidP="00A55B47">
      <w:pPr>
        <w:pStyle w:val="FootnoteText"/>
        <w:spacing w:line="276" w:lineRule="auto"/>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Section 127 of the Communications Act 2003.</w:t>
      </w:r>
    </w:p>
  </w:footnote>
  <w:footnote w:id="30">
    <w:p w:rsidR="006C5AEB" w:rsidRPr="00F949CD" w:rsidRDefault="006C5AEB" w:rsidP="00A41BD4">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i/>
        </w:rPr>
        <w:t>Merlin Entertainment LPC and others v Peter Cave</w:t>
      </w:r>
      <w:r w:rsidRPr="00F949CD">
        <w:rPr>
          <w:rFonts w:ascii="Arial" w:hAnsi="Arial" w:cs="Arial"/>
        </w:rPr>
        <w:t xml:space="preserve"> [2014] EWHC 3036 (QB).</w:t>
      </w:r>
    </w:p>
  </w:footnote>
  <w:footnote w:id="31">
    <w:p w:rsidR="006C5AEB" w:rsidRPr="00336C0B" w:rsidRDefault="006C5AEB" w:rsidP="00336C0B">
      <w:pPr>
        <w:pStyle w:val="FootnoteText"/>
        <w:rPr>
          <w:rFonts w:ascii="Arial" w:hAnsi="Arial" w:cs="Arial"/>
          <w:lang w:val="en-GB"/>
        </w:rPr>
      </w:pPr>
      <w:r w:rsidRPr="00336C0B">
        <w:rPr>
          <w:rStyle w:val="FootnoteReference"/>
          <w:rFonts w:ascii="Arial" w:hAnsi="Arial" w:cs="Arial"/>
        </w:rPr>
        <w:footnoteRef/>
      </w:r>
      <w:r w:rsidRPr="00336C0B">
        <w:rPr>
          <w:rFonts w:ascii="Arial" w:hAnsi="Arial" w:cs="Arial"/>
        </w:rPr>
        <w:t xml:space="preserve"> </w:t>
      </w:r>
      <w:r w:rsidRPr="00336C0B">
        <w:rPr>
          <w:rFonts w:ascii="Arial" w:hAnsi="Arial" w:cs="Arial"/>
          <w:lang w:val="en-GB"/>
        </w:rPr>
        <w:t>S.39 Criminal Justice and Licensing (Scotland) Act 2010.</w:t>
      </w:r>
    </w:p>
  </w:footnote>
  <w:footnote w:id="32">
    <w:p w:rsidR="006C5AEB" w:rsidRPr="006C5AEB" w:rsidRDefault="006C5AEB">
      <w:pPr>
        <w:pStyle w:val="FootnoteText"/>
        <w:rPr>
          <w:lang w:val="en-GB"/>
        </w:rPr>
      </w:pPr>
      <w:r>
        <w:rPr>
          <w:rStyle w:val="FootnoteReference"/>
        </w:rPr>
        <w:footnoteRef/>
      </w:r>
      <w:r>
        <w:t xml:space="preserve"> </w:t>
      </w:r>
      <w:r w:rsidRPr="00F949CD">
        <w:rPr>
          <w:rFonts w:ascii="Arial" w:hAnsi="Arial" w:cs="Arial"/>
        </w:rPr>
        <w:t>Hate Crime: Should the Current Offences be Extended (Law Com no. 348) May 2014</w:t>
      </w:r>
      <w:r>
        <w:rPr>
          <w:rFonts w:ascii="Arial" w:hAnsi="Arial" w:cs="Arial"/>
        </w:rPr>
        <w:t>.</w:t>
      </w:r>
    </w:p>
  </w:footnote>
  <w:footnote w:id="33">
    <w:p w:rsidR="006C5AEB" w:rsidRPr="00F949CD" w:rsidRDefault="006C5AEB">
      <w:pPr>
        <w:rPr>
          <w:rFonts w:ascii="Arial" w:hAnsi="Arial" w:cs="Arial"/>
          <w:sz w:val="20"/>
          <w:szCs w:val="20"/>
        </w:rPr>
      </w:pPr>
      <w:r>
        <w:rPr>
          <w:rFonts w:ascii="Arial" w:hAnsi="Arial" w:cs="Arial"/>
          <w:sz w:val="20"/>
          <w:szCs w:val="20"/>
          <w:vertAlign w:val="superscript"/>
        </w:rPr>
        <w:t>33</w:t>
      </w:r>
      <w:r w:rsidRPr="00F949CD">
        <w:rPr>
          <w:rFonts w:ascii="Arial" w:hAnsi="Arial" w:cs="Arial"/>
          <w:sz w:val="20"/>
          <w:szCs w:val="20"/>
          <w:vertAlign w:val="superscript"/>
        </w:rPr>
        <w:t xml:space="preserve"> </w:t>
      </w:r>
      <w:r w:rsidRPr="00F949CD">
        <w:rPr>
          <w:rStyle w:val="st1"/>
          <w:rFonts w:ascii="Arial" w:hAnsi="Arial" w:cs="Arial"/>
          <w:sz w:val="20"/>
          <w:szCs w:val="20"/>
        </w:rPr>
        <w:t>Sections 145-146 Criminal Justice Act 2003.</w:t>
      </w:r>
    </w:p>
  </w:footnote>
  <w:footnote w:id="34">
    <w:p w:rsidR="006C5AEB" w:rsidRPr="00A55B47" w:rsidRDefault="006C5AEB">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Offences (Aggravation by Prejudice) (Scotland) Act 2009, in respect of religious prejudice, section 74 of the Criminal Justice (Scotland) Act 2003 and in respect of race, s.96 Crime and Disorder Act 1998.</w:t>
      </w:r>
    </w:p>
  </w:footnote>
  <w:footnote w:id="35">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See e.g. </w:t>
      </w:r>
      <w:r w:rsidRPr="00F949CD">
        <w:rPr>
          <w:rFonts w:ascii="Arial" w:hAnsi="Arial" w:cs="Arial"/>
          <w:i/>
        </w:rPr>
        <w:t xml:space="preserve">Animal Defenders v </w:t>
      </w:r>
      <w:r>
        <w:rPr>
          <w:rFonts w:ascii="Arial" w:hAnsi="Arial" w:cs="Arial"/>
          <w:i/>
        </w:rPr>
        <w:t xml:space="preserve">the </w:t>
      </w:r>
      <w:r w:rsidRPr="00F949CD">
        <w:rPr>
          <w:rFonts w:ascii="Arial" w:hAnsi="Arial" w:cs="Arial"/>
          <w:i/>
        </w:rPr>
        <w:t>United Kingdom</w:t>
      </w:r>
      <w:r w:rsidRPr="00F949CD">
        <w:rPr>
          <w:rFonts w:ascii="Arial" w:hAnsi="Arial" w:cs="Arial"/>
        </w:rPr>
        <w:t xml:space="preserve"> (2013).</w:t>
      </w:r>
    </w:p>
  </w:footnote>
  <w:footnote w:id="36">
    <w:p w:rsidR="006C5AEB" w:rsidRPr="00F949CD" w:rsidRDefault="006C5AEB">
      <w:pPr>
        <w:pStyle w:val="FootnoteText"/>
        <w:rPr>
          <w:lang w:val="en-GB"/>
        </w:rPr>
      </w:pPr>
      <w:r w:rsidRPr="00F949CD">
        <w:rPr>
          <w:rStyle w:val="FootnoteReference"/>
          <w:rFonts w:ascii="Arial" w:hAnsi="Arial" w:cs="Arial"/>
        </w:rPr>
        <w:footnoteRef/>
      </w:r>
      <w:r w:rsidRPr="00F949CD">
        <w:rPr>
          <w:rFonts w:ascii="Arial" w:hAnsi="Arial" w:cs="Arial"/>
        </w:rPr>
        <w:t xml:space="preserve"> Contrary to section 19 of the Public Order Act 1986.</w:t>
      </w:r>
    </w:p>
  </w:footnote>
  <w:footnote w:id="37">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Section 19(2) of the Public Order Act 1986.</w:t>
      </w:r>
    </w:p>
  </w:footnote>
  <w:footnote w:id="38">
    <w:p w:rsidR="006C5AEB" w:rsidRPr="00F949CD" w:rsidRDefault="006C5AEB" w:rsidP="000B64F3">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eastAsia="Helvetica" w:hAnsi="Arial" w:cs="Arial"/>
          <w:i/>
          <w:color w:val="000000"/>
          <w:lang w:val="en-GB" w:eastAsia="en-GB"/>
        </w:rPr>
        <w:t xml:space="preserve">Animal Defenders International v </w:t>
      </w:r>
      <w:r>
        <w:rPr>
          <w:rFonts w:ascii="Arial" w:eastAsia="Helvetica" w:hAnsi="Arial" w:cs="Arial"/>
          <w:i/>
          <w:color w:val="000000"/>
          <w:lang w:val="en-GB" w:eastAsia="en-GB"/>
        </w:rPr>
        <w:t xml:space="preserve">the </w:t>
      </w:r>
      <w:r w:rsidRPr="00F949CD">
        <w:rPr>
          <w:rFonts w:ascii="Arial" w:eastAsia="Helvetica" w:hAnsi="Arial" w:cs="Arial"/>
          <w:i/>
          <w:color w:val="000000"/>
          <w:lang w:val="en-GB" w:eastAsia="en-GB"/>
        </w:rPr>
        <w:t>U</w:t>
      </w:r>
      <w:r>
        <w:rPr>
          <w:rFonts w:ascii="Arial" w:eastAsia="Helvetica" w:hAnsi="Arial" w:cs="Arial"/>
          <w:i/>
          <w:color w:val="000000"/>
          <w:lang w:val="en-GB" w:eastAsia="en-GB"/>
        </w:rPr>
        <w:t xml:space="preserve">nited </w:t>
      </w:r>
      <w:r w:rsidRPr="00F949CD">
        <w:rPr>
          <w:rFonts w:ascii="Arial" w:eastAsia="Helvetica" w:hAnsi="Arial" w:cs="Arial"/>
          <w:i/>
          <w:color w:val="000000"/>
          <w:lang w:val="en-GB" w:eastAsia="en-GB"/>
        </w:rPr>
        <w:t>K</w:t>
      </w:r>
      <w:r>
        <w:rPr>
          <w:rFonts w:ascii="Arial" w:eastAsia="Helvetica" w:hAnsi="Arial" w:cs="Arial"/>
          <w:i/>
          <w:color w:val="000000"/>
          <w:lang w:val="en-GB" w:eastAsia="en-GB"/>
        </w:rPr>
        <w:t>ingdom</w:t>
      </w:r>
      <w:r w:rsidRPr="00F949CD">
        <w:rPr>
          <w:rFonts w:ascii="Arial" w:eastAsia="Helvetica" w:hAnsi="Arial" w:cs="Arial"/>
          <w:color w:val="000000"/>
          <w:lang w:val="en-GB" w:eastAsia="en-GB"/>
        </w:rPr>
        <w:t xml:space="preserve"> (2013).</w:t>
      </w:r>
    </w:p>
  </w:footnote>
  <w:footnote w:id="39">
    <w:p w:rsidR="006C5AEB" w:rsidRPr="00A55B47" w:rsidRDefault="006C5AEB">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See e.g. </w:t>
      </w:r>
      <w:proofErr w:type="spellStart"/>
      <w:r w:rsidRPr="00F949CD">
        <w:rPr>
          <w:rFonts w:ascii="Arial" w:hAnsi="Arial" w:cs="Arial"/>
          <w:i/>
        </w:rPr>
        <w:t>Delfi</w:t>
      </w:r>
      <w:proofErr w:type="spellEnd"/>
      <w:r w:rsidRPr="00F949CD">
        <w:rPr>
          <w:rFonts w:ascii="Arial" w:hAnsi="Arial" w:cs="Arial"/>
          <w:i/>
        </w:rPr>
        <w:t xml:space="preserve"> As v Estonia</w:t>
      </w:r>
      <w:r w:rsidRPr="00F949CD">
        <w:rPr>
          <w:rFonts w:ascii="Arial" w:hAnsi="Arial" w:cs="Arial"/>
        </w:rPr>
        <w:t xml:space="preserve"> (2014).</w:t>
      </w:r>
    </w:p>
  </w:footnote>
  <w:footnote w:id="40">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Hidden in plain sight </w:t>
      </w:r>
      <w:r w:rsidRPr="00F949CD">
        <w:rPr>
          <w:rFonts w:ascii="Arial" w:hAnsi="Arial" w:cs="Arial"/>
          <w:lang w:val="en-GB"/>
        </w:rPr>
        <w:t>–</w:t>
      </w:r>
      <w:r w:rsidRPr="00F949CD">
        <w:rPr>
          <w:rFonts w:ascii="Arial" w:hAnsi="Arial" w:cs="Arial"/>
        </w:rPr>
        <w:t xml:space="preserve"> the inquiry final report. Available at: </w:t>
      </w:r>
      <w:hyperlink r:id="rId1" w:history="1">
        <w:r w:rsidRPr="00F949CD">
          <w:rPr>
            <w:rStyle w:val="Hyperlink"/>
            <w:rFonts w:ascii="Arial" w:hAnsi="Arial" w:cs="Arial"/>
          </w:rPr>
          <w:t>www.equalityhumanrights.com/legal-and-policy/our-legal-work/inquiries-and-assessments/inquiry-into-disability-related-harassment/hidden-in-plain-sight-the-inquiry-final-report</w:t>
        </w:r>
      </w:hyperlink>
      <w:r w:rsidRPr="00F949CD">
        <w:rPr>
          <w:rFonts w:ascii="Arial" w:hAnsi="Arial" w:cs="Arial"/>
        </w:rPr>
        <w:t xml:space="preserve"> </w:t>
      </w:r>
    </w:p>
  </w:footnote>
  <w:footnote w:id="41">
    <w:p w:rsidR="006C5AEB" w:rsidRPr="00A55B47" w:rsidRDefault="006C5AEB" w:rsidP="00264623">
      <w:pPr>
        <w:pStyle w:val="FootnoteText"/>
        <w:spacing w:line="276" w:lineRule="auto"/>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lang w:val="en-GB"/>
        </w:rPr>
        <w:t>Applicable in England and Wales only.</w:t>
      </w:r>
    </w:p>
  </w:footnote>
  <w:footnote w:id="42">
    <w:p w:rsidR="006C5AEB" w:rsidRPr="00005566" w:rsidRDefault="006C5AEB" w:rsidP="00005566">
      <w:pPr>
        <w:pStyle w:val="FootnoteText"/>
        <w:spacing w:after="240" w:line="276" w:lineRule="auto"/>
        <w:rPr>
          <w:rFonts w:ascii="Arial" w:hAnsi="Arial" w:cs="Arial"/>
          <w:lang w:val="en-GB"/>
        </w:rPr>
      </w:pPr>
      <w:r w:rsidRPr="00005566">
        <w:rPr>
          <w:rFonts w:ascii="Arial" w:hAnsi="Arial" w:cs="Arial"/>
          <w:vertAlign w:val="superscript"/>
        </w:rPr>
        <w:t>42</w:t>
      </w:r>
      <w:r w:rsidRPr="00005566">
        <w:rPr>
          <w:rFonts w:ascii="Arial" w:hAnsi="Arial" w:cs="Arial"/>
          <w:lang w:val="en-GB"/>
        </w:rPr>
        <w:t xml:space="preserve"> See </w:t>
      </w:r>
      <w:hyperlink r:id="rId2" w:anchor="GAP" w:history="1">
        <w:r w:rsidRPr="00005566">
          <w:rPr>
            <w:rStyle w:val="Hyperlink"/>
            <w:rFonts w:ascii="Arial" w:hAnsi="Arial" w:cs="Arial"/>
            <w:lang w:val="en-GB"/>
          </w:rPr>
          <w:t>http://www.copfs.gov.uk/publications/prosecution-policy-and-guidance#GAP</w:t>
        </w:r>
      </w:hyperlink>
      <w:r w:rsidRPr="00005566">
        <w:rPr>
          <w:rFonts w:ascii="Arial" w:hAnsi="Arial" w:cs="Arial"/>
          <w:lang w:val="en-GB"/>
        </w:rPr>
        <w:t xml:space="preserve"> at pages 6-7.</w:t>
      </w:r>
    </w:p>
  </w:footnote>
  <w:footnote w:id="43">
    <w:p w:rsidR="006C5AEB" w:rsidRDefault="006C5AEB" w:rsidP="00005566">
      <w:pPr>
        <w:pStyle w:val="FootnoteText"/>
        <w:rPr>
          <w:lang w:val="en-GB"/>
        </w:rPr>
      </w:pPr>
      <w:r w:rsidRPr="00005566">
        <w:rPr>
          <w:rStyle w:val="FootnoteReference"/>
          <w:rFonts w:ascii="Arial" w:hAnsi="Arial" w:cs="Arial"/>
        </w:rPr>
        <w:footnoteRef/>
      </w:r>
      <w:r w:rsidRPr="00005566">
        <w:rPr>
          <w:rFonts w:ascii="Arial" w:hAnsi="Arial" w:cs="Arial"/>
        </w:rPr>
        <w:t xml:space="preserve"> See http://www.copfs.gov.uk/our-priorities/hate-crime</w:t>
      </w:r>
    </w:p>
  </w:footnote>
  <w:footnote w:id="44">
    <w:p w:rsidR="00560F49" w:rsidRPr="00560F49" w:rsidRDefault="00560F49">
      <w:pPr>
        <w:pStyle w:val="FootnoteText"/>
        <w:rPr>
          <w:rFonts w:ascii="Arial" w:hAnsi="Arial" w:cs="Arial"/>
          <w:lang w:val="en-GB"/>
        </w:rPr>
      </w:pPr>
      <w:r w:rsidRPr="00560F49">
        <w:rPr>
          <w:rStyle w:val="FootnoteReference"/>
          <w:rFonts w:ascii="Arial" w:hAnsi="Arial" w:cs="Arial"/>
        </w:rPr>
        <w:footnoteRef/>
      </w:r>
      <w:r w:rsidRPr="00560F49">
        <w:rPr>
          <w:rFonts w:ascii="Arial" w:hAnsi="Arial" w:cs="Arial"/>
        </w:rPr>
        <w:t xml:space="preserve"> </w:t>
      </w:r>
      <w:r w:rsidRPr="00560F49">
        <w:rPr>
          <w:rFonts w:ascii="Arial" w:hAnsi="Arial" w:cs="Arial"/>
          <w:lang w:val="en-GB"/>
        </w:rPr>
        <w:t xml:space="preserve">More detail can be found in our separate technical </w:t>
      </w:r>
      <w:proofErr w:type="spellStart"/>
      <w:r w:rsidRPr="00560F49">
        <w:rPr>
          <w:rFonts w:ascii="Arial" w:hAnsi="Arial" w:cs="Arial"/>
          <w:lang w:val="en-GB"/>
        </w:rPr>
        <w:t>guidances</w:t>
      </w:r>
      <w:proofErr w:type="spellEnd"/>
      <w:r w:rsidRPr="00560F49">
        <w:rPr>
          <w:rFonts w:ascii="Arial" w:hAnsi="Arial" w:cs="Arial"/>
          <w:lang w:val="en-GB"/>
        </w:rPr>
        <w:t xml:space="preserve"> on the Public Sector Equality Duty for England, Scotland and Wales at </w:t>
      </w:r>
      <w:hyperlink r:id="rId3" w:history="1">
        <w:r w:rsidRPr="00560F49">
          <w:rPr>
            <w:rStyle w:val="Hyperlink"/>
            <w:rFonts w:ascii="Arial" w:hAnsi="Arial" w:cs="Arial"/>
            <w:lang w:val="en-GB"/>
          </w:rPr>
          <w:t>www.equalityhumanrights.com/search/site/technical%20guidance</w:t>
        </w:r>
      </w:hyperlink>
    </w:p>
  </w:footnote>
  <w:footnote w:id="45">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See </w:t>
      </w:r>
      <w:hyperlink r:id="rId4" w:history="1">
        <w:r w:rsidRPr="00F949CD">
          <w:rPr>
            <w:rStyle w:val="Hyperlink"/>
            <w:rFonts w:ascii="Arial" w:hAnsi="Arial" w:cs="Arial"/>
          </w:rPr>
          <w:t>www.asa.org.uk/Rulings/Adjudications/2012/10/Channel-Four-Television-Corporation/SHP_ADJ_197451.aspx</w:t>
        </w:r>
      </w:hyperlink>
      <w:r w:rsidRPr="00F949CD">
        <w:rPr>
          <w:rFonts w:ascii="Arial" w:hAnsi="Arial" w:cs="Arial"/>
        </w:rPr>
        <w:t xml:space="preserve"> </w:t>
      </w:r>
    </w:p>
  </w:footnote>
  <w:footnote w:id="46">
    <w:p w:rsidR="006C5AEB" w:rsidRPr="00F949CD" w:rsidRDefault="006C5AEB">
      <w:pPr>
        <w:pStyle w:val="FootnoteText"/>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i/>
          <w:iCs/>
        </w:rPr>
        <w:t>Game Retail Ltd v Laws</w:t>
      </w:r>
      <w:r w:rsidRPr="00F949CD">
        <w:rPr>
          <w:rFonts w:ascii="Arial" w:hAnsi="Arial" w:cs="Arial"/>
        </w:rPr>
        <w:t xml:space="preserve"> UKEAT0188/14.</w:t>
      </w:r>
    </w:p>
  </w:footnote>
  <w:footnote w:id="47">
    <w:p w:rsidR="006C5AEB" w:rsidRPr="00A55B47" w:rsidRDefault="006C5AEB">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r w:rsidRPr="00F949CD">
        <w:rPr>
          <w:rFonts w:ascii="Arial" w:hAnsi="Arial" w:cs="Arial"/>
          <w:i/>
          <w:lang w:val="en-GB"/>
        </w:rPr>
        <w:t xml:space="preserve">Smith v Trafford Housing Trust </w:t>
      </w:r>
      <w:r w:rsidRPr="00F949CD">
        <w:rPr>
          <w:rFonts w:ascii="Arial" w:hAnsi="Arial" w:cs="Arial"/>
          <w:lang w:val="en-GB"/>
        </w:rPr>
        <w:t>[2012] EWHC 3321 (Ch).</w:t>
      </w:r>
    </w:p>
  </w:footnote>
  <w:footnote w:id="48">
    <w:p w:rsidR="006C5AEB" w:rsidRPr="00F949CD" w:rsidRDefault="006C5AEB" w:rsidP="003177A9">
      <w:pPr>
        <w:pStyle w:val="FootnoteText"/>
        <w:spacing w:after="120" w:line="276" w:lineRule="auto"/>
        <w:rPr>
          <w:rFonts w:ascii="Arial" w:hAnsi="Arial" w:cs="Arial"/>
        </w:rPr>
      </w:pPr>
      <w:r w:rsidRPr="00F949CD">
        <w:rPr>
          <w:rStyle w:val="FootnoteReference"/>
          <w:rFonts w:ascii="Arial" w:hAnsi="Arial" w:cs="Arial"/>
        </w:rPr>
        <w:footnoteRef/>
      </w:r>
      <w:r w:rsidRPr="00F949CD">
        <w:rPr>
          <w:rFonts w:ascii="Arial" w:hAnsi="Arial" w:cs="Arial"/>
        </w:rPr>
        <w:t xml:space="preserve"> Schedule 3 para 31(1) Equality Act 2010.</w:t>
      </w:r>
    </w:p>
  </w:footnote>
  <w:footnote w:id="49">
    <w:p w:rsidR="006C5AEB" w:rsidRPr="00BB5B33" w:rsidRDefault="006C5AEB" w:rsidP="00BB5B33">
      <w:pPr>
        <w:pStyle w:val="Parabase"/>
        <w:rPr>
          <w:sz w:val="20"/>
          <w:szCs w:val="20"/>
        </w:rPr>
      </w:pPr>
      <w:r w:rsidRPr="00BB5B33">
        <w:rPr>
          <w:rStyle w:val="FootnoteReference"/>
          <w:sz w:val="20"/>
          <w:szCs w:val="20"/>
        </w:rPr>
        <w:footnoteRef/>
      </w:r>
      <w:r w:rsidRPr="00BB5B33">
        <w:rPr>
          <w:sz w:val="20"/>
          <w:szCs w:val="20"/>
        </w:rPr>
        <w:t xml:space="preserve"> Section 43 of the Education (No 2) Act</w:t>
      </w:r>
      <w:r w:rsidRPr="00BB5B33">
        <w:rPr>
          <w:b/>
          <w:bCs/>
          <w:sz w:val="20"/>
          <w:szCs w:val="20"/>
        </w:rPr>
        <w:t xml:space="preserve"> </w:t>
      </w:r>
      <w:r w:rsidRPr="00BB5B33">
        <w:rPr>
          <w:sz w:val="20"/>
          <w:szCs w:val="20"/>
        </w:rPr>
        <w:t xml:space="preserve">places a positive duty on </w:t>
      </w:r>
      <w:r>
        <w:rPr>
          <w:rStyle w:val="legds2"/>
          <w:sz w:val="20"/>
          <w:szCs w:val="20"/>
        </w:rPr>
        <w:t>universities</w:t>
      </w:r>
      <w:r w:rsidRPr="00BB5B33">
        <w:rPr>
          <w:rStyle w:val="legds2"/>
          <w:sz w:val="20"/>
          <w:szCs w:val="20"/>
        </w:rPr>
        <w:t xml:space="preserve"> and colleges</w:t>
      </w:r>
      <w:r w:rsidRPr="00BB5B33">
        <w:rPr>
          <w:sz w:val="20"/>
          <w:szCs w:val="20"/>
        </w:rPr>
        <w:t xml:space="preserve"> to take such steps as are reasonably practicable to ensure that freedom of speech within the law is secured for members, students and employees of the establishment and for visiting speakers.</w:t>
      </w:r>
    </w:p>
    <w:p w:rsidR="006C5AEB" w:rsidRPr="00BB5B33" w:rsidRDefault="006C5AEB">
      <w:pPr>
        <w:pStyle w:val="FootnoteText"/>
        <w:rPr>
          <w:lang w:val="en-GB"/>
        </w:rPr>
      </w:pPr>
    </w:p>
  </w:footnote>
  <w:footnote w:id="50">
    <w:p w:rsidR="006C5AEB" w:rsidRPr="00B02384" w:rsidRDefault="006C5AEB" w:rsidP="00AB2D18">
      <w:pPr>
        <w:pStyle w:val="FootnoteText"/>
        <w:rPr>
          <w:rFonts w:ascii="Arial" w:hAnsi="Arial" w:cs="Arial"/>
          <w:lang w:val="en-GB"/>
        </w:rPr>
      </w:pPr>
      <w:r w:rsidRPr="00B02384">
        <w:rPr>
          <w:rStyle w:val="FootnoteReference"/>
          <w:rFonts w:ascii="Arial" w:hAnsi="Arial" w:cs="Arial"/>
        </w:rPr>
        <w:footnoteRef/>
      </w:r>
      <w:r w:rsidRPr="00B02384">
        <w:rPr>
          <w:rFonts w:ascii="Arial" w:hAnsi="Arial" w:cs="Arial"/>
        </w:rPr>
        <w:t xml:space="preserve"> </w:t>
      </w:r>
      <w:r w:rsidRPr="00B02384">
        <w:rPr>
          <w:rFonts w:ascii="Arial" w:hAnsi="Arial" w:cs="Arial"/>
          <w:i/>
          <w:lang w:val="en-GB"/>
        </w:rPr>
        <w:t>Bowman v the United Kingdom</w:t>
      </w:r>
      <w:r w:rsidRPr="00B02384">
        <w:rPr>
          <w:rFonts w:ascii="Arial" w:hAnsi="Arial" w:cs="Arial"/>
          <w:lang w:val="en-GB"/>
        </w:rPr>
        <w:t xml:space="preserve"> (1982).</w:t>
      </w:r>
    </w:p>
  </w:footnote>
  <w:footnote w:id="51">
    <w:p w:rsidR="006C5AEB" w:rsidRPr="00B02384" w:rsidRDefault="006C5AEB">
      <w:pPr>
        <w:pStyle w:val="FootnoteText"/>
        <w:rPr>
          <w:rFonts w:ascii="Arial" w:hAnsi="Arial" w:cs="Arial"/>
          <w:lang w:val="en-GB"/>
        </w:rPr>
      </w:pPr>
      <w:r w:rsidRPr="00B02384">
        <w:rPr>
          <w:rStyle w:val="FootnoteReference"/>
          <w:rFonts w:ascii="Arial" w:hAnsi="Arial" w:cs="Arial"/>
        </w:rPr>
        <w:footnoteRef/>
      </w:r>
      <w:r w:rsidRPr="00B02384">
        <w:rPr>
          <w:rFonts w:ascii="Arial" w:hAnsi="Arial" w:cs="Arial"/>
        </w:rPr>
        <w:t xml:space="preserve"> </w:t>
      </w:r>
      <w:r w:rsidRPr="00B02384">
        <w:rPr>
          <w:rFonts w:ascii="Arial" w:hAnsi="Arial" w:cs="Arial"/>
          <w:lang w:val="en-GB"/>
        </w:rPr>
        <w:t>See e.g. paragraphs 26-39 of the report of the All-Party Parliamentary Inquiry into Electoral Conduct (October 2013), which provides a number of examples of reported incidents.</w:t>
      </w:r>
    </w:p>
  </w:footnote>
  <w:footnote w:id="52">
    <w:p w:rsidR="006C5AEB" w:rsidRPr="00C715D5" w:rsidRDefault="006C5AEB">
      <w:pPr>
        <w:pStyle w:val="FootnoteText"/>
        <w:rPr>
          <w:lang w:val="en-GB"/>
        </w:rPr>
      </w:pPr>
      <w:r>
        <w:rPr>
          <w:rStyle w:val="FootnoteReference"/>
        </w:rPr>
        <w:footnoteRef/>
      </w:r>
      <w:r>
        <w:t xml:space="preserve"> </w:t>
      </w:r>
      <w:r w:rsidRPr="00F949CD">
        <w:rPr>
          <w:rFonts w:ascii="Arial" w:hAnsi="Arial" w:cs="Arial"/>
        </w:rPr>
        <w:t xml:space="preserve">Electoral Commission </w:t>
      </w:r>
      <w:r w:rsidRPr="00F949CD">
        <w:rPr>
          <w:rFonts w:ascii="Arial" w:hAnsi="Arial" w:cs="Arial"/>
          <w:lang w:val="en-GB"/>
        </w:rPr>
        <w:t>business plan (2012-2017).</w:t>
      </w:r>
    </w:p>
  </w:footnote>
  <w:footnote w:id="53">
    <w:p w:rsidR="006C5AEB" w:rsidRPr="00A55B47" w:rsidRDefault="006C5AEB">
      <w:pPr>
        <w:pStyle w:val="FootnoteText"/>
        <w:rPr>
          <w:rFonts w:ascii="Arial" w:hAnsi="Arial" w:cs="Arial"/>
          <w:sz w:val="24"/>
          <w:szCs w:val="24"/>
          <w:lang w:val="en-GB"/>
        </w:rPr>
      </w:pPr>
      <w:r w:rsidRPr="00F949CD">
        <w:rPr>
          <w:rStyle w:val="FootnoteReference"/>
          <w:rFonts w:ascii="Arial" w:hAnsi="Arial" w:cs="Arial"/>
        </w:rPr>
        <w:footnoteRef/>
      </w:r>
      <w:r w:rsidRPr="00F949CD">
        <w:rPr>
          <w:rFonts w:ascii="Arial" w:hAnsi="Arial" w:cs="Arial"/>
        </w:rPr>
        <w:t xml:space="preserve"> </w:t>
      </w:r>
      <w:proofErr w:type="spellStart"/>
      <w:r w:rsidRPr="00F949CD">
        <w:rPr>
          <w:rFonts w:ascii="Arial" w:eastAsia="Helvetica" w:hAnsi="Arial" w:cs="Arial"/>
          <w:i/>
          <w:lang w:val="en-GB" w:eastAsia="en-GB"/>
        </w:rPr>
        <w:t>Woolas</w:t>
      </w:r>
      <w:proofErr w:type="spellEnd"/>
      <w:r w:rsidRPr="00F949CD">
        <w:rPr>
          <w:rFonts w:ascii="Arial" w:eastAsia="Helvetica" w:hAnsi="Arial" w:cs="Arial"/>
          <w:i/>
          <w:lang w:val="en-GB" w:eastAsia="en-GB"/>
        </w:rPr>
        <w:t>, R. (on the application of) v Speaker of the House of Commons</w:t>
      </w:r>
      <w:r w:rsidRPr="00F949CD">
        <w:rPr>
          <w:rFonts w:ascii="Arial" w:eastAsia="Helvetica" w:hAnsi="Arial" w:cs="Arial"/>
          <w:lang w:val="en-GB" w:eastAsia="en-GB"/>
        </w:rPr>
        <w:t xml:space="preserve"> (2010).</w:t>
      </w:r>
    </w:p>
  </w:footnote>
  <w:footnote w:id="54">
    <w:p w:rsidR="006C5AEB" w:rsidRPr="00F949CD" w:rsidRDefault="006C5AEB" w:rsidP="008417EF">
      <w:pPr>
        <w:pStyle w:val="FootnoteText"/>
        <w:spacing w:after="120" w:line="276" w:lineRule="auto"/>
        <w:rPr>
          <w:rFonts w:ascii="Arial" w:hAnsi="Arial" w:cs="Arial"/>
          <w:lang w:val="en-GB"/>
        </w:rPr>
      </w:pPr>
      <w:r w:rsidRPr="00F949CD">
        <w:rPr>
          <w:rStyle w:val="FootnoteReference"/>
          <w:rFonts w:ascii="Arial" w:hAnsi="Arial" w:cs="Arial"/>
        </w:rPr>
        <w:footnoteRef/>
      </w:r>
      <w:r w:rsidRPr="00F949CD">
        <w:rPr>
          <w:rFonts w:ascii="Arial" w:hAnsi="Arial" w:cs="Arial"/>
        </w:rPr>
        <w:t xml:space="preserve"> See http://www.report-it.org.uk/home</w:t>
      </w:r>
    </w:p>
  </w:footnote>
  <w:footnote w:id="55">
    <w:p w:rsidR="006C5AEB" w:rsidRPr="00F949CD" w:rsidRDefault="006C5AEB" w:rsidP="008417EF">
      <w:pPr>
        <w:pStyle w:val="FootnoteText"/>
        <w:spacing w:after="120" w:line="276" w:lineRule="auto"/>
        <w:rPr>
          <w:rFonts w:ascii="Arial" w:hAnsi="Arial" w:cs="Arial"/>
        </w:rPr>
      </w:pPr>
      <w:r w:rsidRPr="00F949CD">
        <w:rPr>
          <w:rStyle w:val="FootnoteReference"/>
          <w:rFonts w:ascii="Arial" w:hAnsi="Arial" w:cs="Arial"/>
        </w:rPr>
        <w:footnoteRef/>
      </w:r>
      <w:r w:rsidRPr="00F949CD">
        <w:rPr>
          <w:rFonts w:ascii="Arial" w:hAnsi="Arial" w:cs="Arial"/>
        </w:rPr>
        <w:t xml:space="preserve"> Section 23 EA 2006.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EB" w:rsidRPr="00E0784F" w:rsidRDefault="006C5AEB" w:rsidP="00BF79E9">
    <w:pPr>
      <w:pStyle w:val="Heading2"/>
      <w:spacing w:before="0" w:after="0" w:line="312" w:lineRule="auto"/>
      <w:rPr>
        <w:rFonts w:ascii="Arial" w:hAnsi="Arial" w:cs="Arial"/>
        <w:b w:val="0"/>
        <w:sz w:val="16"/>
        <w:szCs w:val="16"/>
      </w:rPr>
    </w:pPr>
    <w:r w:rsidRPr="00CF654D">
      <w:rPr>
        <w:rFonts w:ascii="Arial" w:hAnsi="Arial" w:cs="Arial"/>
        <w:b w:val="0"/>
        <w:sz w:val="16"/>
        <w:szCs w:val="16"/>
      </w:rPr>
      <w:t xml:space="preserve">Freedom of expression </w:t>
    </w:r>
  </w:p>
  <w:p w:rsidR="006C5AEB" w:rsidRPr="00C01B37" w:rsidRDefault="006C5AEB" w:rsidP="00BF79E9">
    <w:pPr>
      <w:pStyle w:val="Header"/>
      <w:spacing w:line="312" w:lineRule="auto"/>
      <w:rPr>
        <w:rFonts w:ascii="Arial" w:hAnsi="Arial" w:cs="Arial"/>
        <w:sz w:val="15"/>
        <w:szCs w:val="15"/>
      </w:rPr>
    </w:pPr>
  </w:p>
  <w:p w:rsidR="006C5AEB" w:rsidRPr="00C01B37" w:rsidRDefault="006C5AEB" w:rsidP="00BF79E9">
    <w:pPr>
      <w:pStyle w:val="Header"/>
      <w:spacing w:line="312" w:lineRule="auto"/>
      <w:rPr>
        <w:rFonts w:ascii="Arial" w:hAnsi="Arial" w:cs="Arial"/>
        <w:sz w:val="15"/>
        <w:szCs w:val="15"/>
      </w:rPr>
    </w:pPr>
  </w:p>
  <w:p w:rsidR="006C5AEB" w:rsidRPr="00C01B37" w:rsidRDefault="006C5AEB" w:rsidP="00BF79E9">
    <w:pPr>
      <w:pStyle w:val="Header"/>
      <w:spacing w:line="312" w:lineRule="auto"/>
      <w:rPr>
        <w:rFonts w:ascii="Arial" w:hAnsi="Arial" w:cs="Arial"/>
        <w:sz w:val="15"/>
        <w:szCs w:val="15"/>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894EE87A"/>
    <w:lvl w:ilvl="0">
      <w:start w:val="1"/>
      <w:numFmt w:val="bullet"/>
      <w:pStyle w:val="List31"/>
      <w:lvlText w:val="•"/>
      <w:lvlJc w:val="left"/>
      <w:pPr>
        <w:tabs>
          <w:tab w:val="num" w:pos="309"/>
        </w:tabs>
        <w:ind w:left="309"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
    <w:nsid w:val="006420A0"/>
    <w:multiLevelType w:val="hybridMultilevel"/>
    <w:tmpl w:val="BF9A17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12B7036"/>
    <w:multiLevelType w:val="multilevel"/>
    <w:tmpl w:val="27A4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F055F0"/>
    <w:multiLevelType w:val="multilevel"/>
    <w:tmpl w:val="435E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D431E7"/>
    <w:multiLevelType w:val="hybridMultilevel"/>
    <w:tmpl w:val="96F83480"/>
    <w:lvl w:ilvl="0" w:tplc="7564148C">
      <w:numFmt w:val="bullet"/>
      <w:pStyle w:val="List41"/>
      <w:lvlText w:val="-"/>
      <w:lvlJc w:val="left"/>
      <w:pPr>
        <w:ind w:left="720" w:hanging="360"/>
      </w:pPr>
      <w:rPr>
        <w:rFonts w:ascii="Arial" w:eastAsia="Helvetica"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DC77BE"/>
    <w:multiLevelType w:val="multilevel"/>
    <w:tmpl w:val="E992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BE28D5"/>
    <w:multiLevelType w:val="hybridMultilevel"/>
    <w:tmpl w:val="364EB63E"/>
    <w:lvl w:ilvl="0" w:tplc="08090001">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8F6EEA"/>
    <w:multiLevelType w:val="hybridMultilevel"/>
    <w:tmpl w:val="C3CE6A7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90E6A2C"/>
    <w:multiLevelType w:val="multilevel"/>
    <w:tmpl w:val="E35C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D34441"/>
    <w:multiLevelType w:val="hybridMultilevel"/>
    <w:tmpl w:val="8110AAAC"/>
    <w:lvl w:ilvl="0" w:tplc="08090001">
      <w:start w:val="1"/>
      <w:numFmt w:val="bullet"/>
      <w:lvlText w:val=""/>
      <w:lvlJc w:val="left"/>
      <w:pPr>
        <w:ind w:left="782" w:hanging="360"/>
      </w:pPr>
      <w:rPr>
        <w:rFonts w:ascii="Symbol" w:hAnsi="Symbol" w:hint="default"/>
      </w:rPr>
    </w:lvl>
    <w:lvl w:ilvl="1" w:tplc="08090003" w:tentative="1">
      <w:start w:val="1"/>
      <w:numFmt w:val="bullet"/>
      <w:lvlText w:val="o"/>
      <w:lvlJc w:val="left"/>
      <w:pPr>
        <w:ind w:left="1502" w:hanging="360"/>
      </w:pPr>
      <w:rPr>
        <w:rFonts w:ascii="Courier New" w:hAnsi="Courier New" w:cs="Courier New" w:hint="default"/>
      </w:rPr>
    </w:lvl>
    <w:lvl w:ilvl="2" w:tplc="08090005" w:tentative="1">
      <w:start w:val="1"/>
      <w:numFmt w:val="bullet"/>
      <w:lvlText w:val=""/>
      <w:lvlJc w:val="left"/>
      <w:pPr>
        <w:ind w:left="2222" w:hanging="360"/>
      </w:pPr>
      <w:rPr>
        <w:rFonts w:ascii="Wingdings" w:hAnsi="Wingdings" w:hint="default"/>
      </w:rPr>
    </w:lvl>
    <w:lvl w:ilvl="3" w:tplc="08090001" w:tentative="1">
      <w:start w:val="1"/>
      <w:numFmt w:val="bullet"/>
      <w:lvlText w:val=""/>
      <w:lvlJc w:val="left"/>
      <w:pPr>
        <w:ind w:left="2942" w:hanging="360"/>
      </w:pPr>
      <w:rPr>
        <w:rFonts w:ascii="Symbol" w:hAnsi="Symbol" w:hint="default"/>
      </w:rPr>
    </w:lvl>
    <w:lvl w:ilvl="4" w:tplc="08090003" w:tentative="1">
      <w:start w:val="1"/>
      <w:numFmt w:val="bullet"/>
      <w:lvlText w:val="o"/>
      <w:lvlJc w:val="left"/>
      <w:pPr>
        <w:ind w:left="3662" w:hanging="360"/>
      </w:pPr>
      <w:rPr>
        <w:rFonts w:ascii="Courier New" w:hAnsi="Courier New" w:cs="Courier New" w:hint="default"/>
      </w:rPr>
    </w:lvl>
    <w:lvl w:ilvl="5" w:tplc="08090005" w:tentative="1">
      <w:start w:val="1"/>
      <w:numFmt w:val="bullet"/>
      <w:lvlText w:val=""/>
      <w:lvlJc w:val="left"/>
      <w:pPr>
        <w:ind w:left="4382" w:hanging="360"/>
      </w:pPr>
      <w:rPr>
        <w:rFonts w:ascii="Wingdings" w:hAnsi="Wingdings" w:hint="default"/>
      </w:rPr>
    </w:lvl>
    <w:lvl w:ilvl="6" w:tplc="08090001" w:tentative="1">
      <w:start w:val="1"/>
      <w:numFmt w:val="bullet"/>
      <w:lvlText w:val=""/>
      <w:lvlJc w:val="left"/>
      <w:pPr>
        <w:ind w:left="5102" w:hanging="360"/>
      </w:pPr>
      <w:rPr>
        <w:rFonts w:ascii="Symbol" w:hAnsi="Symbol" w:hint="default"/>
      </w:rPr>
    </w:lvl>
    <w:lvl w:ilvl="7" w:tplc="08090003" w:tentative="1">
      <w:start w:val="1"/>
      <w:numFmt w:val="bullet"/>
      <w:lvlText w:val="o"/>
      <w:lvlJc w:val="left"/>
      <w:pPr>
        <w:ind w:left="5822" w:hanging="360"/>
      </w:pPr>
      <w:rPr>
        <w:rFonts w:ascii="Courier New" w:hAnsi="Courier New" w:cs="Courier New" w:hint="default"/>
      </w:rPr>
    </w:lvl>
    <w:lvl w:ilvl="8" w:tplc="08090005" w:tentative="1">
      <w:start w:val="1"/>
      <w:numFmt w:val="bullet"/>
      <w:lvlText w:val=""/>
      <w:lvlJc w:val="left"/>
      <w:pPr>
        <w:ind w:left="6542" w:hanging="360"/>
      </w:pPr>
      <w:rPr>
        <w:rFonts w:ascii="Wingdings" w:hAnsi="Wingdings" w:hint="default"/>
      </w:rPr>
    </w:lvl>
  </w:abstractNum>
  <w:abstractNum w:abstractNumId="10">
    <w:nsid w:val="1AE31D3F"/>
    <w:multiLevelType w:val="multilevel"/>
    <w:tmpl w:val="67884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DA00F9"/>
    <w:multiLevelType w:val="hybridMultilevel"/>
    <w:tmpl w:val="1B9C9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4B54D16"/>
    <w:multiLevelType w:val="hybridMultilevel"/>
    <w:tmpl w:val="83C6C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F23E44"/>
    <w:multiLevelType w:val="hybridMultilevel"/>
    <w:tmpl w:val="CF6261DE"/>
    <w:lvl w:ilvl="0" w:tplc="91F013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25E4DAA"/>
    <w:multiLevelType w:val="hybridMultilevel"/>
    <w:tmpl w:val="EAB239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16948DB0">
      <w:start w:val="1"/>
      <w:numFmt w:val="bullet"/>
      <w:pStyle w:val="Bulletsbase"/>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2EB043E"/>
    <w:multiLevelType w:val="multilevel"/>
    <w:tmpl w:val="E992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712B06"/>
    <w:multiLevelType w:val="multilevel"/>
    <w:tmpl w:val="7554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762CE8"/>
    <w:multiLevelType w:val="hybridMultilevel"/>
    <w:tmpl w:val="EDA69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4C57F8"/>
    <w:multiLevelType w:val="hybridMultilevel"/>
    <w:tmpl w:val="02B436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C4A6C30"/>
    <w:multiLevelType w:val="hybridMultilevel"/>
    <w:tmpl w:val="5E3E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CB57071"/>
    <w:multiLevelType w:val="hybridMultilevel"/>
    <w:tmpl w:val="F8522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E303FA"/>
    <w:multiLevelType w:val="hybridMultilevel"/>
    <w:tmpl w:val="5BFEA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48539A0"/>
    <w:multiLevelType w:val="hybridMultilevel"/>
    <w:tmpl w:val="C1462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E104FDA"/>
    <w:multiLevelType w:val="hybridMultilevel"/>
    <w:tmpl w:val="3BE2A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F7F60FE"/>
    <w:multiLevelType w:val="hybridMultilevel"/>
    <w:tmpl w:val="1E7E0CE6"/>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2FC2DDA"/>
    <w:multiLevelType w:val="multilevel"/>
    <w:tmpl w:val="94A8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A93AD0"/>
    <w:multiLevelType w:val="multilevel"/>
    <w:tmpl w:val="E992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451EFE"/>
    <w:multiLevelType w:val="hybridMultilevel"/>
    <w:tmpl w:val="7C565A20"/>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75C3790D"/>
    <w:multiLevelType w:val="multilevel"/>
    <w:tmpl w:val="6490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85D47A7"/>
    <w:multiLevelType w:val="hybridMultilevel"/>
    <w:tmpl w:val="12882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14"/>
  </w:num>
  <w:num w:numId="5">
    <w:abstractNumId w:val="24"/>
  </w:num>
  <w:num w:numId="6">
    <w:abstractNumId w:val="27"/>
  </w:num>
  <w:num w:numId="7">
    <w:abstractNumId w:val="7"/>
  </w:num>
  <w:num w:numId="8">
    <w:abstractNumId w:val="17"/>
  </w:num>
  <w:num w:numId="9">
    <w:abstractNumId w:val="11"/>
  </w:num>
  <w:num w:numId="10">
    <w:abstractNumId w:val="1"/>
  </w:num>
  <w:num w:numId="11">
    <w:abstractNumId w:val="19"/>
  </w:num>
  <w:num w:numId="12">
    <w:abstractNumId w:val="22"/>
  </w:num>
  <w:num w:numId="13">
    <w:abstractNumId w:val="12"/>
  </w:num>
  <w:num w:numId="14">
    <w:abstractNumId w:val="26"/>
  </w:num>
  <w:num w:numId="15">
    <w:abstractNumId w:val="25"/>
  </w:num>
  <w:num w:numId="16">
    <w:abstractNumId w:val="28"/>
  </w:num>
  <w:num w:numId="17">
    <w:abstractNumId w:val="8"/>
  </w:num>
  <w:num w:numId="18">
    <w:abstractNumId w:val="2"/>
  </w:num>
  <w:num w:numId="19">
    <w:abstractNumId w:val="16"/>
  </w:num>
  <w:num w:numId="20">
    <w:abstractNumId w:val="3"/>
  </w:num>
  <w:num w:numId="21">
    <w:abstractNumId w:val="10"/>
  </w:num>
  <w:num w:numId="22">
    <w:abstractNumId w:val="15"/>
  </w:num>
  <w:num w:numId="23">
    <w:abstractNumId w:val="5"/>
  </w:num>
  <w:num w:numId="24">
    <w:abstractNumId w:val="29"/>
  </w:num>
  <w:num w:numId="25">
    <w:abstractNumId w:val="21"/>
  </w:num>
  <w:num w:numId="26">
    <w:abstractNumId w:val="9"/>
  </w:num>
  <w:num w:numId="27">
    <w:abstractNumId w:val="20"/>
  </w:num>
  <w:num w:numId="28">
    <w:abstractNumId w:val="18"/>
  </w:num>
  <w:num w:numId="29">
    <w:abstractNumId w:val="13"/>
  </w:num>
  <w:num w:numId="30">
    <w:abstractNumId w:val="23"/>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ic">
    <w15:presenceInfo w15:providerId="None" w15:userId="Eri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20267"/>
    <w:rsid w:val="00003006"/>
    <w:rsid w:val="000034B2"/>
    <w:rsid w:val="00003A81"/>
    <w:rsid w:val="00004E4D"/>
    <w:rsid w:val="00005566"/>
    <w:rsid w:val="00005EB6"/>
    <w:rsid w:val="00006C51"/>
    <w:rsid w:val="0001085F"/>
    <w:rsid w:val="00011862"/>
    <w:rsid w:val="00011BEA"/>
    <w:rsid w:val="000143D9"/>
    <w:rsid w:val="0001689E"/>
    <w:rsid w:val="00016D9A"/>
    <w:rsid w:val="00017566"/>
    <w:rsid w:val="00017C75"/>
    <w:rsid w:val="0002501C"/>
    <w:rsid w:val="0002718D"/>
    <w:rsid w:val="00031409"/>
    <w:rsid w:val="00034152"/>
    <w:rsid w:val="000358B2"/>
    <w:rsid w:val="00036672"/>
    <w:rsid w:val="000446D8"/>
    <w:rsid w:val="00046F8F"/>
    <w:rsid w:val="00050AE8"/>
    <w:rsid w:val="00052400"/>
    <w:rsid w:val="00054605"/>
    <w:rsid w:val="00055CF9"/>
    <w:rsid w:val="00062CCE"/>
    <w:rsid w:val="000647A5"/>
    <w:rsid w:val="00065CF2"/>
    <w:rsid w:val="00065FB9"/>
    <w:rsid w:val="00067818"/>
    <w:rsid w:val="000709C5"/>
    <w:rsid w:val="000720CF"/>
    <w:rsid w:val="00072A47"/>
    <w:rsid w:val="00072C30"/>
    <w:rsid w:val="00073576"/>
    <w:rsid w:val="0008012F"/>
    <w:rsid w:val="000816D1"/>
    <w:rsid w:val="0008321F"/>
    <w:rsid w:val="00085E39"/>
    <w:rsid w:val="00087BD0"/>
    <w:rsid w:val="00090133"/>
    <w:rsid w:val="00096387"/>
    <w:rsid w:val="000A09B2"/>
    <w:rsid w:val="000A7087"/>
    <w:rsid w:val="000B3551"/>
    <w:rsid w:val="000B48EC"/>
    <w:rsid w:val="000B5084"/>
    <w:rsid w:val="000B64F3"/>
    <w:rsid w:val="000C55D1"/>
    <w:rsid w:val="000C5FBB"/>
    <w:rsid w:val="000C6262"/>
    <w:rsid w:val="000C7124"/>
    <w:rsid w:val="000D1ADC"/>
    <w:rsid w:val="000D2F9C"/>
    <w:rsid w:val="000E2457"/>
    <w:rsid w:val="000E25D1"/>
    <w:rsid w:val="000F6824"/>
    <w:rsid w:val="000F762F"/>
    <w:rsid w:val="000F7B90"/>
    <w:rsid w:val="00101EEC"/>
    <w:rsid w:val="0010213E"/>
    <w:rsid w:val="00103079"/>
    <w:rsid w:val="001070D5"/>
    <w:rsid w:val="00107240"/>
    <w:rsid w:val="00115AB1"/>
    <w:rsid w:val="00115CCA"/>
    <w:rsid w:val="00121353"/>
    <w:rsid w:val="00123797"/>
    <w:rsid w:val="00126D40"/>
    <w:rsid w:val="001300A0"/>
    <w:rsid w:val="00130C52"/>
    <w:rsid w:val="00131950"/>
    <w:rsid w:val="001343DE"/>
    <w:rsid w:val="00134AE4"/>
    <w:rsid w:val="001405FD"/>
    <w:rsid w:val="001512BC"/>
    <w:rsid w:val="001530D7"/>
    <w:rsid w:val="001546E5"/>
    <w:rsid w:val="001549AB"/>
    <w:rsid w:val="00154C01"/>
    <w:rsid w:val="00156B34"/>
    <w:rsid w:val="001620C4"/>
    <w:rsid w:val="00162960"/>
    <w:rsid w:val="00166AC4"/>
    <w:rsid w:val="00176AE8"/>
    <w:rsid w:val="001772EF"/>
    <w:rsid w:val="00181362"/>
    <w:rsid w:val="00182DB7"/>
    <w:rsid w:val="0018355E"/>
    <w:rsid w:val="001863F8"/>
    <w:rsid w:val="00195366"/>
    <w:rsid w:val="00196008"/>
    <w:rsid w:val="001A42DC"/>
    <w:rsid w:val="001A4694"/>
    <w:rsid w:val="001A503A"/>
    <w:rsid w:val="001A54A9"/>
    <w:rsid w:val="001B64FF"/>
    <w:rsid w:val="001C060F"/>
    <w:rsid w:val="001C4542"/>
    <w:rsid w:val="001D145F"/>
    <w:rsid w:val="001D21A0"/>
    <w:rsid w:val="001D32D2"/>
    <w:rsid w:val="001E6686"/>
    <w:rsid w:val="001E6B83"/>
    <w:rsid w:val="00203339"/>
    <w:rsid w:val="00213A2A"/>
    <w:rsid w:val="002145A2"/>
    <w:rsid w:val="0021586F"/>
    <w:rsid w:val="00217D1F"/>
    <w:rsid w:val="0022070D"/>
    <w:rsid w:val="0022163D"/>
    <w:rsid w:val="00223D88"/>
    <w:rsid w:val="002255E7"/>
    <w:rsid w:val="00227D8D"/>
    <w:rsid w:val="00232409"/>
    <w:rsid w:val="00237895"/>
    <w:rsid w:val="00246404"/>
    <w:rsid w:val="00251C1A"/>
    <w:rsid w:val="0025213A"/>
    <w:rsid w:val="002612EF"/>
    <w:rsid w:val="00264623"/>
    <w:rsid w:val="002668D5"/>
    <w:rsid w:val="002705D1"/>
    <w:rsid w:val="002732FD"/>
    <w:rsid w:val="00280D54"/>
    <w:rsid w:val="00282965"/>
    <w:rsid w:val="00284533"/>
    <w:rsid w:val="00285C03"/>
    <w:rsid w:val="00287D2F"/>
    <w:rsid w:val="002929B5"/>
    <w:rsid w:val="00294CDF"/>
    <w:rsid w:val="00294F22"/>
    <w:rsid w:val="002951F3"/>
    <w:rsid w:val="00296E11"/>
    <w:rsid w:val="00297CF3"/>
    <w:rsid w:val="002A0237"/>
    <w:rsid w:val="002A1831"/>
    <w:rsid w:val="002A2DFE"/>
    <w:rsid w:val="002B0EB5"/>
    <w:rsid w:val="002B35FF"/>
    <w:rsid w:val="002B468F"/>
    <w:rsid w:val="002B6D30"/>
    <w:rsid w:val="002C0650"/>
    <w:rsid w:val="002C4913"/>
    <w:rsid w:val="002D342C"/>
    <w:rsid w:val="002E4415"/>
    <w:rsid w:val="002E50F5"/>
    <w:rsid w:val="002F3634"/>
    <w:rsid w:val="002F3755"/>
    <w:rsid w:val="002F5867"/>
    <w:rsid w:val="002F5C29"/>
    <w:rsid w:val="002F66EC"/>
    <w:rsid w:val="002F6987"/>
    <w:rsid w:val="002F6DC0"/>
    <w:rsid w:val="002F6E58"/>
    <w:rsid w:val="00300CD9"/>
    <w:rsid w:val="003025E3"/>
    <w:rsid w:val="003145AD"/>
    <w:rsid w:val="0031530F"/>
    <w:rsid w:val="00315BF5"/>
    <w:rsid w:val="00316E54"/>
    <w:rsid w:val="003177A9"/>
    <w:rsid w:val="00321305"/>
    <w:rsid w:val="003236AE"/>
    <w:rsid w:val="00324582"/>
    <w:rsid w:val="00324C20"/>
    <w:rsid w:val="00326569"/>
    <w:rsid w:val="003278E7"/>
    <w:rsid w:val="00335383"/>
    <w:rsid w:val="00336C0B"/>
    <w:rsid w:val="00336CC1"/>
    <w:rsid w:val="003405DF"/>
    <w:rsid w:val="00351A57"/>
    <w:rsid w:val="00353FB6"/>
    <w:rsid w:val="00356667"/>
    <w:rsid w:val="00357206"/>
    <w:rsid w:val="0036259A"/>
    <w:rsid w:val="00366B45"/>
    <w:rsid w:val="00373174"/>
    <w:rsid w:val="00374068"/>
    <w:rsid w:val="003772A5"/>
    <w:rsid w:val="00381F68"/>
    <w:rsid w:val="00383A96"/>
    <w:rsid w:val="00390F83"/>
    <w:rsid w:val="0039408B"/>
    <w:rsid w:val="003A16D1"/>
    <w:rsid w:val="003A51DA"/>
    <w:rsid w:val="003A52E1"/>
    <w:rsid w:val="003A695C"/>
    <w:rsid w:val="003A6BB0"/>
    <w:rsid w:val="003B1986"/>
    <w:rsid w:val="003B1996"/>
    <w:rsid w:val="003B384D"/>
    <w:rsid w:val="003B4153"/>
    <w:rsid w:val="003B44D6"/>
    <w:rsid w:val="003B4E52"/>
    <w:rsid w:val="003B6617"/>
    <w:rsid w:val="003C2051"/>
    <w:rsid w:val="003C497B"/>
    <w:rsid w:val="003C5B9B"/>
    <w:rsid w:val="003C7F56"/>
    <w:rsid w:val="003D69E0"/>
    <w:rsid w:val="003D6AC6"/>
    <w:rsid w:val="003E2B8A"/>
    <w:rsid w:val="003E3DA6"/>
    <w:rsid w:val="003E4548"/>
    <w:rsid w:val="003F463A"/>
    <w:rsid w:val="004003B7"/>
    <w:rsid w:val="004018C5"/>
    <w:rsid w:val="00403ECA"/>
    <w:rsid w:val="00405166"/>
    <w:rsid w:val="004054B5"/>
    <w:rsid w:val="004109E4"/>
    <w:rsid w:val="0041397D"/>
    <w:rsid w:val="004139AB"/>
    <w:rsid w:val="00413FB4"/>
    <w:rsid w:val="00414381"/>
    <w:rsid w:val="00414F19"/>
    <w:rsid w:val="0041551C"/>
    <w:rsid w:val="00424C43"/>
    <w:rsid w:val="0042590D"/>
    <w:rsid w:val="00426531"/>
    <w:rsid w:val="00433109"/>
    <w:rsid w:val="0043481E"/>
    <w:rsid w:val="00435BE2"/>
    <w:rsid w:val="00440519"/>
    <w:rsid w:val="0044155F"/>
    <w:rsid w:val="004434BF"/>
    <w:rsid w:val="004477E4"/>
    <w:rsid w:val="00447BEA"/>
    <w:rsid w:val="00453B73"/>
    <w:rsid w:val="00454C0D"/>
    <w:rsid w:val="004553C2"/>
    <w:rsid w:val="00457197"/>
    <w:rsid w:val="004600A8"/>
    <w:rsid w:val="0046467C"/>
    <w:rsid w:val="00464A48"/>
    <w:rsid w:val="00470854"/>
    <w:rsid w:val="0047099F"/>
    <w:rsid w:val="004724A0"/>
    <w:rsid w:val="00475B8B"/>
    <w:rsid w:val="00480C5B"/>
    <w:rsid w:val="004850ED"/>
    <w:rsid w:val="00486EF5"/>
    <w:rsid w:val="00491ADD"/>
    <w:rsid w:val="00497770"/>
    <w:rsid w:val="004977D9"/>
    <w:rsid w:val="004A012A"/>
    <w:rsid w:val="004A2BEB"/>
    <w:rsid w:val="004B1B47"/>
    <w:rsid w:val="004B2419"/>
    <w:rsid w:val="004B4210"/>
    <w:rsid w:val="004C0C4F"/>
    <w:rsid w:val="004C2885"/>
    <w:rsid w:val="004C4C1D"/>
    <w:rsid w:val="004D01B0"/>
    <w:rsid w:val="004D2374"/>
    <w:rsid w:val="004E048E"/>
    <w:rsid w:val="004E0529"/>
    <w:rsid w:val="004E1052"/>
    <w:rsid w:val="004E1A43"/>
    <w:rsid w:val="004E3EED"/>
    <w:rsid w:val="004F0A8A"/>
    <w:rsid w:val="004F2CB7"/>
    <w:rsid w:val="004F6CBA"/>
    <w:rsid w:val="004F7816"/>
    <w:rsid w:val="0050272A"/>
    <w:rsid w:val="00503290"/>
    <w:rsid w:val="00511FC9"/>
    <w:rsid w:val="00512D78"/>
    <w:rsid w:val="00513DFE"/>
    <w:rsid w:val="00516E9D"/>
    <w:rsid w:val="00517EE0"/>
    <w:rsid w:val="005260E9"/>
    <w:rsid w:val="00531605"/>
    <w:rsid w:val="0054025A"/>
    <w:rsid w:val="0054029E"/>
    <w:rsid w:val="00542FE9"/>
    <w:rsid w:val="00545244"/>
    <w:rsid w:val="0055120B"/>
    <w:rsid w:val="005538E2"/>
    <w:rsid w:val="00560F49"/>
    <w:rsid w:val="00562324"/>
    <w:rsid w:val="0056749C"/>
    <w:rsid w:val="00570E7D"/>
    <w:rsid w:val="00572C1A"/>
    <w:rsid w:val="005739F0"/>
    <w:rsid w:val="00574051"/>
    <w:rsid w:val="00574345"/>
    <w:rsid w:val="00577505"/>
    <w:rsid w:val="00581087"/>
    <w:rsid w:val="0058328A"/>
    <w:rsid w:val="00583D45"/>
    <w:rsid w:val="0058471D"/>
    <w:rsid w:val="0058529D"/>
    <w:rsid w:val="00586348"/>
    <w:rsid w:val="0059545C"/>
    <w:rsid w:val="00596678"/>
    <w:rsid w:val="005A0126"/>
    <w:rsid w:val="005A1451"/>
    <w:rsid w:val="005A2285"/>
    <w:rsid w:val="005A3434"/>
    <w:rsid w:val="005A4967"/>
    <w:rsid w:val="005B2445"/>
    <w:rsid w:val="005B4D31"/>
    <w:rsid w:val="005B65A6"/>
    <w:rsid w:val="005C455C"/>
    <w:rsid w:val="005C7097"/>
    <w:rsid w:val="005C7B95"/>
    <w:rsid w:val="005D7E35"/>
    <w:rsid w:val="005E053C"/>
    <w:rsid w:val="005E584E"/>
    <w:rsid w:val="005E6ED8"/>
    <w:rsid w:val="005F2908"/>
    <w:rsid w:val="005F46EE"/>
    <w:rsid w:val="005F70F9"/>
    <w:rsid w:val="005F7762"/>
    <w:rsid w:val="00602062"/>
    <w:rsid w:val="006028A1"/>
    <w:rsid w:val="00602BB8"/>
    <w:rsid w:val="00603072"/>
    <w:rsid w:val="00603554"/>
    <w:rsid w:val="00604183"/>
    <w:rsid w:val="0060530C"/>
    <w:rsid w:val="0060681C"/>
    <w:rsid w:val="00607D34"/>
    <w:rsid w:val="00614F09"/>
    <w:rsid w:val="00616C70"/>
    <w:rsid w:val="006204B5"/>
    <w:rsid w:val="00621376"/>
    <w:rsid w:val="00623632"/>
    <w:rsid w:val="00624443"/>
    <w:rsid w:val="00626F34"/>
    <w:rsid w:val="0062750C"/>
    <w:rsid w:val="00627A82"/>
    <w:rsid w:val="006312B0"/>
    <w:rsid w:val="00632839"/>
    <w:rsid w:val="00633D74"/>
    <w:rsid w:val="0063461A"/>
    <w:rsid w:val="00634D93"/>
    <w:rsid w:val="00635DAA"/>
    <w:rsid w:val="0063635A"/>
    <w:rsid w:val="006376D7"/>
    <w:rsid w:val="006412F6"/>
    <w:rsid w:val="006415F0"/>
    <w:rsid w:val="00646BEB"/>
    <w:rsid w:val="006503C1"/>
    <w:rsid w:val="006558AF"/>
    <w:rsid w:val="006579E7"/>
    <w:rsid w:val="00660C59"/>
    <w:rsid w:val="006669E9"/>
    <w:rsid w:val="00670278"/>
    <w:rsid w:val="006749E2"/>
    <w:rsid w:val="00675B46"/>
    <w:rsid w:val="006804E0"/>
    <w:rsid w:val="0068085E"/>
    <w:rsid w:val="00682F7B"/>
    <w:rsid w:val="00691940"/>
    <w:rsid w:val="006A0A76"/>
    <w:rsid w:val="006A304F"/>
    <w:rsid w:val="006A5E86"/>
    <w:rsid w:val="006A6BBC"/>
    <w:rsid w:val="006B0182"/>
    <w:rsid w:val="006B61D8"/>
    <w:rsid w:val="006B7C3A"/>
    <w:rsid w:val="006C267A"/>
    <w:rsid w:val="006C2E03"/>
    <w:rsid w:val="006C42BE"/>
    <w:rsid w:val="006C5AEB"/>
    <w:rsid w:val="006D13D9"/>
    <w:rsid w:val="006D3168"/>
    <w:rsid w:val="006D549B"/>
    <w:rsid w:val="006E0093"/>
    <w:rsid w:val="006E5FD3"/>
    <w:rsid w:val="006F2FA2"/>
    <w:rsid w:val="006F5905"/>
    <w:rsid w:val="007019DE"/>
    <w:rsid w:val="007121FF"/>
    <w:rsid w:val="00712D34"/>
    <w:rsid w:val="0071490E"/>
    <w:rsid w:val="00717EFD"/>
    <w:rsid w:val="00720302"/>
    <w:rsid w:val="00720C7A"/>
    <w:rsid w:val="007243F2"/>
    <w:rsid w:val="0072545E"/>
    <w:rsid w:val="00731F43"/>
    <w:rsid w:val="00732E18"/>
    <w:rsid w:val="007343E5"/>
    <w:rsid w:val="00744741"/>
    <w:rsid w:val="007473D2"/>
    <w:rsid w:val="00753637"/>
    <w:rsid w:val="00754AED"/>
    <w:rsid w:val="007557B2"/>
    <w:rsid w:val="00756327"/>
    <w:rsid w:val="007611C4"/>
    <w:rsid w:val="00762C8B"/>
    <w:rsid w:val="007634F3"/>
    <w:rsid w:val="00763598"/>
    <w:rsid w:val="00764584"/>
    <w:rsid w:val="00765BDF"/>
    <w:rsid w:val="007677B9"/>
    <w:rsid w:val="0077229E"/>
    <w:rsid w:val="00775DAD"/>
    <w:rsid w:val="00784957"/>
    <w:rsid w:val="00787F04"/>
    <w:rsid w:val="00790044"/>
    <w:rsid w:val="007910E6"/>
    <w:rsid w:val="00792113"/>
    <w:rsid w:val="0079217C"/>
    <w:rsid w:val="0079519A"/>
    <w:rsid w:val="00795DDC"/>
    <w:rsid w:val="007965FC"/>
    <w:rsid w:val="007966C3"/>
    <w:rsid w:val="007A04DF"/>
    <w:rsid w:val="007A3207"/>
    <w:rsid w:val="007A3D8F"/>
    <w:rsid w:val="007A54FB"/>
    <w:rsid w:val="007A6128"/>
    <w:rsid w:val="007A7A62"/>
    <w:rsid w:val="007B1848"/>
    <w:rsid w:val="007B4B87"/>
    <w:rsid w:val="007C035C"/>
    <w:rsid w:val="007C5797"/>
    <w:rsid w:val="007D3808"/>
    <w:rsid w:val="007D38E3"/>
    <w:rsid w:val="007D44BA"/>
    <w:rsid w:val="007D482E"/>
    <w:rsid w:val="007D4994"/>
    <w:rsid w:val="007D653A"/>
    <w:rsid w:val="007E1E0B"/>
    <w:rsid w:val="007E7903"/>
    <w:rsid w:val="007F16F8"/>
    <w:rsid w:val="007F1A96"/>
    <w:rsid w:val="007F24C5"/>
    <w:rsid w:val="007F48A0"/>
    <w:rsid w:val="007F5055"/>
    <w:rsid w:val="007F5266"/>
    <w:rsid w:val="007F6FF5"/>
    <w:rsid w:val="007F7A9E"/>
    <w:rsid w:val="008023FC"/>
    <w:rsid w:val="0080440F"/>
    <w:rsid w:val="00804EBC"/>
    <w:rsid w:val="008052C5"/>
    <w:rsid w:val="00805FC6"/>
    <w:rsid w:val="00811377"/>
    <w:rsid w:val="00811386"/>
    <w:rsid w:val="00811C12"/>
    <w:rsid w:val="008122F0"/>
    <w:rsid w:val="008126C4"/>
    <w:rsid w:val="00816E38"/>
    <w:rsid w:val="00820267"/>
    <w:rsid w:val="00823F38"/>
    <w:rsid w:val="008257B3"/>
    <w:rsid w:val="00826AD3"/>
    <w:rsid w:val="008272D6"/>
    <w:rsid w:val="00831217"/>
    <w:rsid w:val="00832A37"/>
    <w:rsid w:val="00833A1D"/>
    <w:rsid w:val="00833E69"/>
    <w:rsid w:val="00836EBF"/>
    <w:rsid w:val="00840252"/>
    <w:rsid w:val="008403D0"/>
    <w:rsid w:val="00840B98"/>
    <w:rsid w:val="008417EF"/>
    <w:rsid w:val="00843A92"/>
    <w:rsid w:val="00853167"/>
    <w:rsid w:val="008603A2"/>
    <w:rsid w:val="00860A86"/>
    <w:rsid w:val="00864EEC"/>
    <w:rsid w:val="00865778"/>
    <w:rsid w:val="0086608B"/>
    <w:rsid w:val="0087103E"/>
    <w:rsid w:val="0087278C"/>
    <w:rsid w:val="00875A17"/>
    <w:rsid w:val="00876A76"/>
    <w:rsid w:val="00876FB0"/>
    <w:rsid w:val="00880576"/>
    <w:rsid w:val="00882E2A"/>
    <w:rsid w:val="00884956"/>
    <w:rsid w:val="00885DC3"/>
    <w:rsid w:val="0089050F"/>
    <w:rsid w:val="00890E97"/>
    <w:rsid w:val="0089509A"/>
    <w:rsid w:val="008967AB"/>
    <w:rsid w:val="008A1645"/>
    <w:rsid w:val="008A2F9D"/>
    <w:rsid w:val="008A5C5F"/>
    <w:rsid w:val="008A6700"/>
    <w:rsid w:val="008A7513"/>
    <w:rsid w:val="008C0801"/>
    <w:rsid w:val="008C7AC6"/>
    <w:rsid w:val="008D22FB"/>
    <w:rsid w:val="008D35B9"/>
    <w:rsid w:val="008D4958"/>
    <w:rsid w:val="008D7B65"/>
    <w:rsid w:val="008E3C9C"/>
    <w:rsid w:val="008E605B"/>
    <w:rsid w:val="008F0E57"/>
    <w:rsid w:val="008F16DD"/>
    <w:rsid w:val="008F69CA"/>
    <w:rsid w:val="008F724A"/>
    <w:rsid w:val="00900E66"/>
    <w:rsid w:val="00902EC1"/>
    <w:rsid w:val="00912D88"/>
    <w:rsid w:val="00915ADC"/>
    <w:rsid w:val="00916136"/>
    <w:rsid w:val="00932218"/>
    <w:rsid w:val="00942DC0"/>
    <w:rsid w:val="00957DDD"/>
    <w:rsid w:val="00962C44"/>
    <w:rsid w:val="00963673"/>
    <w:rsid w:val="00967B2A"/>
    <w:rsid w:val="00967ED9"/>
    <w:rsid w:val="00972C1A"/>
    <w:rsid w:val="00973E34"/>
    <w:rsid w:val="00977D33"/>
    <w:rsid w:val="009834E4"/>
    <w:rsid w:val="0098456C"/>
    <w:rsid w:val="00986DCF"/>
    <w:rsid w:val="00990A16"/>
    <w:rsid w:val="00993532"/>
    <w:rsid w:val="009976A6"/>
    <w:rsid w:val="009A1B76"/>
    <w:rsid w:val="009A2D4E"/>
    <w:rsid w:val="009A3995"/>
    <w:rsid w:val="009A74BF"/>
    <w:rsid w:val="009A7ADB"/>
    <w:rsid w:val="009B58D4"/>
    <w:rsid w:val="009B6862"/>
    <w:rsid w:val="009B6A5C"/>
    <w:rsid w:val="009C492D"/>
    <w:rsid w:val="009C5054"/>
    <w:rsid w:val="009C591D"/>
    <w:rsid w:val="009D0310"/>
    <w:rsid w:val="009D0A95"/>
    <w:rsid w:val="009D1BD5"/>
    <w:rsid w:val="009D3AC5"/>
    <w:rsid w:val="009D48F8"/>
    <w:rsid w:val="009E523F"/>
    <w:rsid w:val="009E6718"/>
    <w:rsid w:val="009E7E8B"/>
    <w:rsid w:val="009F50D0"/>
    <w:rsid w:val="009F5385"/>
    <w:rsid w:val="009F58E8"/>
    <w:rsid w:val="009F598E"/>
    <w:rsid w:val="00A019FA"/>
    <w:rsid w:val="00A046B9"/>
    <w:rsid w:val="00A14055"/>
    <w:rsid w:val="00A1449D"/>
    <w:rsid w:val="00A30641"/>
    <w:rsid w:val="00A3253E"/>
    <w:rsid w:val="00A32E56"/>
    <w:rsid w:val="00A33870"/>
    <w:rsid w:val="00A34904"/>
    <w:rsid w:val="00A41BD4"/>
    <w:rsid w:val="00A4320B"/>
    <w:rsid w:val="00A45FB9"/>
    <w:rsid w:val="00A55B47"/>
    <w:rsid w:val="00A564A6"/>
    <w:rsid w:val="00A56A29"/>
    <w:rsid w:val="00A56F3C"/>
    <w:rsid w:val="00A63E7D"/>
    <w:rsid w:val="00A65223"/>
    <w:rsid w:val="00A65DB3"/>
    <w:rsid w:val="00A66EDE"/>
    <w:rsid w:val="00A82C92"/>
    <w:rsid w:val="00A90459"/>
    <w:rsid w:val="00A9118C"/>
    <w:rsid w:val="00A943C5"/>
    <w:rsid w:val="00A95CE9"/>
    <w:rsid w:val="00A96BAB"/>
    <w:rsid w:val="00A97494"/>
    <w:rsid w:val="00AA2844"/>
    <w:rsid w:val="00AA6287"/>
    <w:rsid w:val="00AA66DC"/>
    <w:rsid w:val="00AB00A0"/>
    <w:rsid w:val="00AB20E8"/>
    <w:rsid w:val="00AB2D18"/>
    <w:rsid w:val="00AB5406"/>
    <w:rsid w:val="00AC0531"/>
    <w:rsid w:val="00AC250A"/>
    <w:rsid w:val="00AC4D24"/>
    <w:rsid w:val="00AC6DAD"/>
    <w:rsid w:val="00AC6E8A"/>
    <w:rsid w:val="00AD1E3E"/>
    <w:rsid w:val="00AD361B"/>
    <w:rsid w:val="00AD5503"/>
    <w:rsid w:val="00AD6BE5"/>
    <w:rsid w:val="00AD7D69"/>
    <w:rsid w:val="00AE2653"/>
    <w:rsid w:val="00AE7067"/>
    <w:rsid w:val="00AF5571"/>
    <w:rsid w:val="00AF5C95"/>
    <w:rsid w:val="00B0015C"/>
    <w:rsid w:val="00B02384"/>
    <w:rsid w:val="00B07550"/>
    <w:rsid w:val="00B1174F"/>
    <w:rsid w:val="00B11B24"/>
    <w:rsid w:val="00B12262"/>
    <w:rsid w:val="00B127EF"/>
    <w:rsid w:val="00B174E8"/>
    <w:rsid w:val="00B20210"/>
    <w:rsid w:val="00B24864"/>
    <w:rsid w:val="00B27341"/>
    <w:rsid w:val="00B31353"/>
    <w:rsid w:val="00B32BCE"/>
    <w:rsid w:val="00B35131"/>
    <w:rsid w:val="00B35C87"/>
    <w:rsid w:val="00B40E59"/>
    <w:rsid w:val="00B4460E"/>
    <w:rsid w:val="00B44DF9"/>
    <w:rsid w:val="00B46CB7"/>
    <w:rsid w:val="00B478CA"/>
    <w:rsid w:val="00B516AC"/>
    <w:rsid w:val="00B5246D"/>
    <w:rsid w:val="00B5449B"/>
    <w:rsid w:val="00B70815"/>
    <w:rsid w:val="00B74532"/>
    <w:rsid w:val="00B74AE0"/>
    <w:rsid w:val="00B751AA"/>
    <w:rsid w:val="00B757CB"/>
    <w:rsid w:val="00B77AD7"/>
    <w:rsid w:val="00B80A63"/>
    <w:rsid w:val="00B82ECF"/>
    <w:rsid w:val="00B836EE"/>
    <w:rsid w:val="00B8732B"/>
    <w:rsid w:val="00B90E7D"/>
    <w:rsid w:val="00B93E9C"/>
    <w:rsid w:val="00B94D41"/>
    <w:rsid w:val="00B94F49"/>
    <w:rsid w:val="00B9525A"/>
    <w:rsid w:val="00BA02F8"/>
    <w:rsid w:val="00BA4C84"/>
    <w:rsid w:val="00BB3D76"/>
    <w:rsid w:val="00BB5B33"/>
    <w:rsid w:val="00BC0C5B"/>
    <w:rsid w:val="00BC62CC"/>
    <w:rsid w:val="00BC66BA"/>
    <w:rsid w:val="00BC6B5B"/>
    <w:rsid w:val="00BC75CF"/>
    <w:rsid w:val="00BD2D66"/>
    <w:rsid w:val="00BD6B09"/>
    <w:rsid w:val="00BD7C46"/>
    <w:rsid w:val="00BE1642"/>
    <w:rsid w:val="00BE3F04"/>
    <w:rsid w:val="00BE50D1"/>
    <w:rsid w:val="00BE6CF0"/>
    <w:rsid w:val="00BF0286"/>
    <w:rsid w:val="00BF0A97"/>
    <w:rsid w:val="00BF1A09"/>
    <w:rsid w:val="00BF53BC"/>
    <w:rsid w:val="00BF5731"/>
    <w:rsid w:val="00BF79E9"/>
    <w:rsid w:val="00C06271"/>
    <w:rsid w:val="00C156ED"/>
    <w:rsid w:val="00C16B77"/>
    <w:rsid w:val="00C17676"/>
    <w:rsid w:val="00C215AD"/>
    <w:rsid w:val="00C21863"/>
    <w:rsid w:val="00C2241C"/>
    <w:rsid w:val="00C228E5"/>
    <w:rsid w:val="00C2434A"/>
    <w:rsid w:val="00C24C04"/>
    <w:rsid w:val="00C30866"/>
    <w:rsid w:val="00C32CE5"/>
    <w:rsid w:val="00C332E2"/>
    <w:rsid w:val="00C336C1"/>
    <w:rsid w:val="00C345CC"/>
    <w:rsid w:val="00C35786"/>
    <w:rsid w:val="00C3619E"/>
    <w:rsid w:val="00C371B2"/>
    <w:rsid w:val="00C374CE"/>
    <w:rsid w:val="00C37CE6"/>
    <w:rsid w:val="00C41D58"/>
    <w:rsid w:val="00C454EB"/>
    <w:rsid w:val="00C506BF"/>
    <w:rsid w:val="00C54354"/>
    <w:rsid w:val="00C55868"/>
    <w:rsid w:val="00C55B0F"/>
    <w:rsid w:val="00C56999"/>
    <w:rsid w:val="00C5707B"/>
    <w:rsid w:val="00C61852"/>
    <w:rsid w:val="00C61ED3"/>
    <w:rsid w:val="00C6421D"/>
    <w:rsid w:val="00C66881"/>
    <w:rsid w:val="00C67451"/>
    <w:rsid w:val="00C708BF"/>
    <w:rsid w:val="00C715D5"/>
    <w:rsid w:val="00C71BC5"/>
    <w:rsid w:val="00C74645"/>
    <w:rsid w:val="00C83B02"/>
    <w:rsid w:val="00C85E35"/>
    <w:rsid w:val="00C94BF5"/>
    <w:rsid w:val="00C95679"/>
    <w:rsid w:val="00C975CD"/>
    <w:rsid w:val="00C9791C"/>
    <w:rsid w:val="00CA012C"/>
    <w:rsid w:val="00CA0E62"/>
    <w:rsid w:val="00CA326B"/>
    <w:rsid w:val="00CB2D9B"/>
    <w:rsid w:val="00CB4168"/>
    <w:rsid w:val="00CB4757"/>
    <w:rsid w:val="00CB4BD5"/>
    <w:rsid w:val="00CB54B7"/>
    <w:rsid w:val="00CB5C25"/>
    <w:rsid w:val="00CB6459"/>
    <w:rsid w:val="00CB7316"/>
    <w:rsid w:val="00CC174C"/>
    <w:rsid w:val="00CC28C1"/>
    <w:rsid w:val="00CC53C2"/>
    <w:rsid w:val="00CD1488"/>
    <w:rsid w:val="00CD218B"/>
    <w:rsid w:val="00CD251B"/>
    <w:rsid w:val="00CD4674"/>
    <w:rsid w:val="00CE247D"/>
    <w:rsid w:val="00CE4699"/>
    <w:rsid w:val="00CE5ED1"/>
    <w:rsid w:val="00CE5EFE"/>
    <w:rsid w:val="00CE6F06"/>
    <w:rsid w:val="00CE77A6"/>
    <w:rsid w:val="00CF61D3"/>
    <w:rsid w:val="00CF63D2"/>
    <w:rsid w:val="00CF654D"/>
    <w:rsid w:val="00D02E06"/>
    <w:rsid w:val="00D117F5"/>
    <w:rsid w:val="00D15628"/>
    <w:rsid w:val="00D211BD"/>
    <w:rsid w:val="00D3345A"/>
    <w:rsid w:val="00D37794"/>
    <w:rsid w:val="00D44129"/>
    <w:rsid w:val="00D52943"/>
    <w:rsid w:val="00D54A41"/>
    <w:rsid w:val="00D667ED"/>
    <w:rsid w:val="00D76B62"/>
    <w:rsid w:val="00D825D5"/>
    <w:rsid w:val="00D8582C"/>
    <w:rsid w:val="00D86D1C"/>
    <w:rsid w:val="00D87542"/>
    <w:rsid w:val="00D933C7"/>
    <w:rsid w:val="00D93614"/>
    <w:rsid w:val="00D973EB"/>
    <w:rsid w:val="00D97D5E"/>
    <w:rsid w:val="00DA0789"/>
    <w:rsid w:val="00DA421D"/>
    <w:rsid w:val="00DA4308"/>
    <w:rsid w:val="00DB11AC"/>
    <w:rsid w:val="00DB1451"/>
    <w:rsid w:val="00DB1D35"/>
    <w:rsid w:val="00DB28D0"/>
    <w:rsid w:val="00DB2A83"/>
    <w:rsid w:val="00DB5614"/>
    <w:rsid w:val="00DC097E"/>
    <w:rsid w:val="00DD29AC"/>
    <w:rsid w:val="00DD31E1"/>
    <w:rsid w:val="00DE0E58"/>
    <w:rsid w:val="00DE161B"/>
    <w:rsid w:val="00DE1EAF"/>
    <w:rsid w:val="00DE2BFF"/>
    <w:rsid w:val="00DF36A9"/>
    <w:rsid w:val="00E001C0"/>
    <w:rsid w:val="00E0214D"/>
    <w:rsid w:val="00E03DF7"/>
    <w:rsid w:val="00E05048"/>
    <w:rsid w:val="00E0518E"/>
    <w:rsid w:val="00E05E0C"/>
    <w:rsid w:val="00E074C8"/>
    <w:rsid w:val="00E0784F"/>
    <w:rsid w:val="00E11071"/>
    <w:rsid w:val="00E11F26"/>
    <w:rsid w:val="00E12A6D"/>
    <w:rsid w:val="00E21DDC"/>
    <w:rsid w:val="00E244A6"/>
    <w:rsid w:val="00E337CB"/>
    <w:rsid w:val="00E3444D"/>
    <w:rsid w:val="00E402FD"/>
    <w:rsid w:val="00E40ABB"/>
    <w:rsid w:val="00E422DC"/>
    <w:rsid w:val="00E44857"/>
    <w:rsid w:val="00E45C6B"/>
    <w:rsid w:val="00E50B8D"/>
    <w:rsid w:val="00E52496"/>
    <w:rsid w:val="00E53F62"/>
    <w:rsid w:val="00E57458"/>
    <w:rsid w:val="00E634DA"/>
    <w:rsid w:val="00E65E4E"/>
    <w:rsid w:val="00E66227"/>
    <w:rsid w:val="00E66353"/>
    <w:rsid w:val="00E663D4"/>
    <w:rsid w:val="00E75351"/>
    <w:rsid w:val="00E7570E"/>
    <w:rsid w:val="00E83A4A"/>
    <w:rsid w:val="00E85ACD"/>
    <w:rsid w:val="00E91FB9"/>
    <w:rsid w:val="00E93D40"/>
    <w:rsid w:val="00E973EE"/>
    <w:rsid w:val="00EA3C53"/>
    <w:rsid w:val="00EA658E"/>
    <w:rsid w:val="00EA76AA"/>
    <w:rsid w:val="00EA7A4F"/>
    <w:rsid w:val="00EB27C4"/>
    <w:rsid w:val="00EB5030"/>
    <w:rsid w:val="00EB5EA9"/>
    <w:rsid w:val="00EB64A6"/>
    <w:rsid w:val="00EC0387"/>
    <w:rsid w:val="00EC0BA2"/>
    <w:rsid w:val="00EC235A"/>
    <w:rsid w:val="00EC39AD"/>
    <w:rsid w:val="00EC4452"/>
    <w:rsid w:val="00EC62D7"/>
    <w:rsid w:val="00EC7B0F"/>
    <w:rsid w:val="00ED1BBC"/>
    <w:rsid w:val="00EE2388"/>
    <w:rsid w:val="00EF099D"/>
    <w:rsid w:val="00EF3B70"/>
    <w:rsid w:val="00F0091C"/>
    <w:rsid w:val="00F02056"/>
    <w:rsid w:val="00F02A18"/>
    <w:rsid w:val="00F05E24"/>
    <w:rsid w:val="00F11F2E"/>
    <w:rsid w:val="00F14E8E"/>
    <w:rsid w:val="00F2035D"/>
    <w:rsid w:val="00F210DB"/>
    <w:rsid w:val="00F23C24"/>
    <w:rsid w:val="00F25B97"/>
    <w:rsid w:val="00F341F5"/>
    <w:rsid w:val="00F349AE"/>
    <w:rsid w:val="00F37AC9"/>
    <w:rsid w:val="00F45809"/>
    <w:rsid w:val="00F477F3"/>
    <w:rsid w:val="00F51A79"/>
    <w:rsid w:val="00F52AA7"/>
    <w:rsid w:val="00F57DBF"/>
    <w:rsid w:val="00F645D2"/>
    <w:rsid w:val="00F67A3F"/>
    <w:rsid w:val="00F67D8D"/>
    <w:rsid w:val="00F758AD"/>
    <w:rsid w:val="00F76800"/>
    <w:rsid w:val="00F82411"/>
    <w:rsid w:val="00F86E30"/>
    <w:rsid w:val="00F87879"/>
    <w:rsid w:val="00F908CA"/>
    <w:rsid w:val="00F91577"/>
    <w:rsid w:val="00F9189E"/>
    <w:rsid w:val="00F949CD"/>
    <w:rsid w:val="00F96AD8"/>
    <w:rsid w:val="00FA1AA1"/>
    <w:rsid w:val="00FB3D61"/>
    <w:rsid w:val="00FB4F95"/>
    <w:rsid w:val="00FB55D9"/>
    <w:rsid w:val="00FC07B2"/>
    <w:rsid w:val="00FC0FAF"/>
    <w:rsid w:val="00FC3916"/>
    <w:rsid w:val="00FD3D43"/>
    <w:rsid w:val="00FD530B"/>
    <w:rsid w:val="00FE18D8"/>
    <w:rsid w:val="00FE216A"/>
    <w:rsid w:val="00FE4A6C"/>
    <w:rsid w:val="00FE4E44"/>
    <w:rsid w:val="00FE7D3C"/>
    <w:rsid w:val="00FF0CB3"/>
    <w:rsid w:val="00FF0D90"/>
    <w:rsid w:val="00FF1FB8"/>
    <w:rsid w:val="00FF2309"/>
    <w:rsid w:val="00FF35DE"/>
    <w:rsid w:val="00FF3FCF"/>
    <w:rsid w:val="00FF5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20267"/>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C371B2"/>
    <w:pPr>
      <w:keepNext/>
      <w:keepLines/>
      <w:spacing w:before="480" w:after="120"/>
      <w:outlineLvl w:val="0"/>
    </w:pPr>
    <w:rPr>
      <w:b/>
      <w:bCs/>
      <w:sz w:val="36"/>
      <w:szCs w:val="28"/>
    </w:rPr>
  </w:style>
  <w:style w:type="paragraph" w:styleId="Heading2">
    <w:name w:val="heading 2"/>
    <w:basedOn w:val="Normal"/>
    <w:next w:val="Normal"/>
    <w:link w:val="Heading2Char"/>
    <w:unhideWhenUsed/>
    <w:qFormat/>
    <w:rsid w:val="00C371B2"/>
    <w:pPr>
      <w:keepNext/>
      <w:keepLines/>
      <w:spacing w:before="200" w:after="120"/>
      <w:outlineLvl w:val="1"/>
    </w:pPr>
    <w:rPr>
      <w:b/>
      <w:bCs/>
      <w:szCs w:val="26"/>
    </w:rPr>
  </w:style>
  <w:style w:type="paragraph" w:styleId="Heading3">
    <w:name w:val="heading 3"/>
    <w:basedOn w:val="Normal"/>
    <w:next w:val="Normal"/>
    <w:link w:val="Heading3Char"/>
    <w:uiPriority w:val="9"/>
    <w:semiHidden/>
    <w:unhideWhenUsed/>
    <w:rsid w:val="0060681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6B61D8"/>
    <w:rPr>
      <w:rFonts w:ascii="Arial" w:hAnsi="Arial"/>
      <w:sz w:val="24"/>
      <w:szCs w:val="22"/>
      <w:lang w:eastAsia="en-US"/>
    </w:rPr>
  </w:style>
  <w:style w:type="character" w:customStyle="1" w:styleId="Heading1Char">
    <w:name w:val="Heading 1 Char"/>
    <w:basedOn w:val="DefaultParagraphFont"/>
    <w:link w:val="Heading1"/>
    <w:uiPriority w:val="9"/>
    <w:rsid w:val="00C371B2"/>
    <w:rPr>
      <w:rFonts w:ascii="Arial" w:eastAsia="Times New Roman" w:hAnsi="Arial" w:cs="Times New Roman"/>
      <w:b/>
      <w:bCs/>
      <w:sz w:val="36"/>
      <w:szCs w:val="28"/>
    </w:rPr>
  </w:style>
  <w:style w:type="paragraph" w:styleId="Title">
    <w:name w:val="Title"/>
    <w:basedOn w:val="Normal"/>
    <w:next w:val="Normal"/>
    <w:link w:val="TitleChar"/>
    <w:uiPriority w:val="10"/>
    <w:qFormat/>
    <w:rsid w:val="00C371B2"/>
    <w:pPr>
      <w:spacing w:after="300"/>
      <w:contextualSpacing/>
    </w:pPr>
    <w:rPr>
      <w:b/>
      <w:spacing w:val="5"/>
      <w:kern w:val="28"/>
      <w:sz w:val="52"/>
      <w:szCs w:val="52"/>
    </w:rPr>
  </w:style>
  <w:style w:type="character" w:customStyle="1" w:styleId="TitleChar">
    <w:name w:val="Title Char"/>
    <w:basedOn w:val="DefaultParagraphFont"/>
    <w:link w:val="Title"/>
    <w:uiPriority w:val="10"/>
    <w:rsid w:val="00C371B2"/>
    <w:rPr>
      <w:rFonts w:ascii="Arial" w:eastAsia="Times New Roman" w:hAnsi="Arial" w:cs="Times New Roman"/>
      <w:b/>
      <w:spacing w:val="5"/>
      <w:kern w:val="28"/>
      <w:sz w:val="52"/>
      <w:szCs w:val="52"/>
    </w:rPr>
  </w:style>
  <w:style w:type="character" w:customStyle="1" w:styleId="Heading2Char">
    <w:name w:val="Heading 2 Char"/>
    <w:basedOn w:val="DefaultParagraphFont"/>
    <w:link w:val="Heading2"/>
    <w:uiPriority w:val="9"/>
    <w:rsid w:val="00C371B2"/>
    <w:rPr>
      <w:rFonts w:ascii="Arial" w:eastAsia="Times New Roman" w:hAnsi="Arial" w:cs="Times New Roman"/>
      <w:b/>
      <w:bCs/>
      <w:sz w:val="28"/>
      <w:szCs w:val="26"/>
    </w:rPr>
  </w:style>
  <w:style w:type="paragraph" w:styleId="ListParagraph">
    <w:name w:val="List Paragraph"/>
    <w:aliases w:val="Dot pt,No Spacing1,List Paragraph Char Char Char,Indicator Text,List Paragraph1,Numbered Para 1,Bullet 1,List Paragraph12,Bullet Points,MAIN CONTENT,F5 List Paragraph,Colorful List - Accent 11,Normal numbered,List Paragraph11,OBC Bullet"/>
    <w:basedOn w:val="Normal"/>
    <w:link w:val="ListParagraphChar"/>
    <w:uiPriority w:val="34"/>
    <w:qFormat/>
    <w:rsid w:val="00691940"/>
    <w:pPr>
      <w:ind w:left="720"/>
      <w:contextualSpacing/>
    </w:pPr>
  </w:style>
  <w:style w:type="character" w:styleId="Hyperlink">
    <w:name w:val="Hyperlink"/>
    <w:basedOn w:val="DefaultParagraphFont"/>
    <w:uiPriority w:val="99"/>
    <w:unhideWhenUsed/>
    <w:rsid w:val="004724A0"/>
    <w:rPr>
      <w:color w:val="0000FF"/>
      <w:u w:val="single"/>
    </w:rPr>
  </w:style>
  <w:style w:type="paragraph" w:customStyle="1" w:styleId="Body1">
    <w:name w:val="Body 1"/>
    <w:rsid w:val="00820267"/>
    <w:pPr>
      <w:spacing w:after="200"/>
      <w:outlineLvl w:val="0"/>
    </w:pPr>
    <w:rPr>
      <w:rFonts w:ascii="Arial" w:eastAsia="ヒラギノ角ゴ Pro W3" w:hAnsi="Arial"/>
      <w:color w:val="000000"/>
      <w:sz w:val="28"/>
      <w:lang w:val="en-US"/>
    </w:rPr>
  </w:style>
  <w:style w:type="paragraph" w:customStyle="1" w:styleId="List1">
    <w:name w:val="List 1"/>
    <w:basedOn w:val="Normal"/>
    <w:semiHidden/>
    <w:rsid w:val="00820267"/>
    <w:pPr>
      <w:numPr>
        <w:numId w:val="1"/>
      </w:numPr>
      <w:tabs>
        <w:tab w:val="num" w:pos="0"/>
      </w:tabs>
      <w:ind w:left="0" w:hanging="720"/>
    </w:pPr>
    <w:rPr>
      <w:sz w:val="20"/>
      <w:szCs w:val="20"/>
      <w:lang w:val="en-GB" w:eastAsia="en-GB"/>
    </w:rPr>
  </w:style>
  <w:style w:type="paragraph" w:customStyle="1" w:styleId="List31">
    <w:name w:val="List 31"/>
    <w:basedOn w:val="Normal"/>
    <w:semiHidden/>
    <w:rsid w:val="00820267"/>
    <w:pPr>
      <w:numPr>
        <w:numId w:val="2"/>
      </w:numPr>
    </w:pPr>
    <w:rPr>
      <w:sz w:val="20"/>
      <w:szCs w:val="20"/>
      <w:lang w:val="en-GB" w:eastAsia="en-GB"/>
    </w:rPr>
  </w:style>
  <w:style w:type="paragraph" w:customStyle="1" w:styleId="List41">
    <w:name w:val="List 41"/>
    <w:basedOn w:val="Normal"/>
    <w:semiHidden/>
    <w:rsid w:val="00820267"/>
    <w:pPr>
      <w:numPr>
        <w:numId w:val="3"/>
      </w:numPr>
    </w:pPr>
    <w:rPr>
      <w:sz w:val="20"/>
      <w:szCs w:val="20"/>
      <w:lang w:val="en-GB" w:eastAsia="en-GB"/>
    </w:rPr>
  </w:style>
  <w:style w:type="character" w:styleId="CommentReference">
    <w:name w:val="annotation reference"/>
    <w:rsid w:val="00820267"/>
    <w:rPr>
      <w:sz w:val="16"/>
      <w:szCs w:val="16"/>
    </w:rPr>
  </w:style>
  <w:style w:type="paragraph" w:styleId="CommentText">
    <w:name w:val="annotation text"/>
    <w:basedOn w:val="Normal"/>
    <w:link w:val="CommentTextChar"/>
    <w:rsid w:val="00820267"/>
    <w:rPr>
      <w:sz w:val="20"/>
      <w:szCs w:val="20"/>
    </w:rPr>
  </w:style>
  <w:style w:type="character" w:customStyle="1" w:styleId="CommentTextChar">
    <w:name w:val="Comment Text Char"/>
    <w:basedOn w:val="DefaultParagraphFont"/>
    <w:link w:val="CommentText"/>
    <w:rsid w:val="00820267"/>
    <w:rPr>
      <w:rFonts w:ascii="Times New Roman" w:eastAsia="Times New Roman" w:hAnsi="Times New Roman"/>
      <w:lang w:val="en-US" w:eastAsia="en-US"/>
    </w:rPr>
  </w:style>
  <w:style w:type="paragraph" w:styleId="FootnoteText">
    <w:name w:val="footnote text"/>
    <w:basedOn w:val="Normal"/>
    <w:link w:val="FootnoteTextChar"/>
    <w:uiPriority w:val="99"/>
    <w:rsid w:val="00820267"/>
    <w:rPr>
      <w:sz w:val="20"/>
      <w:szCs w:val="20"/>
    </w:rPr>
  </w:style>
  <w:style w:type="character" w:customStyle="1" w:styleId="FootnoteTextChar">
    <w:name w:val="Footnote Text Char"/>
    <w:basedOn w:val="DefaultParagraphFont"/>
    <w:link w:val="FootnoteText"/>
    <w:uiPriority w:val="99"/>
    <w:rsid w:val="00820267"/>
    <w:rPr>
      <w:rFonts w:ascii="Times New Roman" w:eastAsia="Times New Roman" w:hAnsi="Times New Roman"/>
      <w:lang w:val="en-US" w:eastAsia="en-US"/>
    </w:rPr>
  </w:style>
  <w:style w:type="character" w:styleId="FootnoteReference">
    <w:name w:val="footnote reference"/>
    <w:rsid w:val="00820267"/>
    <w:rPr>
      <w:vertAlign w:val="superscript"/>
    </w:rPr>
  </w:style>
  <w:style w:type="character" w:customStyle="1" w:styleId="legds2">
    <w:name w:val="legds2"/>
    <w:rsid w:val="00820267"/>
    <w:rPr>
      <w:vanish w:val="0"/>
      <w:webHidden w:val="0"/>
      <w:specVanish w:val="0"/>
    </w:rPr>
  </w:style>
  <w:style w:type="character" w:customStyle="1" w:styleId="legterm">
    <w:name w:val="legterm"/>
    <w:rsid w:val="00820267"/>
  </w:style>
  <w:style w:type="paragraph" w:styleId="BalloonText">
    <w:name w:val="Balloon Text"/>
    <w:basedOn w:val="Normal"/>
    <w:link w:val="BalloonTextChar"/>
    <w:uiPriority w:val="99"/>
    <w:semiHidden/>
    <w:unhideWhenUsed/>
    <w:rsid w:val="00820267"/>
    <w:rPr>
      <w:rFonts w:ascii="Tahoma" w:hAnsi="Tahoma" w:cs="Tahoma"/>
      <w:sz w:val="16"/>
      <w:szCs w:val="16"/>
    </w:rPr>
  </w:style>
  <w:style w:type="character" w:customStyle="1" w:styleId="BalloonTextChar">
    <w:name w:val="Balloon Text Char"/>
    <w:basedOn w:val="DefaultParagraphFont"/>
    <w:link w:val="BalloonText"/>
    <w:uiPriority w:val="99"/>
    <w:semiHidden/>
    <w:rsid w:val="00820267"/>
    <w:rPr>
      <w:rFonts w:ascii="Tahoma" w:eastAsia="Times New Roman"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8E3C9C"/>
    <w:rPr>
      <w:b/>
      <w:bCs/>
    </w:rPr>
  </w:style>
  <w:style w:type="character" w:customStyle="1" w:styleId="CommentSubjectChar">
    <w:name w:val="Comment Subject Char"/>
    <w:basedOn w:val="CommentTextChar"/>
    <w:link w:val="CommentSubject"/>
    <w:uiPriority w:val="99"/>
    <w:semiHidden/>
    <w:rsid w:val="008E3C9C"/>
    <w:rPr>
      <w:rFonts w:ascii="Times New Roman" w:eastAsia="Times New Roman" w:hAnsi="Times New Roman"/>
      <w:b/>
      <w:bCs/>
      <w:lang w:val="en-US" w:eastAsia="en-US"/>
    </w:rPr>
  </w:style>
  <w:style w:type="paragraph" w:styleId="Revision">
    <w:name w:val="Revision"/>
    <w:hidden/>
    <w:uiPriority w:val="99"/>
    <w:semiHidden/>
    <w:rsid w:val="00D86D1C"/>
    <w:rPr>
      <w:rFonts w:ascii="Times New Roman" w:eastAsia="Times New Roman" w:hAnsi="Times New Roman"/>
      <w:sz w:val="24"/>
      <w:szCs w:val="24"/>
      <w:lang w:val="en-US" w:eastAsia="en-US"/>
    </w:rPr>
  </w:style>
  <w:style w:type="paragraph" w:customStyle="1" w:styleId="legclearfix">
    <w:name w:val="legclearfix"/>
    <w:basedOn w:val="Normal"/>
    <w:rsid w:val="00B94F49"/>
    <w:pPr>
      <w:spacing w:before="100" w:beforeAutospacing="1" w:after="100" w:afterAutospacing="1"/>
    </w:pPr>
    <w:rPr>
      <w:lang w:val="en-GB" w:eastAsia="en-GB"/>
    </w:rPr>
  </w:style>
  <w:style w:type="character" w:customStyle="1" w:styleId="legds">
    <w:name w:val="legds"/>
    <w:basedOn w:val="DefaultParagraphFont"/>
    <w:rsid w:val="00B94F49"/>
  </w:style>
  <w:style w:type="table" w:styleId="TableGrid">
    <w:name w:val="Table Grid"/>
    <w:basedOn w:val="TableNormal"/>
    <w:uiPriority w:val="59"/>
    <w:rsid w:val="00FE4A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base">
    <w:name w:val="&gt; Para (base)"/>
    <w:basedOn w:val="Body1"/>
    <w:qFormat/>
    <w:rsid w:val="009B6A5C"/>
    <w:pPr>
      <w:spacing w:after="120" w:line="312" w:lineRule="auto"/>
      <w:outlineLvl w:val="9"/>
    </w:pPr>
    <w:rPr>
      <w:rFonts w:eastAsia="Helvetica" w:cs="Arial"/>
      <w:sz w:val="24"/>
      <w:szCs w:val="24"/>
    </w:rPr>
  </w:style>
  <w:style w:type="paragraph" w:customStyle="1" w:styleId="L3Headers">
    <w:name w:val="&gt; L3 Headers"/>
    <w:basedOn w:val="Parabase"/>
    <w:qFormat/>
    <w:rsid w:val="009B6A5C"/>
    <w:pPr>
      <w:pBdr>
        <w:bottom w:val="dotted" w:sz="4" w:space="1" w:color="auto"/>
      </w:pBdr>
      <w:spacing w:after="360"/>
      <w:outlineLvl w:val="1"/>
    </w:pPr>
    <w:rPr>
      <w:b/>
      <w:color w:val="E36C0A" w:themeColor="accent6" w:themeShade="BF"/>
      <w:sz w:val="28"/>
      <w:szCs w:val="28"/>
    </w:rPr>
  </w:style>
  <w:style w:type="paragraph" w:customStyle="1" w:styleId="L4Headers">
    <w:name w:val="&gt; L4 Headers"/>
    <w:basedOn w:val="Parabase"/>
    <w:qFormat/>
    <w:rsid w:val="009B6A5C"/>
    <w:pPr>
      <w:spacing w:after="100"/>
      <w:outlineLvl w:val="2"/>
    </w:pPr>
    <w:rPr>
      <w:b/>
    </w:rPr>
  </w:style>
  <w:style w:type="paragraph" w:customStyle="1" w:styleId="Bulletsbase">
    <w:name w:val="&gt; Bullets (base)"/>
    <w:basedOn w:val="Parabase"/>
    <w:qFormat/>
    <w:rsid w:val="009B6A5C"/>
    <w:pPr>
      <w:numPr>
        <w:ilvl w:val="3"/>
        <w:numId w:val="4"/>
      </w:numPr>
      <w:spacing w:after="40"/>
    </w:pPr>
    <w:rPr>
      <w:rFonts w:eastAsia="Calibri"/>
      <w:lang w:val="en-GB" w:eastAsia="en-US"/>
    </w:rPr>
  </w:style>
  <w:style w:type="paragraph" w:customStyle="1" w:styleId="L4Header">
    <w:name w:val="&gt; L4 Header"/>
    <w:basedOn w:val="Parabase"/>
    <w:qFormat/>
    <w:rsid w:val="009B6A5C"/>
    <w:pPr>
      <w:spacing w:after="100"/>
    </w:pPr>
    <w:rPr>
      <w:rFonts w:eastAsia="Calibri"/>
      <w:b/>
      <w:color w:val="auto"/>
      <w:lang w:eastAsia="en-US"/>
    </w:rPr>
  </w:style>
  <w:style w:type="paragraph" w:customStyle="1" w:styleId="Parass">
    <w:name w:val="&gt; Para (ss)"/>
    <w:basedOn w:val="Normal"/>
    <w:qFormat/>
    <w:rsid w:val="009B6A5C"/>
    <w:pPr>
      <w:spacing w:after="360" w:line="312" w:lineRule="auto"/>
    </w:pPr>
    <w:rPr>
      <w:rFonts w:ascii="Arial" w:eastAsia="Calibri" w:hAnsi="Arial" w:cs="Arial"/>
    </w:rPr>
  </w:style>
  <w:style w:type="paragraph" w:customStyle="1" w:styleId="Bulletsgroup">
    <w:name w:val="&gt; Bullets (group)"/>
    <w:basedOn w:val="Bulletsbase"/>
    <w:qFormat/>
    <w:rsid w:val="009B6A5C"/>
    <w:pPr>
      <w:spacing w:after="180"/>
    </w:pPr>
  </w:style>
  <w:style w:type="paragraph" w:customStyle="1" w:styleId="Parapre-bullets">
    <w:name w:val="&gt; Para (pre-bullets)"/>
    <w:basedOn w:val="Parabase"/>
    <w:qFormat/>
    <w:rsid w:val="009B6A5C"/>
    <w:pPr>
      <w:spacing w:after="60"/>
    </w:pPr>
  </w:style>
  <w:style w:type="paragraph" w:styleId="Header">
    <w:name w:val="header"/>
    <w:basedOn w:val="Normal"/>
    <w:link w:val="HeaderChar"/>
    <w:uiPriority w:val="99"/>
    <w:unhideWhenUsed/>
    <w:rsid w:val="009B6A5C"/>
    <w:pPr>
      <w:tabs>
        <w:tab w:val="center" w:pos="4513"/>
        <w:tab w:val="right" w:pos="9026"/>
      </w:tabs>
    </w:pPr>
  </w:style>
  <w:style w:type="character" w:customStyle="1" w:styleId="HeaderChar">
    <w:name w:val="Header Char"/>
    <w:basedOn w:val="DefaultParagraphFont"/>
    <w:link w:val="Header"/>
    <w:uiPriority w:val="99"/>
    <w:rsid w:val="009B6A5C"/>
    <w:rPr>
      <w:rFonts w:ascii="Times New Roman" w:eastAsia="Times New Roman" w:hAnsi="Times New Roman"/>
      <w:sz w:val="24"/>
      <w:szCs w:val="24"/>
      <w:lang w:val="en-US" w:eastAsia="en-US"/>
    </w:rPr>
  </w:style>
  <w:style w:type="paragraph" w:customStyle="1" w:styleId="Parasection">
    <w:name w:val="&gt; Para (section)"/>
    <w:basedOn w:val="Parabase"/>
    <w:qFormat/>
    <w:rsid w:val="009B6A5C"/>
    <w:pPr>
      <w:spacing w:after="600"/>
    </w:pPr>
  </w:style>
  <w:style w:type="paragraph" w:styleId="Footer">
    <w:name w:val="footer"/>
    <w:basedOn w:val="Normal"/>
    <w:link w:val="FooterChar"/>
    <w:uiPriority w:val="99"/>
    <w:unhideWhenUsed/>
    <w:rsid w:val="0041551C"/>
    <w:pPr>
      <w:tabs>
        <w:tab w:val="center" w:pos="4513"/>
        <w:tab w:val="right" w:pos="9026"/>
      </w:tabs>
    </w:pPr>
  </w:style>
  <w:style w:type="character" w:customStyle="1" w:styleId="FooterChar">
    <w:name w:val="Footer Char"/>
    <w:basedOn w:val="DefaultParagraphFont"/>
    <w:link w:val="Footer"/>
    <w:uiPriority w:val="99"/>
    <w:rsid w:val="0041551C"/>
    <w:rPr>
      <w:rFonts w:ascii="Times New Roman" w:eastAsia="Times New Roman" w:hAnsi="Times New Roman"/>
      <w:sz w:val="24"/>
      <w:szCs w:val="24"/>
      <w:lang w:val="en-US" w:eastAsia="en-US"/>
    </w:rPr>
  </w:style>
  <w:style w:type="character" w:customStyle="1" w:styleId="ListParagraphChar">
    <w:name w:val="List Paragraph Char"/>
    <w:aliases w:val="Dot pt Char,No Spacing1 Char,List Paragraph Char Char Char Char,Indicator Text Char,List Paragraph1 Char,Numbered Para 1 Char,Bullet 1 Char,List Paragraph12 Char,Bullet Points Char,MAIN CONTENT Char,F5 List Paragraph Char"/>
    <w:basedOn w:val="DefaultParagraphFont"/>
    <w:link w:val="ListParagraph"/>
    <w:uiPriority w:val="34"/>
    <w:locked/>
    <w:rsid w:val="00101EEC"/>
    <w:rPr>
      <w:rFonts w:ascii="Times New Roman" w:eastAsia="Times New Roman" w:hAnsi="Times New Roman"/>
      <w:sz w:val="24"/>
      <w:szCs w:val="24"/>
      <w:lang w:val="en-US" w:eastAsia="en-US"/>
    </w:rPr>
  </w:style>
  <w:style w:type="character" w:customStyle="1" w:styleId="sfbbfee58">
    <w:name w:val="sfbbfee58"/>
    <w:basedOn w:val="DefaultParagraphFont"/>
    <w:rsid w:val="00101EEC"/>
  </w:style>
  <w:style w:type="character" w:customStyle="1" w:styleId="sb8d990e2">
    <w:name w:val="sb8d990e2"/>
    <w:basedOn w:val="DefaultParagraphFont"/>
    <w:rsid w:val="00101EEC"/>
  </w:style>
  <w:style w:type="paragraph" w:styleId="NormalWeb">
    <w:name w:val="Normal (Web)"/>
    <w:basedOn w:val="Normal"/>
    <w:uiPriority w:val="99"/>
    <w:unhideWhenUsed/>
    <w:rsid w:val="0060681C"/>
    <w:pPr>
      <w:spacing w:before="100" w:beforeAutospacing="1" w:after="100" w:afterAutospacing="1"/>
    </w:pPr>
    <w:rPr>
      <w:lang w:val="en-GB" w:eastAsia="en-GB"/>
    </w:rPr>
  </w:style>
  <w:style w:type="character" w:customStyle="1" w:styleId="Heading3Char">
    <w:name w:val="Heading 3 Char"/>
    <w:basedOn w:val="DefaultParagraphFont"/>
    <w:link w:val="Heading3"/>
    <w:uiPriority w:val="9"/>
    <w:semiHidden/>
    <w:rsid w:val="0060681C"/>
    <w:rPr>
      <w:rFonts w:asciiTheme="majorHAnsi" w:eastAsiaTheme="majorEastAsia" w:hAnsiTheme="majorHAnsi" w:cstheme="majorBidi"/>
      <w:b/>
      <w:bCs/>
      <w:color w:val="4F81BD" w:themeColor="accent1"/>
      <w:sz w:val="24"/>
      <w:szCs w:val="24"/>
      <w:lang w:val="en-US" w:eastAsia="en-US"/>
    </w:rPr>
  </w:style>
  <w:style w:type="character" w:styleId="Strong">
    <w:name w:val="Strong"/>
    <w:basedOn w:val="DefaultParagraphFont"/>
    <w:uiPriority w:val="22"/>
    <w:qFormat/>
    <w:rsid w:val="0060681C"/>
    <w:rPr>
      <w:b/>
      <w:bCs/>
    </w:rPr>
  </w:style>
  <w:style w:type="paragraph" w:customStyle="1" w:styleId="wordsection1">
    <w:name w:val="wordsection1"/>
    <w:basedOn w:val="Normal"/>
    <w:uiPriority w:val="99"/>
    <w:rsid w:val="005F46EE"/>
    <w:rPr>
      <w:rFonts w:eastAsiaTheme="minorHAnsi"/>
      <w:lang w:val="en-GB" w:eastAsia="en-GB"/>
    </w:rPr>
  </w:style>
  <w:style w:type="character" w:styleId="Emphasis">
    <w:name w:val="Emphasis"/>
    <w:uiPriority w:val="20"/>
    <w:qFormat/>
    <w:rsid w:val="00C94BF5"/>
    <w:rPr>
      <w:i/>
      <w:iCs/>
    </w:rPr>
  </w:style>
  <w:style w:type="table" w:styleId="LightShading-Accent6">
    <w:name w:val="Light Shading Accent 6"/>
    <w:basedOn w:val="TableNormal"/>
    <w:uiPriority w:val="60"/>
    <w:rsid w:val="00BA4C84"/>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FollowedHyperlink">
    <w:name w:val="FollowedHyperlink"/>
    <w:basedOn w:val="DefaultParagraphFont"/>
    <w:uiPriority w:val="99"/>
    <w:semiHidden/>
    <w:unhideWhenUsed/>
    <w:rsid w:val="007A04DF"/>
    <w:rPr>
      <w:color w:val="800080" w:themeColor="followedHyperlink"/>
      <w:u w:val="single"/>
    </w:rPr>
  </w:style>
  <w:style w:type="character" w:customStyle="1" w:styleId="st1">
    <w:name w:val="st1"/>
    <w:basedOn w:val="DefaultParagraphFont"/>
    <w:rsid w:val="00EB5EA9"/>
  </w:style>
  <w:style w:type="paragraph" w:styleId="TOCHeading">
    <w:name w:val="TOC Heading"/>
    <w:basedOn w:val="Heading1"/>
    <w:next w:val="Normal"/>
    <w:uiPriority w:val="39"/>
    <w:semiHidden/>
    <w:unhideWhenUsed/>
    <w:qFormat/>
    <w:rsid w:val="00D44129"/>
    <w:pPr>
      <w:spacing w:after="0" w:line="276" w:lineRule="auto"/>
      <w:outlineLvl w:val="9"/>
    </w:pPr>
    <w:rPr>
      <w:rFonts w:asciiTheme="majorHAnsi" w:eastAsiaTheme="majorEastAsia" w:hAnsiTheme="majorHAnsi" w:cstheme="majorBidi"/>
      <w:color w:val="365F91" w:themeColor="accent1" w:themeShade="BF"/>
      <w:sz w:val="28"/>
    </w:rPr>
  </w:style>
  <w:style w:type="paragraph" w:styleId="TOC2">
    <w:name w:val="toc 2"/>
    <w:basedOn w:val="Normal"/>
    <w:next w:val="Normal"/>
    <w:autoRedefine/>
    <w:uiPriority w:val="39"/>
    <w:unhideWhenUsed/>
    <w:rsid w:val="00D44129"/>
    <w:pPr>
      <w:spacing w:after="100"/>
      <w:ind w:left="240"/>
    </w:pPr>
  </w:style>
  <w:style w:type="paragraph" w:styleId="TOC3">
    <w:name w:val="toc 3"/>
    <w:basedOn w:val="Normal"/>
    <w:next w:val="Normal"/>
    <w:autoRedefine/>
    <w:uiPriority w:val="39"/>
    <w:unhideWhenUsed/>
    <w:rsid w:val="00D44129"/>
    <w:pPr>
      <w:spacing w:after="100"/>
      <w:ind w:left="480"/>
    </w:pPr>
  </w:style>
  <w:style w:type="paragraph" w:customStyle="1" w:styleId="legclearfix2">
    <w:name w:val="legclearfix2"/>
    <w:basedOn w:val="Normal"/>
    <w:rsid w:val="005B4D31"/>
    <w:pPr>
      <w:shd w:val="clear" w:color="auto" w:fill="FFFFFF"/>
      <w:spacing w:after="120" w:line="360" w:lineRule="atLeast"/>
    </w:pPr>
    <w:rPr>
      <w:color w:val="000000"/>
      <w:sz w:val="19"/>
      <w:szCs w:val="19"/>
      <w:lang w:val="en-GB" w:eastAsia="en-GB"/>
    </w:rPr>
  </w:style>
  <w:style w:type="character" w:customStyle="1" w:styleId="legextentrestriction7">
    <w:name w:val="legextentrestriction7"/>
    <w:basedOn w:val="DefaultParagraphFont"/>
    <w:rsid w:val="005B4D31"/>
    <w:rPr>
      <w:b/>
      <w:bCs/>
      <w:i w:val="0"/>
      <w:iCs w:val="0"/>
      <w:vanish/>
      <w:webHidden w:val="0"/>
      <w:color w:val="FFFFFF"/>
      <w:sz w:val="22"/>
      <w:szCs w:val="22"/>
      <w:shd w:val="clear" w:color="auto" w:fill="660066"/>
      <w:specVanish w:val="0"/>
    </w:rPr>
  </w:style>
  <w:style w:type="paragraph" w:styleId="PlainText">
    <w:name w:val="Plain Text"/>
    <w:basedOn w:val="Normal"/>
    <w:link w:val="PlainTextChar"/>
    <w:uiPriority w:val="99"/>
    <w:unhideWhenUsed/>
    <w:rsid w:val="00C975CD"/>
    <w:rPr>
      <w:rFonts w:ascii="Arial" w:eastAsiaTheme="minorHAnsi" w:hAnsi="Arial" w:cstheme="minorBidi"/>
      <w:sz w:val="28"/>
      <w:lang w:val="en-GB"/>
    </w:rPr>
  </w:style>
  <w:style w:type="character" w:customStyle="1" w:styleId="PlainTextChar">
    <w:name w:val="Plain Text Char"/>
    <w:basedOn w:val="DefaultParagraphFont"/>
    <w:link w:val="PlainText"/>
    <w:uiPriority w:val="99"/>
    <w:rsid w:val="00C975CD"/>
    <w:rPr>
      <w:rFonts w:ascii="Arial" w:eastAsiaTheme="minorHAnsi" w:hAnsi="Arial" w:cstheme="minorBidi"/>
      <w:sz w:val="28"/>
      <w:szCs w:val="24"/>
      <w:lang w:eastAsia="en-US"/>
    </w:rPr>
  </w:style>
  <w:style w:type="paragraph" w:styleId="EndnoteText">
    <w:name w:val="endnote text"/>
    <w:basedOn w:val="Normal"/>
    <w:link w:val="EndnoteTextChar"/>
    <w:uiPriority w:val="99"/>
    <w:semiHidden/>
    <w:unhideWhenUsed/>
    <w:rsid w:val="00CB6459"/>
    <w:rPr>
      <w:sz w:val="20"/>
      <w:szCs w:val="20"/>
    </w:rPr>
  </w:style>
  <w:style w:type="character" w:customStyle="1" w:styleId="EndnoteTextChar">
    <w:name w:val="Endnote Text Char"/>
    <w:basedOn w:val="DefaultParagraphFont"/>
    <w:link w:val="EndnoteText"/>
    <w:uiPriority w:val="99"/>
    <w:semiHidden/>
    <w:rsid w:val="00CB6459"/>
    <w:rPr>
      <w:rFonts w:ascii="Times New Roman" w:eastAsia="Times New Roman" w:hAnsi="Times New Roman"/>
      <w:lang w:val="en-US" w:eastAsia="en-US"/>
    </w:rPr>
  </w:style>
  <w:style w:type="character" w:styleId="EndnoteReference">
    <w:name w:val="endnote reference"/>
    <w:basedOn w:val="DefaultParagraphFont"/>
    <w:uiPriority w:val="99"/>
    <w:semiHidden/>
    <w:unhideWhenUsed/>
    <w:rsid w:val="00CB6459"/>
    <w:rPr>
      <w:vertAlign w:val="superscript"/>
    </w:rPr>
  </w:style>
  <w:style w:type="paragraph" w:customStyle="1" w:styleId="L1Headers">
    <w:name w:val="&gt; L1 Headers"/>
    <w:basedOn w:val="Heading1"/>
    <w:qFormat/>
    <w:rsid w:val="00E973EE"/>
    <w:pPr>
      <w:spacing w:before="0" w:after="1280" w:line="288" w:lineRule="auto"/>
      <w:ind w:left="851" w:hanging="851"/>
    </w:pPr>
    <w:rPr>
      <w:rFonts w:ascii="Georgia" w:hAnsi="Georgia"/>
      <w:b w:val="0"/>
      <w:sz w:val="56"/>
      <w:szCs w:val="56"/>
      <w:lang w:val="en-GB"/>
    </w:rPr>
  </w:style>
  <w:style w:type="paragraph" w:customStyle="1" w:styleId="Paraapres-box">
    <w:name w:val="&gt; Para (apres-box)"/>
    <w:basedOn w:val="Parabase"/>
    <w:uiPriority w:val="1"/>
    <w:qFormat/>
    <w:rsid w:val="00E973EE"/>
    <w:pPr>
      <w:spacing w:after="0"/>
    </w:pPr>
    <w:rPr>
      <w:rFonts w:eastAsia="Calibri"/>
      <w:color w:val="auto"/>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20267"/>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C371B2"/>
    <w:pPr>
      <w:keepNext/>
      <w:keepLines/>
      <w:spacing w:before="480" w:after="120"/>
      <w:outlineLvl w:val="0"/>
    </w:pPr>
    <w:rPr>
      <w:b/>
      <w:bCs/>
      <w:sz w:val="36"/>
      <w:szCs w:val="28"/>
    </w:rPr>
  </w:style>
  <w:style w:type="paragraph" w:styleId="Heading2">
    <w:name w:val="heading 2"/>
    <w:basedOn w:val="Normal"/>
    <w:next w:val="Normal"/>
    <w:link w:val="Heading2Char"/>
    <w:unhideWhenUsed/>
    <w:qFormat/>
    <w:rsid w:val="00C371B2"/>
    <w:pPr>
      <w:keepNext/>
      <w:keepLines/>
      <w:spacing w:before="200" w:after="120"/>
      <w:outlineLvl w:val="1"/>
    </w:pPr>
    <w:rPr>
      <w:b/>
      <w:bCs/>
      <w:szCs w:val="26"/>
    </w:rPr>
  </w:style>
  <w:style w:type="paragraph" w:styleId="Heading3">
    <w:name w:val="heading 3"/>
    <w:basedOn w:val="Normal"/>
    <w:next w:val="Normal"/>
    <w:link w:val="Heading3Char"/>
    <w:uiPriority w:val="9"/>
    <w:semiHidden/>
    <w:unhideWhenUsed/>
    <w:rsid w:val="0060681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6B61D8"/>
    <w:rPr>
      <w:rFonts w:ascii="Arial" w:hAnsi="Arial"/>
      <w:sz w:val="24"/>
      <w:szCs w:val="22"/>
      <w:lang w:eastAsia="en-US"/>
    </w:rPr>
  </w:style>
  <w:style w:type="character" w:customStyle="1" w:styleId="Heading1Char">
    <w:name w:val="Heading 1 Char"/>
    <w:basedOn w:val="DefaultParagraphFont"/>
    <w:link w:val="Heading1"/>
    <w:uiPriority w:val="9"/>
    <w:rsid w:val="00C371B2"/>
    <w:rPr>
      <w:rFonts w:ascii="Arial" w:eastAsia="Times New Roman" w:hAnsi="Arial" w:cs="Times New Roman"/>
      <w:b/>
      <w:bCs/>
      <w:sz w:val="36"/>
      <w:szCs w:val="28"/>
    </w:rPr>
  </w:style>
  <w:style w:type="paragraph" w:styleId="Title">
    <w:name w:val="Title"/>
    <w:basedOn w:val="Normal"/>
    <w:next w:val="Normal"/>
    <w:link w:val="TitleChar"/>
    <w:uiPriority w:val="10"/>
    <w:qFormat/>
    <w:rsid w:val="00C371B2"/>
    <w:pPr>
      <w:spacing w:after="300"/>
      <w:contextualSpacing/>
    </w:pPr>
    <w:rPr>
      <w:b/>
      <w:spacing w:val="5"/>
      <w:kern w:val="28"/>
      <w:sz w:val="52"/>
      <w:szCs w:val="52"/>
    </w:rPr>
  </w:style>
  <w:style w:type="character" w:customStyle="1" w:styleId="TitleChar">
    <w:name w:val="Title Char"/>
    <w:basedOn w:val="DefaultParagraphFont"/>
    <w:link w:val="Title"/>
    <w:uiPriority w:val="10"/>
    <w:rsid w:val="00C371B2"/>
    <w:rPr>
      <w:rFonts w:ascii="Arial" w:eastAsia="Times New Roman" w:hAnsi="Arial" w:cs="Times New Roman"/>
      <w:b/>
      <w:spacing w:val="5"/>
      <w:kern w:val="28"/>
      <w:sz w:val="52"/>
      <w:szCs w:val="52"/>
    </w:rPr>
  </w:style>
  <w:style w:type="character" w:customStyle="1" w:styleId="Heading2Char">
    <w:name w:val="Heading 2 Char"/>
    <w:basedOn w:val="DefaultParagraphFont"/>
    <w:link w:val="Heading2"/>
    <w:uiPriority w:val="9"/>
    <w:rsid w:val="00C371B2"/>
    <w:rPr>
      <w:rFonts w:ascii="Arial" w:eastAsia="Times New Roman" w:hAnsi="Arial" w:cs="Times New Roman"/>
      <w:b/>
      <w:bCs/>
      <w:sz w:val="28"/>
      <w:szCs w:val="26"/>
    </w:rPr>
  </w:style>
  <w:style w:type="paragraph" w:styleId="ListParagraph">
    <w:name w:val="List Paragraph"/>
    <w:aliases w:val="Dot pt,No Spacing1,List Paragraph Char Char Char,Indicator Text,List Paragraph1,Numbered Para 1,Bullet 1,List Paragraph12,Bullet Points,MAIN CONTENT,F5 List Paragraph,Colorful List - Accent 11,Normal numbered,List Paragraph11,OBC Bullet"/>
    <w:basedOn w:val="Normal"/>
    <w:link w:val="ListParagraphChar"/>
    <w:uiPriority w:val="34"/>
    <w:qFormat/>
    <w:rsid w:val="00691940"/>
    <w:pPr>
      <w:ind w:left="720"/>
      <w:contextualSpacing/>
    </w:pPr>
  </w:style>
  <w:style w:type="character" w:styleId="Hyperlink">
    <w:name w:val="Hyperlink"/>
    <w:basedOn w:val="DefaultParagraphFont"/>
    <w:uiPriority w:val="99"/>
    <w:unhideWhenUsed/>
    <w:rsid w:val="004724A0"/>
    <w:rPr>
      <w:color w:val="0000FF"/>
      <w:u w:val="single"/>
    </w:rPr>
  </w:style>
  <w:style w:type="paragraph" w:customStyle="1" w:styleId="Body1">
    <w:name w:val="Body 1"/>
    <w:rsid w:val="00820267"/>
    <w:pPr>
      <w:spacing w:after="200"/>
      <w:outlineLvl w:val="0"/>
    </w:pPr>
    <w:rPr>
      <w:rFonts w:ascii="Arial" w:eastAsia="ヒラギノ角ゴ Pro W3" w:hAnsi="Arial"/>
      <w:color w:val="000000"/>
      <w:sz w:val="28"/>
      <w:lang w:val="en-US"/>
    </w:rPr>
  </w:style>
  <w:style w:type="paragraph" w:customStyle="1" w:styleId="List1">
    <w:name w:val="List 1"/>
    <w:basedOn w:val="Normal"/>
    <w:semiHidden/>
    <w:rsid w:val="00820267"/>
    <w:pPr>
      <w:numPr>
        <w:numId w:val="1"/>
      </w:numPr>
      <w:tabs>
        <w:tab w:val="num" w:pos="0"/>
      </w:tabs>
      <w:ind w:left="0" w:hanging="720"/>
    </w:pPr>
    <w:rPr>
      <w:sz w:val="20"/>
      <w:szCs w:val="20"/>
      <w:lang w:val="en-GB" w:eastAsia="en-GB"/>
    </w:rPr>
  </w:style>
  <w:style w:type="paragraph" w:customStyle="1" w:styleId="List31">
    <w:name w:val="List 31"/>
    <w:basedOn w:val="Normal"/>
    <w:semiHidden/>
    <w:rsid w:val="00820267"/>
    <w:pPr>
      <w:numPr>
        <w:numId w:val="2"/>
      </w:numPr>
    </w:pPr>
    <w:rPr>
      <w:sz w:val="20"/>
      <w:szCs w:val="20"/>
      <w:lang w:val="en-GB" w:eastAsia="en-GB"/>
    </w:rPr>
  </w:style>
  <w:style w:type="paragraph" w:customStyle="1" w:styleId="List41">
    <w:name w:val="List 41"/>
    <w:basedOn w:val="Normal"/>
    <w:semiHidden/>
    <w:rsid w:val="00820267"/>
    <w:pPr>
      <w:numPr>
        <w:numId w:val="3"/>
      </w:numPr>
    </w:pPr>
    <w:rPr>
      <w:sz w:val="20"/>
      <w:szCs w:val="20"/>
      <w:lang w:val="en-GB" w:eastAsia="en-GB"/>
    </w:rPr>
  </w:style>
  <w:style w:type="character" w:styleId="CommentReference">
    <w:name w:val="annotation reference"/>
    <w:rsid w:val="00820267"/>
    <w:rPr>
      <w:sz w:val="16"/>
      <w:szCs w:val="16"/>
    </w:rPr>
  </w:style>
  <w:style w:type="paragraph" w:styleId="CommentText">
    <w:name w:val="annotation text"/>
    <w:basedOn w:val="Normal"/>
    <w:link w:val="CommentTextChar"/>
    <w:rsid w:val="00820267"/>
    <w:rPr>
      <w:sz w:val="20"/>
      <w:szCs w:val="20"/>
    </w:rPr>
  </w:style>
  <w:style w:type="character" w:customStyle="1" w:styleId="CommentTextChar">
    <w:name w:val="Comment Text Char"/>
    <w:basedOn w:val="DefaultParagraphFont"/>
    <w:link w:val="CommentText"/>
    <w:rsid w:val="00820267"/>
    <w:rPr>
      <w:rFonts w:ascii="Times New Roman" w:eastAsia="Times New Roman" w:hAnsi="Times New Roman"/>
      <w:lang w:val="en-US" w:eastAsia="en-US"/>
    </w:rPr>
  </w:style>
  <w:style w:type="paragraph" w:styleId="FootnoteText">
    <w:name w:val="footnote text"/>
    <w:basedOn w:val="Normal"/>
    <w:link w:val="FootnoteTextChar"/>
    <w:uiPriority w:val="99"/>
    <w:rsid w:val="00820267"/>
    <w:rPr>
      <w:sz w:val="20"/>
      <w:szCs w:val="20"/>
    </w:rPr>
  </w:style>
  <w:style w:type="character" w:customStyle="1" w:styleId="FootnoteTextChar">
    <w:name w:val="Footnote Text Char"/>
    <w:basedOn w:val="DefaultParagraphFont"/>
    <w:link w:val="FootnoteText"/>
    <w:uiPriority w:val="99"/>
    <w:rsid w:val="00820267"/>
    <w:rPr>
      <w:rFonts w:ascii="Times New Roman" w:eastAsia="Times New Roman" w:hAnsi="Times New Roman"/>
      <w:lang w:val="en-US" w:eastAsia="en-US"/>
    </w:rPr>
  </w:style>
  <w:style w:type="character" w:styleId="FootnoteReference">
    <w:name w:val="footnote reference"/>
    <w:rsid w:val="00820267"/>
    <w:rPr>
      <w:vertAlign w:val="superscript"/>
    </w:rPr>
  </w:style>
  <w:style w:type="character" w:customStyle="1" w:styleId="legds2">
    <w:name w:val="legds2"/>
    <w:rsid w:val="00820267"/>
    <w:rPr>
      <w:vanish w:val="0"/>
      <w:webHidden w:val="0"/>
      <w:specVanish w:val="0"/>
    </w:rPr>
  </w:style>
  <w:style w:type="character" w:customStyle="1" w:styleId="legterm">
    <w:name w:val="legterm"/>
    <w:rsid w:val="00820267"/>
  </w:style>
  <w:style w:type="paragraph" w:styleId="BalloonText">
    <w:name w:val="Balloon Text"/>
    <w:basedOn w:val="Normal"/>
    <w:link w:val="BalloonTextChar"/>
    <w:uiPriority w:val="99"/>
    <w:semiHidden/>
    <w:unhideWhenUsed/>
    <w:rsid w:val="00820267"/>
    <w:rPr>
      <w:rFonts w:ascii="Tahoma" w:hAnsi="Tahoma" w:cs="Tahoma"/>
      <w:sz w:val="16"/>
      <w:szCs w:val="16"/>
    </w:rPr>
  </w:style>
  <w:style w:type="character" w:customStyle="1" w:styleId="BalloonTextChar">
    <w:name w:val="Balloon Text Char"/>
    <w:basedOn w:val="DefaultParagraphFont"/>
    <w:link w:val="BalloonText"/>
    <w:uiPriority w:val="99"/>
    <w:semiHidden/>
    <w:rsid w:val="00820267"/>
    <w:rPr>
      <w:rFonts w:ascii="Tahoma" w:eastAsia="Times New Roman"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8E3C9C"/>
    <w:rPr>
      <w:b/>
      <w:bCs/>
    </w:rPr>
  </w:style>
  <w:style w:type="character" w:customStyle="1" w:styleId="CommentSubjectChar">
    <w:name w:val="Comment Subject Char"/>
    <w:basedOn w:val="CommentTextChar"/>
    <w:link w:val="CommentSubject"/>
    <w:uiPriority w:val="99"/>
    <w:semiHidden/>
    <w:rsid w:val="008E3C9C"/>
    <w:rPr>
      <w:rFonts w:ascii="Times New Roman" w:eastAsia="Times New Roman" w:hAnsi="Times New Roman"/>
      <w:b/>
      <w:bCs/>
      <w:lang w:val="en-US" w:eastAsia="en-US"/>
    </w:rPr>
  </w:style>
  <w:style w:type="paragraph" w:styleId="Revision">
    <w:name w:val="Revision"/>
    <w:hidden/>
    <w:uiPriority w:val="99"/>
    <w:semiHidden/>
    <w:rsid w:val="00D86D1C"/>
    <w:rPr>
      <w:rFonts w:ascii="Times New Roman" w:eastAsia="Times New Roman" w:hAnsi="Times New Roman"/>
      <w:sz w:val="24"/>
      <w:szCs w:val="24"/>
      <w:lang w:val="en-US" w:eastAsia="en-US"/>
    </w:rPr>
  </w:style>
  <w:style w:type="paragraph" w:customStyle="1" w:styleId="legclearfix">
    <w:name w:val="legclearfix"/>
    <w:basedOn w:val="Normal"/>
    <w:rsid w:val="00B94F49"/>
    <w:pPr>
      <w:spacing w:before="100" w:beforeAutospacing="1" w:after="100" w:afterAutospacing="1"/>
    </w:pPr>
    <w:rPr>
      <w:lang w:val="en-GB" w:eastAsia="en-GB"/>
    </w:rPr>
  </w:style>
  <w:style w:type="character" w:customStyle="1" w:styleId="legds">
    <w:name w:val="legds"/>
    <w:basedOn w:val="DefaultParagraphFont"/>
    <w:rsid w:val="00B94F49"/>
  </w:style>
  <w:style w:type="table" w:styleId="TableGrid">
    <w:name w:val="Table Grid"/>
    <w:basedOn w:val="TableNormal"/>
    <w:uiPriority w:val="59"/>
    <w:rsid w:val="00FE4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base">
    <w:name w:val="&gt; Para (base)"/>
    <w:basedOn w:val="Body1"/>
    <w:qFormat/>
    <w:rsid w:val="009B6A5C"/>
    <w:pPr>
      <w:spacing w:after="120" w:line="312" w:lineRule="auto"/>
      <w:outlineLvl w:val="9"/>
    </w:pPr>
    <w:rPr>
      <w:rFonts w:eastAsia="Helvetica" w:cs="Arial"/>
      <w:sz w:val="24"/>
      <w:szCs w:val="24"/>
    </w:rPr>
  </w:style>
  <w:style w:type="paragraph" w:customStyle="1" w:styleId="L3Headers">
    <w:name w:val="&gt; L3 Headers"/>
    <w:basedOn w:val="Parabase"/>
    <w:qFormat/>
    <w:rsid w:val="009B6A5C"/>
    <w:pPr>
      <w:pBdr>
        <w:bottom w:val="dotted" w:sz="4" w:space="1" w:color="auto"/>
      </w:pBdr>
      <w:spacing w:after="360"/>
      <w:outlineLvl w:val="1"/>
    </w:pPr>
    <w:rPr>
      <w:b/>
      <w:color w:val="E36C0A" w:themeColor="accent6" w:themeShade="BF"/>
      <w:sz w:val="28"/>
      <w:szCs w:val="28"/>
    </w:rPr>
  </w:style>
  <w:style w:type="paragraph" w:customStyle="1" w:styleId="L4Headers">
    <w:name w:val="&gt; L4 Headers"/>
    <w:basedOn w:val="Parabase"/>
    <w:qFormat/>
    <w:rsid w:val="009B6A5C"/>
    <w:pPr>
      <w:spacing w:after="100"/>
      <w:outlineLvl w:val="2"/>
    </w:pPr>
    <w:rPr>
      <w:b/>
    </w:rPr>
  </w:style>
  <w:style w:type="paragraph" w:customStyle="1" w:styleId="Bulletsbase">
    <w:name w:val="&gt; Bullets (base)"/>
    <w:basedOn w:val="Parabase"/>
    <w:qFormat/>
    <w:rsid w:val="009B6A5C"/>
    <w:pPr>
      <w:numPr>
        <w:ilvl w:val="3"/>
        <w:numId w:val="4"/>
      </w:numPr>
      <w:spacing w:after="40"/>
    </w:pPr>
    <w:rPr>
      <w:rFonts w:eastAsia="Calibri"/>
      <w:lang w:val="en-GB" w:eastAsia="en-US"/>
    </w:rPr>
  </w:style>
  <w:style w:type="paragraph" w:customStyle="1" w:styleId="L4Header">
    <w:name w:val="&gt; L4 Header"/>
    <w:basedOn w:val="Parabase"/>
    <w:qFormat/>
    <w:rsid w:val="009B6A5C"/>
    <w:pPr>
      <w:spacing w:after="100"/>
    </w:pPr>
    <w:rPr>
      <w:rFonts w:eastAsia="Calibri"/>
      <w:b/>
      <w:color w:val="auto"/>
      <w:lang w:eastAsia="en-US"/>
    </w:rPr>
  </w:style>
  <w:style w:type="paragraph" w:customStyle="1" w:styleId="Parass">
    <w:name w:val="&gt; Para (ss)"/>
    <w:basedOn w:val="Normal"/>
    <w:qFormat/>
    <w:rsid w:val="009B6A5C"/>
    <w:pPr>
      <w:spacing w:after="360" w:line="312" w:lineRule="auto"/>
    </w:pPr>
    <w:rPr>
      <w:rFonts w:ascii="Arial" w:eastAsia="Calibri" w:hAnsi="Arial" w:cs="Arial"/>
    </w:rPr>
  </w:style>
  <w:style w:type="paragraph" w:customStyle="1" w:styleId="Bulletsgroup">
    <w:name w:val="&gt; Bullets (group)"/>
    <w:basedOn w:val="Bulletsbase"/>
    <w:qFormat/>
    <w:rsid w:val="009B6A5C"/>
    <w:pPr>
      <w:spacing w:after="180"/>
    </w:pPr>
  </w:style>
  <w:style w:type="paragraph" w:customStyle="1" w:styleId="Parapre-bullets">
    <w:name w:val="&gt; Para (pre-bullets)"/>
    <w:basedOn w:val="Parabase"/>
    <w:qFormat/>
    <w:rsid w:val="009B6A5C"/>
    <w:pPr>
      <w:spacing w:after="60"/>
    </w:pPr>
  </w:style>
  <w:style w:type="paragraph" w:styleId="Header">
    <w:name w:val="header"/>
    <w:basedOn w:val="Normal"/>
    <w:link w:val="HeaderChar"/>
    <w:uiPriority w:val="99"/>
    <w:unhideWhenUsed/>
    <w:rsid w:val="009B6A5C"/>
    <w:pPr>
      <w:tabs>
        <w:tab w:val="center" w:pos="4513"/>
        <w:tab w:val="right" w:pos="9026"/>
      </w:tabs>
    </w:pPr>
  </w:style>
  <w:style w:type="character" w:customStyle="1" w:styleId="HeaderChar">
    <w:name w:val="Header Char"/>
    <w:basedOn w:val="DefaultParagraphFont"/>
    <w:link w:val="Header"/>
    <w:uiPriority w:val="99"/>
    <w:rsid w:val="009B6A5C"/>
    <w:rPr>
      <w:rFonts w:ascii="Times New Roman" w:eastAsia="Times New Roman" w:hAnsi="Times New Roman"/>
      <w:sz w:val="24"/>
      <w:szCs w:val="24"/>
      <w:lang w:val="en-US" w:eastAsia="en-US"/>
    </w:rPr>
  </w:style>
  <w:style w:type="paragraph" w:customStyle="1" w:styleId="Parasection">
    <w:name w:val="&gt; Para (section)"/>
    <w:basedOn w:val="Parabase"/>
    <w:qFormat/>
    <w:rsid w:val="009B6A5C"/>
    <w:pPr>
      <w:spacing w:after="600"/>
    </w:pPr>
  </w:style>
  <w:style w:type="paragraph" w:styleId="Footer">
    <w:name w:val="footer"/>
    <w:basedOn w:val="Normal"/>
    <w:link w:val="FooterChar"/>
    <w:uiPriority w:val="99"/>
    <w:unhideWhenUsed/>
    <w:rsid w:val="0041551C"/>
    <w:pPr>
      <w:tabs>
        <w:tab w:val="center" w:pos="4513"/>
        <w:tab w:val="right" w:pos="9026"/>
      </w:tabs>
    </w:pPr>
  </w:style>
  <w:style w:type="character" w:customStyle="1" w:styleId="FooterChar">
    <w:name w:val="Footer Char"/>
    <w:basedOn w:val="DefaultParagraphFont"/>
    <w:link w:val="Footer"/>
    <w:uiPriority w:val="99"/>
    <w:rsid w:val="0041551C"/>
    <w:rPr>
      <w:rFonts w:ascii="Times New Roman" w:eastAsia="Times New Roman" w:hAnsi="Times New Roman"/>
      <w:sz w:val="24"/>
      <w:szCs w:val="24"/>
      <w:lang w:val="en-US" w:eastAsia="en-US"/>
    </w:rPr>
  </w:style>
  <w:style w:type="character" w:customStyle="1" w:styleId="ListParagraphChar">
    <w:name w:val="List Paragraph Char"/>
    <w:aliases w:val="Dot pt Char,No Spacing1 Char,List Paragraph Char Char Char Char,Indicator Text Char,List Paragraph1 Char,Numbered Para 1 Char,Bullet 1 Char,List Paragraph12 Char,Bullet Points Char,MAIN CONTENT Char,F5 List Paragraph Char"/>
    <w:basedOn w:val="DefaultParagraphFont"/>
    <w:link w:val="ListParagraph"/>
    <w:uiPriority w:val="34"/>
    <w:locked/>
    <w:rsid w:val="00101EEC"/>
    <w:rPr>
      <w:rFonts w:ascii="Times New Roman" w:eastAsia="Times New Roman" w:hAnsi="Times New Roman"/>
      <w:sz w:val="24"/>
      <w:szCs w:val="24"/>
      <w:lang w:val="en-US" w:eastAsia="en-US"/>
    </w:rPr>
  </w:style>
  <w:style w:type="character" w:customStyle="1" w:styleId="sfbbfee58">
    <w:name w:val="sfbbfee58"/>
    <w:basedOn w:val="DefaultParagraphFont"/>
    <w:rsid w:val="00101EEC"/>
  </w:style>
  <w:style w:type="character" w:customStyle="1" w:styleId="sb8d990e2">
    <w:name w:val="sb8d990e2"/>
    <w:basedOn w:val="DefaultParagraphFont"/>
    <w:rsid w:val="00101EEC"/>
  </w:style>
  <w:style w:type="paragraph" w:styleId="NormalWeb">
    <w:name w:val="Normal (Web)"/>
    <w:basedOn w:val="Normal"/>
    <w:uiPriority w:val="99"/>
    <w:unhideWhenUsed/>
    <w:rsid w:val="0060681C"/>
    <w:pPr>
      <w:spacing w:before="100" w:beforeAutospacing="1" w:after="100" w:afterAutospacing="1"/>
    </w:pPr>
    <w:rPr>
      <w:lang w:val="en-GB" w:eastAsia="en-GB"/>
    </w:rPr>
  </w:style>
  <w:style w:type="character" w:customStyle="1" w:styleId="Heading3Char">
    <w:name w:val="Heading 3 Char"/>
    <w:basedOn w:val="DefaultParagraphFont"/>
    <w:link w:val="Heading3"/>
    <w:uiPriority w:val="9"/>
    <w:semiHidden/>
    <w:rsid w:val="0060681C"/>
    <w:rPr>
      <w:rFonts w:asciiTheme="majorHAnsi" w:eastAsiaTheme="majorEastAsia" w:hAnsiTheme="majorHAnsi" w:cstheme="majorBidi"/>
      <w:b/>
      <w:bCs/>
      <w:color w:val="4F81BD" w:themeColor="accent1"/>
      <w:sz w:val="24"/>
      <w:szCs w:val="24"/>
      <w:lang w:val="en-US" w:eastAsia="en-US"/>
    </w:rPr>
  </w:style>
  <w:style w:type="character" w:styleId="Strong">
    <w:name w:val="Strong"/>
    <w:basedOn w:val="DefaultParagraphFont"/>
    <w:uiPriority w:val="22"/>
    <w:qFormat/>
    <w:rsid w:val="0060681C"/>
    <w:rPr>
      <w:b/>
      <w:bCs/>
    </w:rPr>
  </w:style>
  <w:style w:type="paragraph" w:customStyle="1" w:styleId="wordsection1">
    <w:name w:val="wordsection1"/>
    <w:basedOn w:val="Normal"/>
    <w:uiPriority w:val="99"/>
    <w:rsid w:val="005F46EE"/>
    <w:rPr>
      <w:rFonts w:eastAsiaTheme="minorHAnsi"/>
      <w:lang w:val="en-GB" w:eastAsia="en-GB"/>
    </w:rPr>
  </w:style>
  <w:style w:type="character" w:styleId="Emphasis">
    <w:name w:val="Emphasis"/>
    <w:uiPriority w:val="20"/>
    <w:qFormat/>
    <w:rsid w:val="00C94BF5"/>
    <w:rPr>
      <w:i/>
      <w:iCs/>
    </w:rPr>
  </w:style>
  <w:style w:type="table" w:styleId="LightShading-Accent6">
    <w:name w:val="Light Shading Accent 6"/>
    <w:basedOn w:val="TableNormal"/>
    <w:uiPriority w:val="60"/>
    <w:rsid w:val="00BA4C8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FollowedHyperlink">
    <w:name w:val="FollowedHyperlink"/>
    <w:basedOn w:val="DefaultParagraphFont"/>
    <w:uiPriority w:val="99"/>
    <w:semiHidden/>
    <w:unhideWhenUsed/>
    <w:rsid w:val="007A04DF"/>
    <w:rPr>
      <w:color w:val="800080" w:themeColor="followedHyperlink"/>
      <w:u w:val="single"/>
    </w:rPr>
  </w:style>
  <w:style w:type="character" w:customStyle="1" w:styleId="st1">
    <w:name w:val="st1"/>
    <w:basedOn w:val="DefaultParagraphFont"/>
    <w:rsid w:val="00EB5EA9"/>
  </w:style>
  <w:style w:type="paragraph" w:styleId="TOCHeading">
    <w:name w:val="TOC Heading"/>
    <w:basedOn w:val="Heading1"/>
    <w:next w:val="Normal"/>
    <w:uiPriority w:val="39"/>
    <w:semiHidden/>
    <w:unhideWhenUsed/>
    <w:qFormat/>
    <w:rsid w:val="00D44129"/>
    <w:pPr>
      <w:spacing w:after="0" w:line="276" w:lineRule="auto"/>
      <w:outlineLvl w:val="9"/>
    </w:pPr>
    <w:rPr>
      <w:rFonts w:asciiTheme="majorHAnsi" w:eastAsiaTheme="majorEastAsia" w:hAnsiTheme="majorHAnsi" w:cstheme="majorBidi"/>
      <w:color w:val="365F91" w:themeColor="accent1" w:themeShade="BF"/>
      <w:sz w:val="28"/>
    </w:rPr>
  </w:style>
  <w:style w:type="paragraph" w:styleId="TOC2">
    <w:name w:val="toc 2"/>
    <w:basedOn w:val="Normal"/>
    <w:next w:val="Normal"/>
    <w:autoRedefine/>
    <w:uiPriority w:val="39"/>
    <w:unhideWhenUsed/>
    <w:rsid w:val="00D44129"/>
    <w:pPr>
      <w:spacing w:after="100"/>
      <w:ind w:left="240"/>
    </w:pPr>
  </w:style>
  <w:style w:type="paragraph" w:styleId="TOC3">
    <w:name w:val="toc 3"/>
    <w:basedOn w:val="Normal"/>
    <w:next w:val="Normal"/>
    <w:autoRedefine/>
    <w:uiPriority w:val="39"/>
    <w:unhideWhenUsed/>
    <w:rsid w:val="00D44129"/>
    <w:pPr>
      <w:spacing w:after="100"/>
      <w:ind w:left="480"/>
    </w:pPr>
  </w:style>
  <w:style w:type="paragraph" w:customStyle="1" w:styleId="legclearfix2">
    <w:name w:val="legclearfix2"/>
    <w:basedOn w:val="Normal"/>
    <w:rsid w:val="005B4D31"/>
    <w:pPr>
      <w:shd w:val="clear" w:color="auto" w:fill="FFFFFF"/>
      <w:spacing w:after="120" w:line="360" w:lineRule="atLeast"/>
    </w:pPr>
    <w:rPr>
      <w:color w:val="000000"/>
      <w:sz w:val="19"/>
      <w:szCs w:val="19"/>
      <w:lang w:val="en-GB" w:eastAsia="en-GB"/>
    </w:rPr>
  </w:style>
  <w:style w:type="character" w:customStyle="1" w:styleId="legextentrestriction7">
    <w:name w:val="legextentrestriction7"/>
    <w:basedOn w:val="DefaultParagraphFont"/>
    <w:rsid w:val="005B4D31"/>
    <w:rPr>
      <w:b/>
      <w:bCs/>
      <w:i w:val="0"/>
      <w:iCs w:val="0"/>
      <w:vanish/>
      <w:webHidden w:val="0"/>
      <w:color w:val="FFFFFF"/>
      <w:sz w:val="22"/>
      <w:szCs w:val="22"/>
      <w:shd w:val="clear" w:color="auto" w:fill="660066"/>
      <w:specVanish w:val="0"/>
    </w:rPr>
  </w:style>
  <w:style w:type="paragraph" w:styleId="PlainText">
    <w:name w:val="Plain Text"/>
    <w:basedOn w:val="Normal"/>
    <w:link w:val="PlainTextChar"/>
    <w:uiPriority w:val="99"/>
    <w:unhideWhenUsed/>
    <w:rsid w:val="00C975CD"/>
    <w:rPr>
      <w:rFonts w:ascii="Arial" w:eastAsiaTheme="minorHAnsi" w:hAnsi="Arial" w:cstheme="minorBidi"/>
      <w:sz w:val="28"/>
      <w:lang w:val="en-GB"/>
    </w:rPr>
  </w:style>
  <w:style w:type="character" w:customStyle="1" w:styleId="PlainTextChar">
    <w:name w:val="Plain Text Char"/>
    <w:basedOn w:val="DefaultParagraphFont"/>
    <w:link w:val="PlainText"/>
    <w:uiPriority w:val="99"/>
    <w:rsid w:val="00C975CD"/>
    <w:rPr>
      <w:rFonts w:ascii="Arial" w:eastAsiaTheme="minorHAnsi" w:hAnsi="Arial" w:cstheme="minorBidi"/>
      <w:sz w:val="28"/>
      <w:szCs w:val="24"/>
      <w:lang w:eastAsia="en-US"/>
    </w:rPr>
  </w:style>
  <w:style w:type="paragraph" w:styleId="EndnoteText">
    <w:name w:val="endnote text"/>
    <w:basedOn w:val="Normal"/>
    <w:link w:val="EndnoteTextChar"/>
    <w:uiPriority w:val="99"/>
    <w:semiHidden/>
    <w:unhideWhenUsed/>
    <w:rsid w:val="00CB6459"/>
    <w:rPr>
      <w:sz w:val="20"/>
      <w:szCs w:val="20"/>
    </w:rPr>
  </w:style>
  <w:style w:type="character" w:customStyle="1" w:styleId="EndnoteTextChar">
    <w:name w:val="Endnote Text Char"/>
    <w:basedOn w:val="DefaultParagraphFont"/>
    <w:link w:val="EndnoteText"/>
    <w:uiPriority w:val="99"/>
    <w:semiHidden/>
    <w:rsid w:val="00CB6459"/>
    <w:rPr>
      <w:rFonts w:ascii="Times New Roman" w:eastAsia="Times New Roman" w:hAnsi="Times New Roman"/>
      <w:lang w:val="en-US" w:eastAsia="en-US"/>
    </w:rPr>
  </w:style>
  <w:style w:type="character" w:styleId="EndnoteReference">
    <w:name w:val="endnote reference"/>
    <w:basedOn w:val="DefaultParagraphFont"/>
    <w:uiPriority w:val="99"/>
    <w:semiHidden/>
    <w:unhideWhenUsed/>
    <w:rsid w:val="00CB6459"/>
    <w:rPr>
      <w:vertAlign w:val="superscript"/>
    </w:rPr>
  </w:style>
</w:styles>
</file>

<file path=word/webSettings.xml><?xml version="1.0" encoding="utf-8"?>
<w:webSettings xmlns:r="http://schemas.openxmlformats.org/officeDocument/2006/relationships" xmlns:w="http://schemas.openxmlformats.org/wordprocessingml/2006/main">
  <w:divs>
    <w:div w:id="21055281">
      <w:bodyDiv w:val="1"/>
      <w:marLeft w:val="0"/>
      <w:marRight w:val="0"/>
      <w:marTop w:val="0"/>
      <w:marBottom w:val="0"/>
      <w:divBdr>
        <w:top w:val="none" w:sz="0" w:space="0" w:color="auto"/>
        <w:left w:val="none" w:sz="0" w:space="0" w:color="auto"/>
        <w:bottom w:val="none" w:sz="0" w:space="0" w:color="auto"/>
        <w:right w:val="none" w:sz="0" w:space="0" w:color="auto"/>
      </w:divBdr>
      <w:divsChild>
        <w:div w:id="258680548">
          <w:marLeft w:val="0"/>
          <w:marRight w:val="0"/>
          <w:marTop w:val="0"/>
          <w:marBottom w:val="0"/>
          <w:divBdr>
            <w:top w:val="none" w:sz="0" w:space="0" w:color="auto"/>
            <w:left w:val="none" w:sz="0" w:space="0" w:color="auto"/>
            <w:bottom w:val="none" w:sz="0" w:space="0" w:color="auto"/>
            <w:right w:val="none" w:sz="0" w:space="0" w:color="auto"/>
          </w:divBdr>
          <w:divsChild>
            <w:div w:id="169829844">
              <w:marLeft w:val="0"/>
              <w:marRight w:val="0"/>
              <w:marTop w:val="0"/>
              <w:marBottom w:val="0"/>
              <w:divBdr>
                <w:top w:val="none" w:sz="0" w:space="0" w:color="auto"/>
                <w:left w:val="none" w:sz="0" w:space="0" w:color="auto"/>
                <w:bottom w:val="none" w:sz="0" w:space="0" w:color="auto"/>
                <w:right w:val="none" w:sz="0" w:space="0" w:color="auto"/>
              </w:divBdr>
              <w:divsChild>
                <w:div w:id="371417989">
                  <w:marLeft w:val="0"/>
                  <w:marRight w:val="0"/>
                  <w:marTop w:val="0"/>
                  <w:marBottom w:val="0"/>
                  <w:divBdr>
                    <w:top w:val="none" w:sz="0" w:space="0" w:color="auto"/>
                    <w:left w:val="none" w:sz="0" w:space="0" w:color="auto"/>
                    <w:bottom w:val="none" w:sz="0" w:space="0" w:color="auto"/>
                    <w:right w:val="none" w:sz="0" w:space="0" w:color="auto"/>
                  </w:divBdr>
                  <w:divsChild>
                    <w:div w:id="2517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5911">
      <w:bodyDiv w:val="1"/>
      <w:marLeft w:val="0"/>
      <w:marRight w:val="0"/>
      <w:marTop w:val="0"/>
      <w:marBottom w:val="0"/>
      <w:divBdr>
        <w:top w:val="none" w:sz="0" w:space="0" w:color="auto"/>
        <w:left w:val="none" w:sz="0" w:space="0" w:color="auto"/>
        <w:bottom w:val="none" w:sz="0" w:space="0" w:color="auto"/>
        <w:right w:val="none" w:sz="0" w:space="0" w:color="auto"/>
      </w:divBdr>
      <w:divsChild>
        <w:div w:id="1489320390">
          <w:marLeft w:val="0"/>
          <w:marRight w:val="0"/>
          <w:marTop w:val="0"/>
          <w:marBottom w:val="0"/>
          <w:divBdr>
            <w:top w:val="none" w:sz="0" w:space="0" w:color="auto"/>
            <w:left w:val="none" w:sz="0" w:space="0" w:color="auto"/>
            <w:bottom w:val="none" w:sz="0" w:space="0" w:color="auto"/>
            <w:right w:val="none" w:sz="0" w:space="0" w:color="auto"/>
          </w:divBdr>
          <w:divsChild>
            <w:div w:id="853614183">
              <w:marLeft w:val="0"/>
              <w:marRight w:val="0"/>
              <w:marTop w:val="0"/>
              <w:marBottom w:val="0"/>
              <w:divBdr>
                <w:top w:val="none" w:sz="0" w:space="0" w:color="auto"/>
                <w:left w:val="none" w:sz="0" w:space="0" w:color="auto"/>
                <w:bottom w:val="none" w:sz="0" w:space="0" w:color="auto"/>
                <w:right w:val="none" w:sz="0" w:space="0" w:color="auto"/>
              </w:divBdr>
              <w:divsChild>
                <w:div w:id="944314084">
                  <w:marLeft w:val="0"/>
                  <w:marRight w:val="0"/>
                  <w:marTop w:val="0"/>
                  <w:marBottom w:val="0"/>
                  <w:divBdr>
                    <w:top w:val="none" w:sz="0" w:space="0" w:color="auto"/>
                    <w:left w:val="none" w:sz="0" w:space="0" w:color="auto"/>
                    <w:bottom w:val="none" w:sz="0" w:space="0" w:color="auto"/>
                    <w:right w:val="none" w:sz="0" w:space="0" w:color="auto"/>
                  </w:divBdr>
                  <w:divsChild>
                    <w:div w:id="465583186">
                      <w:marLeft w:val="0"/>
                      <w:marRight w:val="0"/>
                      <w:marTop w:val="0"/>
                      <w:marBottom w:val="600"/>
                      <w:divBdr>
                        <w:top w:val="none" w:sz="0" w:space="0" w:color="auto"/>
                        <w:left w:val="none" w:sz="0" w:space="0" w:color="auto"/>
                        <w:bottom w:val="none" w:sz="0" w:space="0" w:color="auto"/>
                        <w:right w:val="none" w:sz="0" w:space="0" w:color="auto"/>
                      </w:divBdr>
                      <w:divsChild>
                        <w:div w:id="1035420901">
                          <w:marLeft w:val="0"/>
                          <w:marRight w:val="0"/>
                          <w:marTop w:val="0"/>
                          <w:marBottom w:val="0"/>
                          <w:divBdr>
                            <w:top w:val="none" w:sz="0" w:space="0" w:color="auto"/>
                            <w:left w:val="none" w:sz="0" w:space="0" w:color="auto"/>
                            <w:bottom w:val="none" w:sz="0" w:space="0" w:color="auto"/>
                            <w:right w:val="none" w:sz="0" w:space="0" w:color="auto"/>
                          </w:divBdr>
                          <w:divsChild>
                            <w:div w:id="864749597">
                              <w:marLeft w:val="0"/>
                              <w:marRight w:val="0"/>
                              <w:marTop w:val="0"/>
                              <w:marBottom w:val="0"/>
                              <w:divBdr>
                                <w:top w:val="none" w:sz="0" w:space="0" w:color="auto"/>
                                <w:left w:val="none" w:sz="0" w:space="0" w:color="auto"/>
                                <w:bottom w:val="none" w:sz="0" w:space="0" w:color="auto"/>
                                <w:right w:val="none" w:sz="0" w:space="0" w:color="auto"/>
                              </w:divBdr>
                              <w:divsChild>
                                <w:div w:id="751970902">
                                  <w:marLeft w:val="0"/>
                                  <w:marRight w:val="0"/>
                                  <w:marTop w:val="0"/>
                                  <w:marBottom w:val="0"/>
                                  <w:divBdr>
                                    <w:top w:val="none" w:sz="0" w:space="0" w:color="auto"/>
                                    <w:left w:val="none" w:sz="0" w:space="0" w:color="auto"/>
                                    <w:bottom w:val="none" w:sz="0" w:space="0" w:color="auto"/>
                                    <w:right w:val="none" w:sz="0" w:space="0" w:color="auto"/>
                                  </w:divBdr>
                                  <w:divsChild>
                                    <w:div w:id="192579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858458">
      <w:bodyDiv w:val="1"/>
      <w:marLeft w:val="0"/>
      <w:marRight w:val="0"/>
      <w:marTop w:val="0"/>
      <w:marBottom w:val="0"/>
      <w:divBdr>
        <w:top w:val="none" w:sz="0" w:space="0" w:color="auto"/>
        <w:left w:val="none" w:sz="0" w:space="0" w:color="auto"/>
        <w:bottom w:val="none" w:sz="0" w:space="0" w:color="auto"/>
        <w:right w:val="none" w:sz="0" w:space="0" w:color="auto"/>
      </w:divBdr>
      <w:divsChild>
        <w:div w:id="1953628771">
          <w:marLeft w:val="0"/>
          <w:marRight w:val="0"/>
          <w:marTop w:val="0"/>
          <w:marBottom w:val="0"/>
          <w:divBdr>
            <w:top w:val="none" w:sz="0" w:space="0" w:color="auto"/>
            <w:left w:val="none" w:sz="0" w:space="0" w:color="auto"/>
            <w:bottom w:val="none" w:sz="0" w:space="0" w:color="auto"/>
            <w:right w:val="none" w:sz="0" w:space="0" w:color="auto"/>
          </w:divBdr>
          <w:divsChild>
            <w:div w:id="1218930014">
              <w:marLeft w:val="0"/>
              <w:marRight w:val="0"/>
              <w:marTop w:val="0"/>
              <w:marBottom w:val="0"/>
              <w:divBdr>
                <w:top w:val="none" w:sz="0" w:space="0" w:color="auto"/>
                <w:left w:val="none" w:sz="0" w:space="0" w:color="auto"/>
                <w:bottom w:val="none" w:sz="0" w:space="0" w:color="auto"/>
                <w:right w:val="none" w:sz="0" w:space="0" w:color="auto"/>
              </w:divBdr>
              <w:divsChild>
                <w:div w:id="553196891">
                  <w:marLeft w:val="0"/>
                  <w:marRight w:val="0"/>
                  <w:marTop w:val="0"/>
                  <w:marBottom w:val="0"/>
                  <w:divBdr>
                    <w:top w:val="none" w:sz="0" w:space="0" w:color="auto"/>
                    <w:left w:val="none" w:sz="0" w:space="0" w:color="auto"/>
                    <w:bottom w:val="none" w:sz="0" w:space="0" w:color="auto"/>
                    <w:right w:val="none" w:sz="0" w:space="0" w:color="auto"/>
                  </w:divBdr>
                  <w:divsChild>
                    <w:div w:id="331496963">
                      <w:marLeft w:val="0"/>
                      <w:marRight w:val="0"/>
                      <w:marTop w:val="0"/>
                      <w:marBottom w:val="600"/>
                      <w:divBdr>
                        <w:top w:val="none" w:sz="0" w:space="0" w:color="auto"/>
                        <w:left w:val="none" w:sz="0" w:space="0" w:color="auto"/>
                        <w:bottom w:val="none" w:sz="0" w:space="0" w:color="auto"/>
                        <w:right w:val="none" w:sz="0" w:space="0" w:color="auto"/>
                      </w:divBdr>
                      <w:divsChild>
                        <w:div w:id="1575165578">
                          <w:marLeft w:val="0"/>
                          <w:marRight w:val="0"/>
                          <w:marTop w:val="0"/>
                          <w:marBottom w:val="0"/>
                          <w:divBdr>
                            <w:top w:val="none" w:sz="0" w:space="0" w:color="auto"/>
                            <w:left w:val="none" w:sz="0" w:space="0" w:color="auto"/>
                            <w:bottom w:val="none" w:sz="0" w:space="0" w:color="auto"/>
                            <w:right w:val="none" w:sz="0" w:space="0" w:color="auto"/>
                          </w:divBdr>
                          <w:divsChild>
                            <w:div w:id="9694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23223">
      <w:bodyDiv w:val="1"/>
      <w:marLeft w:val="0"/>
      <w:marRight w:val="0"/>
      <w:marTop w:val="0"/>
      <w:marBottom w:val="0"/>
      <w:divBdr>
        <w:top w:val="none" w:sz="0" w:space="0" w:color="auto"/>
        <w:left w:val="none" w:sz="0" w:space="0" w:color="auto"/>
        <w:bottom w:val="none" w:sz="0" w:space="0" w:color="auto"/>
        <w:right w:val="none" w:sz="0" w:space="0" w:color="auto"/>
      </w:divBdr>
    </w:div>
    <w:div w:id="195507276">
      <w:bodyDiv w:val="1"/>
      <w:marLeft w:val="0"/>
      <w:marRight w:val="0"/>
      <w:marTop w:val="0"/>
      <w:marBottom w:val="0"/>
      <w:divBdr>
        <w:top w:val="none" w:sz="0" w:space="0" w:color="auto"/>
        <w:left w:val="none" w:sz="0" w:space="0" w:color="auto"/>
        <w:bottom w:val="none" w:sz="0" w:space="0" w:color="auto"/>
        <w:right w:val="none" w:sz="0" w:space="0" w:color="auto"/>
      </w:divBdr>
      <w:divsChild>
        <w:div w:id="1346900029">
          <w:marLeft w:val="0"/>
          <w:marRight w:val="0"/>
          <w:marTop w:val="0"/>
          <w:marBottom w:val="0"/>
          <w:divBdr>
            <w:top w:val="none" w:sz="0" w:space="0" w:color="auto"/>
            <w:left w:val="none" w:sz="0" w:space="0" w:color="auto"/>
            <w:bottom w:val="none" w:sz="0" w:space="0" w:color="auto"/>
            <w:right w:val="none" w:sz="0" w:space="0" w:color="auto"/>
          </w:divBdr>
          <w:divsChild>
            <w:div w:id="1906524587">
              <w:marLeft w:val="0"/>
              <w:marRight w:val="0"/>
              <w:marTop w:val="0"/>
              <w:marBottom w:val="0"/>
              <w:divBdr>
                <w:top w:val="none" w:sz="0" w:space="0" w:color="auto"/>
                <w:left w:val="none" w:sz="0" w:space="0" w:color="auto"/>
                <w:bottom w:val="none" w:sz="0" w:space="0" w:color="auto"/>
                <w:right w:val="none" w:sz="0" w:space="0" w:color="auto"/>
              </w:divBdr>
              <w:divsChild>
                <w:div w:id="1832137771">
                  <w:marLeft w:val="0"/>
                  <w:marRight w:val="0"/>
                  <w:marTop w:val="0"/>
                  <w:marBottom w:val="0"/>
                  <w:divBdr>
                    <w:top w:val="none" w:sz="0" w:space="0" w:color="auto"/>
                    <w:left w:val="none" w:sz="0" w:space="0" w:color="auto"/>
                    <w:bottom w:val="none" w:sz="0" w:space="0" w:color="auto"/>
                    <w:right w:val="none" w:sz="0" w:space="0" w:color="auto"/>
                  </w:divBdr>
                  <w:divsChild>
                    <w:div w:id="1619221406">
                      <w:marLeft w:val="0"/>
                      <w:marRight w:val="0"/>
                      <w:marTop w:val="0"/>
                      <w:marBottom w:val="600"/>
                      <w:divBdr>
                        <w:top w:val="none" w:sz="0" w:space="0" w:color="auto"/>
                        <w:left w:val="none" w:sz="0" w:space="0" w:color="auto"/>
                        <w:bottom w:val="none" w:sz="0" w:space="0" w:color="auto"/>
                        <w:right w:val="none" w:sz="0" w:space="0" w:color="auto"/>
                      </w:divBdr>
                      <w:divsChild>
                        <w:div w:id="1308634084">
                          <w:marLeft w:val="0"/>
                          <w:marRight w:val="0"/>
                          <w:marTop w:val="0"/>
                          <w:marBottom w:val="0"/>
                          <w:divBdr>
                            <w:top w:val="none" w:sz="0" w:space="0" w:color="auto"/>
                            <w:left w:val="none" w:sz="0" w:space="0" w:color="auto"/>
                            <w:bottom w:val="none" w:sz="0" w:space="0" w:color="auto"/>
                            <w:right w:val="none" w:sz="0" w:space="0" w:color="auto"/>
                          </w:divBdr>
                          <w:divsChild>
                            <w:div w:id="495536792">
                              <w:marLeft w:val="0"/>
                              <w:marRight w:val="0"/>
                              <w:marTop w:val="0"/>
                              <w:marBottom w:val="0"/>
                              <w:divBdr>
                                <w:top w:val="none" w:sz="0" w:space="0" w:color="auto"/>
                                <w:left w:val="none" w:sz="0" w:space="0" w:color="auto"/>
                                <w:bottom w:val="none" w:sz="0" w:space="0" w:color="auto"/>
                                <w:right w:val="none" w:sz="0" w:space="0" w:color="auto"/>
                              </w:divBdr>
                              <w:divsChild>
                                <w:div w:id="1602760151">
                                  <w:marLeft w:val="0"/>
                                  <w:marRight w:val="0"/>
                                  <w:marTop w:val="0"/>
                                  <w:marBottom w:val="0"/>
                                  <w:divBdr>
                                    <w:top w:val="none" w:sz="0" w:space="0" w:color="auto"/>
                                    <w:left w:val="none" w:sz="0" w:space="0" w:color="auto"/>
                                    <w:bottom w:val="none" w:sz="0" w:space="0" w:color="auto"/>
                                    <w:right w:val="none" w:sz="0" w:space="0" w:color="auto"/>
                                  </w:divBdr>
                                  <w:divsChild>
                                    <w:div w:id="53905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547067">
      <w:bodyDiv w:val="1"/>
      <w:marLeft w:val="0"/>
      <w:marRight w:val="0"/>
      <w:marTop w:val="0"/>
      <w:marBottom w:val="0"/>
      <w:divBdr>
        <w:top w:val="none" w:sz="0" w:space="0" w:color="auto"/>
        <w:left w:val="none" w:sz="0" w:space="0" w:color="auto"/>
        <w:bottom w:val="none" w:sz="0" w:space="0" w:color="auto"/>
        <w:right w:val="none" w:sz="0" w:space="0" w:color="auto"/>
      </w:divBdr>
    </w:div>
    <w:div w:id="229924507">
      <w:bodyDiv w:val="1"/>
      <w:marLeft w:val="0"/>
      <w:marRight w:val="0"/>
      <w:marTop w:val="0"/>
      <w:marBottom w:val="0"/>
      <w:divBdr>
        <w:top w:val="none" w:sz="0" w:space="0" w:color="auto"/>
        <w:left w:val="none" w:sz="0" w:space="0" w:color="auto"/>
        <w:bottom w:val="none" w:sz="0" w:space="0" w:color="auto"/>
        <w:right w:val="none" w:sz="0" w:space="0" w:color="auto"/>
      </w:divBdr>
      <w:divsChild>
        <w:div w:id="176164428">
          <w:marLeft w:val="0"/>
          <w:marRight w:val="0"/>
          <w:marTop w:val="0"/>
          <w:marBottom w:val="0"/>
          <w:divBdr>
            <w:top w:val="none" w:sz="0" w:space="0" w:color="auto"/>
            <w:left w:val="none" w:sz="0" w:space="0" w:color="auto"/>
            <w:bottom w:val="none" w:sz="0" w:space="0" w:color="auto"/>
            <w:right w:val="none" w:sz="0" w:space="0" w:color="auto"/>
          </w:divBdr>
          <w:divsChild>
            <w:div w:id="726758392">
              <w:marLeft w:val="0"/>
              <w:marRight w:val="0"/>
              <w:marTop w:val="0"/>
              <w:marBottom w:val="0"/>
              <w:divBdr>
                <w:top w:val="none" w:sz="0" w:space="0" w:color="auto"/>
                <w:left w:val="none" w:sz="0" w:space="0" w:color="auto"/>
                <w:bottom w:val="none" w:sz="0" w:space="0" w:color="auto"/>
                <w:right w:val="none" w:sz="0" w:space="0" w:color="auto"/>
              </w:divBdr>
              <w:divsChild>
                <w:div w:id="535045918">
                  <w:marLeft w:val="0"/>
                  <w:marRight w:val="0"/>
                  <w:marTop w:val="0"/>
                  <w:marBottom w:val="0"/>
                  <w:divBdr>
                    <w:top w:val="none" w:sz="0" w:space="0" w:color="auto"/>
                    <w:left w:val="none" w:sz="0" w:space="0" w:color="auto"/>
                    <w:bottom w:val="none" w:sz="0" w:space="0" w:color="auto"/>
                    <w:right w:val="none" w:sz="0" w:space="0" w:color="auto"/>
                  </w:divBdr>
                  <w:divsChild>
                    <w:div w:id="1346126867">
                      <w:marLeft w:val="0"/>
                      <w:marRight w:val="0"/>
                      <w:marTop w:val="0"/>
                      <w:marBottom w:val="0"/>
                      <w:divBdr>
                        <w:top w:val="none" w:sz="0" w:space="0" w:color="auto"/>
                        <w:left w:val="none" w:sz="0" w:space="0" w:color="auto"/>
                        <w:bottom w:val="none" w:sz="0" w:space="0" w:color="auto"/>
                        <w:right w:val="none" w:sz="0" w:space="0" w:color="auto"/>
                      </w:divBdr>
                      <w:divsChild>
                        <w:div w:id="104459545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47857473">
      <w:bodyDiv w:val="1"/>
      <w:marLeft w:val="0"/>
      <w:marRight w:val="0"/>
      <w:marTop w:val="0"/>
      <w:marBottom w:val="0"/>
      <w:divBdr>
        <w:top w:val="none" w:sz="0" w:space="0" w:color="auto"/>
        <w:left w:val="none" w:sz="0" w:space="0" w:color="auto"/>
        <w:bottom w:val="none" w:sz="0" w:space="0" w:color="auto"/>
        <w:right w:val="none" w:sz="0" w:space="0" w:color="auto"/>
      </w:divBdr>
    </w:div>
    <w:div w:id="399717655">
      <w:bodyDiv w:val="1"/>
      <w:marLeft w:val="0"/>
      <w:marRight w:val="0"/>
      <w:marTop w:val="0"/>
      <w:marBottom w:val="0"/>
      <w:divBdr>
        <w:top w:val="none" w:sz="0" w:space="0" w:color="auto"/>
        <w:left w:val="none" w:sz="0" w:space="0" w:color="auto"/>
        <w:bottom w:val="none" w:sz="0" w:space="0" w:color="auto"/>
        <w:right w:val="none" w:sz="0" w:space="0" w:color="auto"/>
      </w:divBdr>
      <w:divsChild>
        <w:div w:id="1458179497">
          <w:marLeft w:val="0"/>
          <w:marRight w:val="0"/>
          <w:marTop w:val="0"/>
          <w:marBottom w:val="0"/>
          <w:divBdr>
            <w:top w:val="none" w:sz="0" w:space="0" w:color="auto"/>
            <w:left w:val="none" w:sz="0" w:space="0" w:color="auto"/>
            <w:bottom w:val="none" w:sz="0" w:space="0" w:color="auto"/>
            <w:right w:val="none" w:sz="0" w:space="0" w:color="auto"/>
          </w:divBdr>
          <w:divsChild>
            <w:div w:id="825248355">
              <w:marLeft w:val="0"/>
              <w:marRight w:val="0"/>
              <w:marTop w:val="0"/>
              <w:marBottom w:val="0"/>
              <w:divBdr>
                <w:top w:val="none" w:sz="0" w:space="0" w:color="auto"/>
                <w:left w:val="none" w:sz="0" w:space="0" w:color="auto"/>
                <w:bottom w:val="none" w:sz="0" w:space="0" w:color="auto"/>
                <w:right w:val="none" w:sz="0" w:space="0" w:color="auto"/>
              </w:divBdr>
              <w:divsChild>
                <w:div w:id="1984264148">
                  <w:marLeft w:val="0"/>
                  <w:marRight w:val="0"/>
                  <w:marTop w:val="0"/>
                  <w:marBottom w:val="0"/>
                  <w:divBdr>
                    <w:top w:val="none" w:sz="0" w:space="0" w:color="auto"/>
                    <w:left w:val="none" w:sz="0" w:space="0" w:color="auto"/>
                    <w:bottom w:val="none" w:sz="0" w:space="0" w:color="auto"/>
                    <w:right w:val="none" w:sz="0" w:space="0" w:color="auto"/>
                  </w:divBdr>
                  <w:divsChild>
                    <w:div w:id="1938097856">
                      <w:marLeft w:val="0"/>
                      <w:marRight w:val="0"/>
                      <w:marTop w:val="0"/>
                      <w:marBottom w:val="600"/>
                      <w:divBdr>
                        <w:top w:val="none" w:sz="0" w:space="0" w:color="auto"/>
                        <w:left w:val="none" w:sz="0" w:space="0" w:color="auto"/>
                        <w:bottom w:val="none" w:sz="0" w:space="0" w:color="auto"/>
                        <w:right w:val="none" w:sz="0" w:space="0" w:color="auto"/>
                      </w:divBdr>
                      <w:divsChild>
                        <w:div w:id="2005544776">
                          <w:marLeft w:val="0"/>
                          <w:marRight w:val="0"/>
                          <w:marTop w:val="0"/>
                          <w:marBottom w:val="0"/>
                          <w:divBdr>
                            <w:top w:val="none" w:sz="0" w:space="0" w:color="auto"/>
                            <w:left w:val="none" w:sz="0" w:space="0" w:color="auto"/>
                            <w:bottom w:val="none" w:sz="0" w:space="0" w:color="auto"/>
                            <w:right w:val="none" w:sz="0" w:space="0" w:color="auto"/>
                          </w:divBdr>
                          <w:divsChild>
                            <w:div w:id="1080448599">
                              <w:marLeft w:val="0"/>
                              <w:marRight w:val="0"/>
                              <w:marTop w:val="0"/>
                              <w:marBottom w:val="0"/>
                              <w:divBdr>
                                <w:top w:val="none" w:sz="0" w:space="0" w:color="auto"/>
                                <w:left w:val="none" w:sz="0" w:space="0" w:color="auto"/>
                                <w:bottom w:val="none" w:sz="0" w:space="0" w:color="auto"/>
                                <w:right w:val="none" w:sz="0" w:space="0" w:color="auto"/>
                              </w:divBdr>
                              <w:divsChild>
                                <w:div w:id="604773423">
                                  <w:marLeft w:val="0"/>
                                  <w:marRight w:val="0"/>
                                  <w:marTop w:val="0"/>
                                  <w:marBottom w:val="0"/>
                                  <w:divBdr>
                                    <w:top w:val="none" w:sz="0" w:space="0" w:color="auto"/>
                                    <w:left w:val="none" w:sz="0" w:space="0" w:color="auto"/>
                                    <w:bottom w:val="none" w:sz="0" w:space="0" w:color="auto"/>
                                    <w:right w:val="none" w:sz="0" w:space="0" w:color="auto"/>
                                  </w:divBdr>
                                  <w:divsChild>
                                    <w:div w:id="14645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7669743">
      <w:bodyDiv w:val="1"/>
      <w:marLeft w:val="0"/>
      <w:marRight w:val="0"/>
      <w:marTop w:val="0"/>
      <w:marBottom w:val="0"/>
      <w:divBdr>
        <w:top w:val="none" w:sz="0" w:space="0" w:color="auto"/>
        <w:left w:val="none" w:sz="0" w:space="0" w:color="auto"/>
        <w:bottom w:val="none" w:sz="0" w:space="0" w:color="auto"/>
        <w:right w:val="none" w:sz="0" w:space="0" w:color="auto"/>
      </w:divBdr>
      <w:divsChild>
        <w:div w:id="464734124">
          <w:marLeft w:val="0"/>
          <w:marRight w:val="0"/>
          <w:marTop w:val="0"/>
          <w:marBottom w:val="0"/>
          <w:divBdr>
            <w:top w:val="none" w:sz="0" w:space="0" w:color="auto"/>
            <w:left w:val="none" w:sz="0" w:space="0" w:color="auto"/>
            <w:bottom w:val="none" w:sz="0" w:space="0" w:color="auto"/>
            <w:right w:val="none" w:sz="0" w:space="0" w:color="auto"/>
          </w:divBdr>
          <w:divsChild>
            <w:div w:id="523325710">
              <w:marLeft w:val="0"/>
              <w:marRight w:val="0"/>
              <w:marTop w:val="0"/>
              <w:marBottom w:val="0"/>
              <w:divBdr>
                <w:top w:val="none" w:sz="0" w:space="0" w:color="auto"/>
                <w:left w:val="none" w:sz="0" w:space="0" w:color="auto"/>
                <w:bottom w:val="none" w:sz="0" w:space="0" w:color="auto"/>
                <w:right w:val="none" w:sz="0" w:space="0" w:color="auto"/>
              </w:divBdr>
              <w:divsChild>
                <w:div w:id="856890944">
                  <w:marLeft w:val="0"/>
                  <w:marRight w:val="0"/>
                  <w:marTop w:val="0"/>
                  <w:marBottom w:val="0"/>
                  <w:divBdr>
                    <w:top w:val="none" w:sz="0" w:space="0" w:color="auto"/>
                    <w:left w:val="none" w:sz="0" w:space="0" w:color="auto"/>
                    <w:bottom w:val="none" w:sz="0" w:space="0" w:color="auto"/>
                    <w:right w:val="none" w:sz="0" w:space="0" w:color="auto"/>
                  </w:divBdr>
                  <w:divsChild>
                    <w:div w:id="1449812106">
                      <w:marLeft w:val="0"/>
                      <w:marRight w:val="0"/>
                      <w:marTop w:val="0"/>
                      <w:marBottom w:val="0"/>
                      <w:divBdr>
                        <w:top w:val="none" w:sz="0" w:space="0" w:color="auto"/>
                        <w:left w:val="none" w:sz="0" w:space="0" w:color="auto"/>
                        <w:bottom w:val="none" w:sz="0" w:space="0" w:color="auto"/>
                        <w:right w:val="none" w:sz="0" w:space="0" w:color="auto"/>
                      </w:divBdr>
                      <w:divsChild>
                        <w:div w:id="42881844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35435179">
      <w:bodyDiv w:val="1"/>
      <w:marLeft w:val="0"/>
      <w:marRight w:val="0"/>
      <w:marTop w:val="0"/>
      <w:marBottom w:val="0"/>
      <w:divBdr>
        <w:top w:val="none" w:sz="0" w:space="0" w:color="auto"/>
        <w:left w:val="none" w:sz="0" w:space="0" w:color="auto"/>
        <w:bottom w:val="none" w:sz="0" w:space="0" w:color="auto"/>
        <w:right w:val="none" w:sz="0" w:space="0" w:color="auto"/>
      </w:divBdr>
      <w:divsChild>
        <w:div w:id="1436943094">
          <w:marLeft w:val="0"/>
          <w:marRight w:val="0"/>
          <w:marTop w:val="0"/>
          <w:marBottom w:val="0"/>
          <w:divBdr>
            <w:top w:val="none" w:sz="0" w:space="0" w:color="auto"/>
            <w:left w:val="none" w:sz="0" w:space="0" w:color="auto"/>
            <w:bottom w:val="none" w:sz="0" w:space="0" w:color="auto"/>
            <w:right w:val="none" w:sz="0" w:space="0" w:color="auto"/>
          </w:divBdr>
          <w:divsChild>
            <w:div w:id="387069291">
              <w:marLeft w:val="0"/>
              <w:marRight w:val="0"/>
              <w:marTop w:val="0"/>
              <w:marBottom w:val="0"/>
              <w:divBdr>
                <w:top w:val="single" w:sz="2" w:space="0" w:color="FFFFFF"/>
                <w:left w:val="single" w:sz="6" w:space="0" w:color="FFFFFF"/>
                <w:bottom w:val="single" w:sz="6" w:space="0" w:color="FFFFFF"/>
                <w:right w:val="single" w:sz="6" w:space="0" w:color="FFFFFF"/>
              </w:divBdr>
              <w:divsChild>
                <w:div w:id="1809667369">
                  <w:marLeft w:val="0"/>
                  <w:marRight w:val="0"/>
                  <w:marTop w:val="0"/>
                  <w:marBottom w:val="0"/>
                  <w:divBdr>
                    <w:top w:val="single" w:sz="6" w:space="1" w:color="D3D3D3"/>
                    <w:left w:val="none" w:sz="0" w:space="0" w:color="auto"/>
                    <w:bottom w:val="none" w:sz="0" w:space="0" w:color="auto"/>
                    <w:right w:val="none" w:sz="0" w:space="0" w:color="auto"/>
                  </w:divBdr>
                  <w:divsChild>
                    <w:div w:id="1280183023">
                      <w:marLeft w:val="0"/>
                      <w:marRight w:val="0"/>
                      <w:marTop w:val="0"/>
                      <w:marBottom w:val="0"/>
                      <w:divBdr>
                        <w:top w:val="none" w:sz="0" w:space="0" w:color="auto"/>
                        <w:left w:val="none" w:sz="0" w:space="0" w:color="auto"/>
                        <w:bottom w:val="none" w:sz="0" w:space="0" w:color="auto"/>
                        <w:right w:val="none" w:sz="0" w:space="0" w:color="auto"/>
                      </w:divBdr>
                      <w:divsChild>
                        <w:div w:id="1739740234">
                          <w:marLeft w:val="0"/>
                          <w:marRight w:val="0"/>
                          <w:marTop w:val="0"/>
                          <w:marBottom w:val="0"/>
                          <w:divBdr>
                            <w:top w:val="none" w:sz="0" w:space="0" w:color="auto"/>
                            <w:left w:val="none" w:sz="0" w:space="0" w:color="auto"/>
                            <w:bottom w:val="none" w:sz="0" w:space="0" w:color="auto"/>
                            <w:right w:val="none" w:sz="0" w:space="0" w:color="auto"/>
                          </w:divBdr>
                          <w:divsChild>
                            <w:div w:id="1212229020">
                              <w:marLeft w:val="0"/>
                              <w:marRight w:val="0"/>
                              <w:marTop w:val="0"/>
                              <w:marBottom w:val="0"/>
                              <w:divBdr>
                                <w:top w:val="single" w:sz="6" w:space="8" w:color="7A8093"/>
                                <w:left w:val="single" w:sz="6" w:space="8" w:color="7A8093"/>
                                <w:bottom w:val="single" w:sz="6" w:space="8" w:color="7A8093"/>
                                <w:right w:val="single" w:sz="6" w:space="8" w:color="7A8093"/>
                              </w:divBdr>
                            </w:div>
                          </w:divsChild>
                        </w:div>
                      </w:divsChild>
                    </w:div>
                  </w:divsChild>
                </w:div>
              </w:divsChild>
            </w:div>
          </w:divsChild>
        </w:div>
      </w:divsChild>
    </w:div>
    <w:div w:id="721292890">
      <w:bodyDiv w:val="1"/>
      <w:marLeft w:val="0"/>
      <w:marRight w:val="0"/>
      <w:marTop w:val="0"/>
      <w:marBottom w:val="0"/>
      <w:divBdr>
        <w:top w:val="none" w:sz="0" w:space="0" w:color="auto"/>
        <w:left w:val="none" w:sz="0" w:space="0" w:color="auto"/>
        <w:bottom w:val="none" w:sz="0" w:space="0" w:color="auto"/>
        <w:right w:val="none" w:sz="0" w:space="0" w:color="auto"/>
      </w:divBdr>
    </w:div>
    <w:div w:id="724834414">
      <w:bodyDiv w:val="1"/>
      <w:marLeft w:val="0"/>
      <w:marRight w:val="0"/>
      <w:marTop w:val="0"/>
      <w:marBottom w:val="0"/>
      <w:divBdr>
        <w:top w:val="none" w:sz="0" w:space="0" w:color="auto"/>
        <w:left w:val="none" w:sz="0" w:space="0" w:color="auto"/>
        <w:bottom w:val="none" w:sz="0" w:space="0" w:color="auto"/>
        <w:right w:val="none" w:sz="0" w:space="0" w:color="auto"/>
      </w:divBdr>
    </w:div>
    <w:div w:id="805197947">
      <w:bodyDiv w:val="1"/>
      <w:marLeft w:val="0"/>
      <w:marRight w:val="0"/>
      <w:marTop w:val="0"/>
      <w:marBottom w:val="0"/>
      <w:divBdr>
        <w:top w:val="none" w:sz="0" w:space="0" w:color="auto"/>
        <w:left w:val="none" w:sz="0" w:space="0" w:color="auto"/>
        <w:bottom w:val="none" w:sz="0" w:space="0" w:color="auto"/>
        <w:right w:val="none" w:sz="0" w:space="0" w:color="auto"/>
      </w:divBdr>
      <w:divsChild>
        <w:div w:id="300307833">
          <w:marLeft w:val="0"/>
          <w:marRight w:val="0"/>
          <w:marTop w:val="0"/>
          <w:marBottom w:val="0"/>
          <w:divBdr>
            <w:top w:val="none" w:sz="0" w:space="0" w:color="auto"/>
            <w:left w:val="none" w:sz="0" w:space="0" w:color="auto"/>
            <w:bottom w:val="none" w:sz="0" w:space="0" w:color="auto"/>
            <w:right w:val="none" w:sz="0" w:space="0" w:color="auto"/>
          </w:divBdr>
          <w:divsChild>
            <w:div w:id="435754756">
              <w:marLeft w:val="0"/>
              <w:marRight w:val="0"/>
              <w:marTop w:val="0"/>
              <w:marBottom w:val="0"/>
              <w:divBdr>
                <w:top w:val="none" w:sz="0" w:space="0" w:color="auto"/>
                <w:left w:val="none" w:sz="0" w:space="0" w:color="auto"/>
                <w:bottom w:val="none" w:sz="0" w:space="0" w:color="auto"/>
                <w:right w:val="none" w:sz="0" w:space="0" w:color="auto"/>
              </w:divBdr>
              <w:divsChild>
                <w:div w:id="196160976">
                  <w:marLeft w:val="0"/>
                  <w:marRight w:val="0"/>
                  <w:marTop w:val="0"/>
                  <w:marBottom w:val="0"/>
                  <w:divBdr>
                    <w:top w:val="none" w:sz="0" w:space="0" w:color="auto"/>
                    <w:left w:val="none" w:sz="0" w:space="0" w:color="auto"/>
                    <w:bottom w:val="none" w:sz="0" w:space="0" w:color="auto"/>
                    <w:right w:val="none" w:sz="0" w:space="0" w:color="auto"/>
                  </w:divBdr>
                  <w:divsChild>
                    <w:div w:id="118701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120206">
      <w:bodyDiv w:val="1"/>
      <w:marLeft w:val="0"/>
      <w:marRight w:val="0"/>
      <w:marTop w:val="0"/>
      <w:marBottom w:val="0"/>
      <w:divBdr>
        <w:top w:val="none" w:sz="0" w:space="0" w:color="auto"/>
        <w:left w:val="none" w:sz="0" w:space="0" w:color="auto"/>
        <w:bottom w:val="none" w:sz="0" w:space="0" w:color="auto"/>
        <w:right w:val="none" w:sz="0" w:space="0" w:color="auto"/>
      </w:divBdr>
      <w:divsChild>
        <w:div w:id="1250042180">
          <w:marLeft w:val="0"/>
          <w:marRight w:val="0"/>
          <w:marTop w:val="0"/>
          <w:marBottom w:val="0"/>
          <w:divBdr>
            <w:top w:val="single" w:sz="2" w:space="0" w:color="E1E1E1"/>
            <w:left w:val="single" w:sz="6" w:space="0" w:color="E1E1E1"/>
            <w:bottom w:val="single" w:sz="2" w:space="0" w:color="E1E1E1"/>
            <w:right w:val="single" w:sz="6" w:space="0" w:color="E1E1E1"/>
          </w:divBdr>
          <w:divsChild>
            <w:div w:id="113524202">
              <w:marLeft w:val="0"/>
              <w:marRight w:val="150"/>
              <w:marTop w:val="0"/>
              <w:marBottom w:val="0"/>
              <w:divBdr>
                <w:top w:val="none" w:sz="0" w:space="0" w:color="auto"/>
                <w:left w:val="none" w:sz="0" w:space="0" w:color="auto"/>
                <w:bottom w:val="none" w:sz="0" w:space="0" w:color="auto"/>
                <w:right w:val="none" w:sz="0" w:space="0" w:color="auto"/>
              </w:divBdr>
              <w:divsChild>
                <w:div w:id="4172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567020">
      <w:bodyDiv w:val="1"/>
      <w:marLeft w:val="0"/>
      <w:marRight w:val="0"/>
      <w:marTop w:val="0"/>
      <w:marBottom w:val="0"/>
      <w:divBdr>
        <w:top w:val="none" w:sz="0" w:space="0" w:color="auto"/>
        <w:left w:val="none" w:sz="0" w:space="0" w:color="auto"/>
        <w:bottom w:val="none" w:sz="0" w:space="0" w:color="auto"/>
        <w:right w:val="none" w:sz="0" w:space="0" w:color="auto"/>
      </w:divBdr>
      <w:divsChild>
        <w:div w:id="2048481017">
          <w:marLeft w:val="0"/>
          <w:marRight w:val="0"/>
          <w:marTop w:val="0"/>
          <w:marBottom w:val="0"/>
          <w:divBdr>
            <w:top w:val="none" w:sz="0" w:space="0" w:color="auto"/>
            <w:left w:val="none" w:sz="0" w:space="0" w:color="auto"/>
            <w:bottom w:val="none" w:sz="0" w:space="0" w:color="auto"/>
            <w:right w:val="none" w:sz="0" w:space="0" w:color="auto"/>
          </w:divBdr>
          <w:divsChild>
            <w:div w:id="1141383370">
              <w:marLeft w:val="0"/>
              <w:marRight w:val="0"/>
              <w:marTop w:val="0"/>
              <w:marBottom w:val="0"/>
              <w:divBdr>
                <w:top w:val="none" w:sz="0" w:space="0" w:color="auto"/>
                <w:left w:val="none" w:sz="0" w:space="0" w:color="auto"/>
                <w:bottom w:val="none" w:sz="0" w:space="0" w:color="auto"/>
                <w:right w:val="none" w:sz="0" w:space="0" w:color="auto"/>
              </w:divBdr>
              <w:divsChild>
                <w:div w:id="709063943">
                  <w:marLeft w:val="0"/>
                  <w:marRight w:val="0"/>
                  <w:marTop w:val="0"/>
                  <w:marBottom w:val="0"/>
                  <w:divBdr>
                    <w:top w:val="none" w:sz="0" w:space="0" w:color="auto"/>
                    <w:left w:val="none" w:sz="0" w:space="0" w:color="auto"/>
                    <w:bottom w:val="none" w:sz="0" w:space="0" w:color="auto"/>
                    <w:right w:val="none" w:sz="0" w:space="0" w:color="auto"/>
                  </w:divBdr>
                  <w:divsChild>
                    <w:div w:id="1753156503">
                      <w:marLeft w:val="240"/>
                      <w:marRight w:val="0"/>
                      <w:marTop w:val="0"/>
                      <w:marBottom w:val="0"/>
                      <w:divBdr>
                        <w:top w:val="none" w:sz="0" w:space="0" w:color="auto"/>
                        <w:left w:val="none" w:sz="0" w:space="0" w:color="auto"/>
                        <w:bottom w:val="none" w:sz="0" w:space="0" w:color="auto"/>
                        <w:right w:val="none" w:sz="0" w:space="0" w:color="auto"/>
                      </w:divBdr>
                      <w:divsChild>
                        <w:div w:id="187951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3413914">
      <w:bodyDiv w:val="1"/>
      <w:marLeft w:val="0"/>
      <w:marRight w:val="0"/>
      <w:marTop w:val="0"/>
      <w:marBottom w:val="0"/>
      <w:divBdr>
        <w:top w:val="none" w:sz="0" w:space="0" w:color="auto"/>
        <w:left w:val="none" w:sz="0" w:space="0" w:color="auto"/>
        <w:bottom w:val="none" w:sz="0" w:space="0" w:color="auto"/>
        <w:right w:val="none" w:sz="0" w:space="0" w:color="auto"/>
      </w:divBdr>
      <w:divsChild>
        <w:div w:id="62459269">
          <w:marLeft w:val="0"/>
          <w:marRight w:val="0"/>
          <w:marTop w:val="0"/>
          <w:marBottom w:val="0"/>
          <w:divBdr>
            <w:top w:val="single" w:sz="2" w:space="0" w:color="E1E1E1"/>
            <w:left w:val="single" w:sz="6" w:space="0" w:color="E1E1E1"/>
            <w:bottom w:val="single" w:sz="2" w:space="0" w:color="E1E1E1"/>
            <w:right w:val="single" w:sz="6" w:space="0" w:color="E1E1E1"/>
          </w:divBdr>
          <w:divsChild>
            <w:div w:id="873465142">
              <w:marLeft w:val="0"/>
              <w:marRight w:val="150"/>
              <w:marTop w:val="0"/>
              <w:marBottom w:val="0"/>
              <w:divBdr>
                <w:top w:val="none" w:sz="0" w:space="0" w:color="auto"/>
                <w:left w:val="none" w:sz="0" w:space="0" w:color="auto"/>
                <w:bottom w:val="none" w:sz="0" w:space="0" w:color="auto"/>
                <w:right w:val="none" w:sz="0" w:space="0" w:color="auto"/>
              </w:divBdr>
              <w:divsChild>
                <w:div w:id="153303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2320">
      <w:bodyDiv w:val="1"/>
      <w:marLeft w:val="0"/>
      <w:marRight w:val="0"/>
      <w:marTop w:val="0"/>
      <w:marBottom w:val="0"/>
      <w:divBdr>
        <w:top w:val="none" w:sz="0" w:space="0" w:color="auto"/>
        <w:left w:val="none" w:sz="0" w:space="0" w:color="auto"/>
        <w:bottom w:val="none" w:sz="0" w:space="0" w:color="auto"/>
        <w:right w:val="none" w:sz="0" w:space="0" w:color="auto"/>
      </w:divBdr>
    </w:div>
    <w:div w:id="1130365852">
      <w:bodyDiv w:val="1"/>
      <w:marLeft w:val="0"/>
      <w:marRight w:val="0"/>
      <w:marTop w:val="0"/>
      <w:marBottom w:val="0"/>
      <w:divBdr>
        <w:top w:val="none" w:sz="0" w:space="0" w:color="auto"/>
        <w:left w:val="none" w:sz="0" w:space="0" w:color="auto"/>
        <w:bottom w:val="none" w:sz="0" w:space="0" w:color="auto"/>
        <w:right w:val="none" w:sz="0" w:space="0" w:color="auto"/>
      </w:divBdr>
      <w:divsChild>
        <w:div w:id="1893152777">
          <w:marLeft w:val="0"/>
          <w:marRight w:val="0"/>
          <w:marTop w:val="0"/>
          <w:marBottom w:val="0"/>
          <w:divBdr>
            <w:top w:val="none" w:sz="0" w:space="0" w:color="auto"/>
            <w:left w:val="none" w:sz="0" w:space="0" w:color="auto"/>
            <w:bottom w:val="none" w:sz="0" w:space="0" w:color="auto"/>
            <w:right w:val="none" w:sz="0" w:space="0" w:color="auto"/>
          </w:divBdr>
          <w:divsChild>
            <w:div w:id="478815034">
              <w:marLeft w:val="0"/>
              <w:marRight w:val="0"/>
              <w:marTop w:val="0"/>
              <w:marBottom w:val="0"/>
              <w:divBdr>
                <w:top w:val="single" w:sz="2" w:space="0" w:color="FFFFFF"/>
                <w:left w:val="single" w:sz="6" w:space="0" w:color="FFFFFF"/>
                <w:bottom w:val="single" w:sz="6" w:space="0" w:color="FFFFFF"/>
                <w:right w:val="single" w:sz="6" w:space="0" w:color="FFFFFF"/>
              </w:divBdr>
              <w:divsChild>
                <w:div w:id="400296678">
                  <w:marLeft w:val="0"/>
                  <w:marRight w:val="0"/>
                  <w:marTop w:val="0"/>
                  <w:marBottom w:val="0"/>
                  <w:divBdr>
                    <w:top w:val="single" w:sz="6" w:space="1" w:color="D3D3D3"/>
                    <w:left w:val="none" w:sz="0" w:space="0" w:color="auto"/>
                    <w:bottom w:val="none" w:sz="0" w:space="0" w:color="auto"/>
                    <w:right w:val="none" w:sz="0" w:space="0" w:color="auto"/>
                  </w:divBdr>
                  <w:divsChild>
                    <w:div w:id="468744695">
                      <w:marLeft w:val="0"/>
                      <w:marRight w:val="0"/>
                      <w:marTop w:val="0"/>
                      <w:marBottom w:val="0"/>
                      <w:divBdr>
                        <w:top w:val="none" w:sz="0" w:space="0" w:color="auto"/>
                        <w:left w:val="none" w:sz="0" w:space="0" w:color="auto"/>
                        <w:bottom w:val="none" w:sz="0" w:space="0" w:color="auto"/>
                        <w:right w:val="none" w:sz="0" w:space="0" w:color="auto"/>
                      </w:divBdr>
                      <w:divsChild>
                        <w:div w:id="151507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605275">
      <w:bodyDiv w:val="1"/>
      <w:marLeft w:val="0"/>
      <w:marRight w:val="0"/>
      <w:marTop w:val="0"/>
      <w:marBottom w:val="0"/>
      <w:divBdr>
        <w:top w:val="none" w:sz="0" w:space="0" w:color="auto"/>
        <w:left w:val="none" w:sz="0" w:space="0" w:color="auto"/>
        <w:bottom w:val="none" w:sz="0" w:space="0" w:color="auto"/>
        <w:right w:val="none" w:sz="0" w:space="0" w:color="auto"/>
      </w:divBdr>
    </w:div>
    <w:div w:id="1285891825">
      <w:bodyDiv w:val="1"/>
      <w:marLeft w:val="0"/>
      <w:marRight w:val="0"/>
      <w:marTop w:val="0"/>
      <w:marBottom w:val="0"/>
      <w:divBdr>
        <w:top w:val="none" w:sz="0" w:space="0" w:color="auto"/>
        <w:left w:val="none" w:sz="0" w:space="0" w:color="auto"/>
        <w:bottom w:val="none" w:sz="0" w:space="0" w:color="auto"/>
        <w:right w:val="none" w:sz="0" w:space="0" w:color="auto"/>
      </w:divBdr>
      <w:divsChild>
        <w:div w:id="1451894265">
          <w:marLeft w:val="0"/>
          <w:marRight w:val="0"/>
          <w:marTop w:val="0"/>
          <w:marBottom w:val="0"/>
          <w:divBdr>
            <w:top w:val="none" w:sz="0" w:space="0" w:color="auto"/>
            <w:left w:val="none" w:sz="0" w:space="0" w:color="auto"/>
            <w:bottom w:val="none" w:sz="0" w:space="0" w:color="auto"/>
            <w:right w:val="none" w:sz="0" w:space="0" w:color="auto"/>
          </w:divBdr>
          <w:divsChild>
            <w:div w:id="1845244764">
              <w:marLeft w:val="0"/>
              <w:marRight w:val="0"/>
              <w:marTop w:val="0"/>
              <w:marBottom w:val="0"/>
              <w:divBdr>
                <w:top w:val="none" w:sz="0" w:space="0" w:color="auto"/>
                <w:left w:val="none" w:sz="0" w:space="0" w:color="auto"/>
                <w:bottom w:val="none" w:sz="0" w:space="0" w:color="auto"/>
                <w:right w:val="none" w:sz="0" w:space="0" w:color="auto"/>
              </w:divBdr>
              <w:divsChild>
                <w:div w:id="342557729">
                  <w:marLeft w:val="0"/>
                  <w:marRight w:val="0"/>
                  <w:marTop w:val="0"/>
                  <w:marBottom w:val="0"/>
                  <w:divBdr>
                    <w:top w:val="none" w:sz="0" w:space="0" w:color="auto"/>
                    <w:left w:val="none" w:sz="0" w:space="0" w:color="auto"/>
                    <w:bottom w:val="none" w:sz="0" w:space="0" w:color="auto"/>
                    <w:right w:val="none" w:sz="0" w:space="0" w:color="auto"/>
                  </w:divBdr>
                  <w:divsChild>
                    <w:div w:id="5384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81642">
      <w:bodyDiv w:val="1"/>
      <w:marLeft w:val="0"/>
      <w:marRight w:val="0"/>
      <w:marTop w:val="0"/>
      <w:marBottom w:val="0"/>
      <w:divBdr>
        <w:top w:val="none" w:sz="0" w:space="0" w:color="auto"/>
        <w:left w:val="none" w:sz="0" w:space="0" w:color="auto"/>
        <w:bottom w:val="none" w:sz="0" w:space="0" w:color="auto"/>
        <w:right w:val="none" w:sz="0" w:space="0" w:color="auto"/>
      </w:divBdr>
    </w:div>
    <w:div w:id="1352033262">
      <w:bodyDiv w:val="1"/>
      <w:marLeft w:val="0"/>
      <w:marRight w:val="0"/>
      <w:marTop w:val="0"/>
      <w:marBottom w:val="0"/>
      <w:divBdr>
        <w:top w:val="none" w:sz="0" w:space="0" w:color="auto"/>
        <w:left w:val="none" w:sz="0" w:space="0" w:color="auto"/>
        <w:bottom w:val="none" w:sz="0" w:space="0" w:color="auto"/>
        <w:right w:val="none" w:sz="0" w:space="0" w:color="auto"/>
      </w:divBdr>
      <w:divsChild>
        <w:div w:id="849873159">
          <w:marLeft w:val="0"/>
          <w:marRight w:val="0"/>
          <w:marTop w:val="0"/>
          <w:marBottom w:val="0"/>
          <w:divBdr>
            <w:top w:val="none" w:sz="0" w:space="0" w:color="auto"/>
            <w:left w:val="none" w:sz="0" w:space="0" w:color="auto"/>
            <w:bottom w:val="none" w:sz="0" w:space="0" w:color="auto"/>
            <w:right w:val="none" w:sz="0" w:space="0" w:color="auto"/>
          </w:divBdr>
          <w:divsChild>
            <w:div w:id="890968274">
              <w:marLeft w:val="0"/>
              <w:marRight w:val="0"/>
              <w:marTop w:val="0"/>
              <w:marBottom w:val="0"/>
              <w:divBdr>
                <w:top w:val="none" w:sz="0" w:space="0" w:color="auto"/>
                <w:left w:val="none" w:sz="0" w:space="0" w:color="auto"/>
                <w:bottom w:val="none" w:sz="0" w:space="0" w:color="auto"/>
                <w:right w:val="none" w:sz="0" w:space="0" w:color="auto"/>
              </w:divBdr>
              <w:divsChild>
                <w:div w:id="1062755546">
                  <w:marLeft w:val="0"/>
                  <w:marRight w:val="0"/>
                  <w:marTop w:val="0"/>
                  <w:marBottom w:val="0"/>
                  <w:divBdr>
                    <w:top w:val="none" w:sz="0" w:space="0" w:color="auto"/>
                    <w:left w:val="none" w:sz="0" w:space="0" w:color="auto"/>
                    <w:bottom w:val="none" w:sz="0" w:space="0" w:color="auto"/>
                    <w:right w:val="none" w:sz="0" w:space="0" w:color="auto"/>
                  </w:divBdr>
                  <w:divsChild>
                    <w:div w:id="273636890">
                      <w:marLeft w:val="0"/>
                      <w:marRight w:val="0"/>
                      <w:marTop w:val="0"/>
                      <w:marBottom w:val="600"/>
                      <w:divBdr>
                        <w:top w:val="none" w:sz="0" w:space="0" w:color="auto"/>
                        <w:left w:val="none" w:sz="0" w:space="0" w:color="auto"/>
                        <w:bottom w:val="none" w:sz="0" w:space="0" w:color="auto"/>
                        <w:right w:val="none" w:sz="0" w:space="0" w:color="auto"/>
                      </w:divBdr>
                      <w:divsChild>
                        <w:div w:id="921138318">
                          <w:marLeft w:val="0"/>
                          <w:marRight w:val="0"/>
                          <w:marTop w:val="0"/>
                          <w:marBottom w:val="0"/>
                          <w:divBdr>
                            <w:top w:val="none" w:sz="0" w:space="0" w:color="auto"/>
                            <w:left w:val="none" w:sz="0" w:space="0" w:color="auto"/>
                            <w:bottom w:val="none" w:sz="0" w:space="0" w:color="auto"/>
                            <w:right w:val="none" w:sz="0" w:space="0" w:color="auto"/>
                          </w:divBdr>
                          <w:divsChild>
                            <w:div w:id="550187453">
                              <w:marLeft w:val="0"/>
                              <w:marRight w:val="0"/>
                              <w:marTop w:val="0"/>
                              <w:marBottom w:val="0"/>
                              <w:divBdr>
                                <w:top w:val="none" w:sz="0" w:space="0" w:color="auto"/>
                                <w:left w:val="none" w:sz="0" w:space="0" w:color="auto"/>
                                <w:bottom w:val="none" w:sz="0" w:space="0" w:color="auto"/>
                                <w:right w:val="none" w:sz="0" w:space="0" w:color="auto"/>
                              </w:divBdr>
                              <w:divsChild>
                                <w:div w:id="326204068">
                                  <w:marLeft w:val="0"/>
                                  <w:marRight w:val="0"/>
                                  <w:marTop w:val="0"/>
                                  <w:marBottom w:val="0"/>
                                  <w:divBdr>
                                    <w:top w:val="none" w:sz="0" w:space="0" w:color="auto"/>
                                    <w:left w:val="none" w:sz="0" w:space="0" w:color="auto"/>
                                    <w:bottom w:val="none" w:sz="0" w:space="0" w:color="auto"/>
                                    <w:right w:val="none" w:sz="0" w:space="0" w:color="auto"/>
                                  </w:divBdr>
                                  <w:divsChild>
                                    <w:div w:id="8920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965352">
      <w:bodyDiv w:val="1"/>
      <w:marLeft w:val="0"/>
      <w:marRight w:val="0"/>
      <w:marTop w:val="0"/>
      <w:marBottom w:val="0"/>
      <w:divBdr>
        <w:top w:val="none" w:sz="0" w:space="0" w:color="auto"/>
        <w:left w:val="none" w:sz="0" w:space="0" w:color="auto"/>
        <w:bottom w:val="none" w:sz="0" w:space="0" w:color="auto"/>
        <w:right w:val="none" w:sz="0" w:space="0" w:color="auto"/>
      </w:divBdr>
      <w:divsChild>
        <w:div w:id="622925768">
          <w:marLeft w:val="0"/>
          <w:marRight w:val="0"/>
          <w:marTop w:val="0"/>
          <w:marBottom w:val="0"/>
          <w:divBdr>
            <w:top w:val="none" w:sz="0" w:space="0" w:color="auto"/>
            <w:left w:val="none" w:sz="0" w:space="0" w:color="auto"/>
            <w:bottom w:val="none" w:sz="0" w:space="0" w:color="auto"/>
            <w:right w:val="none" w:sz="0" w:space="0" w:color="auto"/>
          </w:divBdr>
          <w:divsChild>
            <w:div w:id="1143085679">
              <w:marLeft w:val="0"/>
              <w:marRight w:val="0"/>
              <w:marTop w:val="0"/>
              <w:marBottom w:val="0"/>
              <w:divBdr>
                <w:top w:val="single" w:sz="2" w:space="0" w:color="FFFFFF"/>
                <w:left w:val="single" w:sz="6" w:space="0" w:color="FFFFFF"/>
                <w:bottom w:val="single" w:sz="6" w:space="0" w:color="FFFFFF"/>
                <w:right w:val="single" w:sz="6" w:space="0" w:color="FFFFFF"/>
              </w:divBdr>
              <w:divsChild>
                <w:div w:id="1408652285">
                  <w:marLeft w:val="0"/>
                  <w:marRight w:val="0"/>
                  <w:marTop w:val="0"/>
                  <w:marBottom w:val="0"/>
                  <w:divBdr>
                    <w:top w:val="single" w:sz="6" w:space="1" w:color="D3D3D3"/>
                    <w:left w:val="none" w:sz="0" w:space="0" w:color="auto"/>
                    <w:bottom w:val="none" w:sz="0" w:space="0" w:color="auto"/>
                    <w:right w:val="none" w:sz="0" w:space="0" w:color="auto"/>
                  </w:divBdr>
                  <w:divsChild>
                    <w:div w:id="1388065744">
                      <w:marLeft w:val="0"/>
                      <w:marRight w:val="0"/>
                      <w:marTop w:val="0"/>
                      <w:marBottom w:val="0"/>
                      <w:divBdr>
                        <w:top w:val="none" w:sz="0" w:space="0" w:color="auto"/>
                        <w:left w:val="none" w:sz="0" w:space="0" w:color="auto"/>
                        <w:bottom w:val="none" w:sz="0" w:space="0" w:color="auto"/>
                        <w:right w:val="none" w:sz="0" w:space="0" w:color="auto"/>
                      </w:divBdr>
                      <w:divsChild>
                        <w:div w:id="187750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384585">
      <w:bodyDiv w:val="1"/>
      <w:marLeft w:val="0"/>
      <w:marRight w:val="0"/>
      <w:marTop w:val="0"/>
      <w:marBottom w:val="0"/>
      <w:divBdr>
        <w:top w:val="none" w:sz="0" w:space="0" w:color="auto"/>
        <w:left w:val="none" w:sz="0" w:space="0" w:color="auto"/>
        <w:bottom w:val="none" w:sz="0" w:space="0" w:color="auto"/>
        <w:right w:val="none" w:sz="0" w:space="0" w:color="auto"/>
      </w:divBdr>
    </w:div>
    <w:div w:id="1597012294">
      <w:bodyDiv w:val="1"/>
      <w:marLeft w:val="0"/>
      <w:marRight w:val="0"/>
      <w:marTop w:val="0"/>
      <w:marBottom w:val="0"/>
      <w:divBdr>
        <w:top w:val="none" w:sz="0" w:space="0" w:color="auto"/>
        <w:left w:val="none" w:sz="0" w:space="0" w:color="auto"/>
        <w:bottom w:val="none" w:sz="0" w:space="0" w:color="auto"/>
        <w:right w:val="none" w:sz="0" w:space="0" w:color="auto"/>
      </w:divBdr>
    </w:div>
    <w:div w:id="1597593177">
      <w:bodyDiv w:val="1"/>
      <w:marLeft w:val="0"/>
      <w:marRight w:val="0"/>
      <w:marTop w:val="0"/>
      <w:marBottom w:val="0"/>
      <w:divBdr>
        <w:top w:val="none" w:sz="0" w:space="0" w:color="auto"/>
        <w:left w:val="none" w:sz="0" w:space="0" w:color="auto"/>
        <w:bottom w:val="none" w:sz="0" w:space="0" w:color="auto"/>
        <w:right w:val="none" w:sz="0" w:space="0" w:color="auto"/>
      </w:divBdr>
    </w:div>
    <w:div w:id="1619409749">
      <w:bodyDiv w:val="1"/>
      <w:marLeft w:val="0"/>
      <w:marRight w:val="0"/>
      <w:marTop w:val="0"/>
      <w:marBottom w:val="0"/>
      <w:divBdr>
        <w:top w:val="none" w:sz="0" w:space="0" w:color="auto"/>
        <w:left w:val="none" w:sz="0" w:space="0" w:color="auto"/>
        <w:bottom w:val="none" w:sz="0" w:space="0" w:color="auto"/>
        <w:right w:val="none" w:sz="0" w:space="0" w:color="auto"/>
      </w:divBdr>
    </w:div>
    <w:div w:id="1645425701">
      <w:bodyDiv w:val="1"/>
      <w:marLeft w:val="0"/>
      <w:marRight w:val="0"/>
      <w:marTop w:val="0"/>
      <w:marBottom w:val="0"/>
      <w:divBdr>
        <w:top w:val="none" w:sz="0" w:space="0" w:color="auto"/>
        <w:left w:val="none" w:sz="0" w:space="0" w:color="auto"/>
        <w:bottom w:val="none" w:sz="0" w:space="0" w:color="auto"/>
        <w:right w:val="none" w:sz="0" w:space="0" w:color="auto"/>
      </w:divBdr>
    </w:div>
    <w:div w:id="1657762214">
      <w:bodyDiv w:val="1"/>
      <w:marLeft w:val="0"/>
      <w:marRight w:val="0"/>
      <w:marTop w:val="0"/>
      <w:marBottom w:val="0"/>
      <w:divBdr>
        <w:top w:val="none" w:sz="0" w:space="0" w:color="auto"/>
        <w:left w:val="none" w:sz="0" w:space="0" w:color="auto"/>
        <w:bottom w:val="none" w:sz="0" w:space="0" w:color="auto"/>
        <w:right w:val="none" w:sz="0" w:space="0" w:color="auto"/>
      </w:divBdr>
      <w:divsChild>
        <w:div w:id="1010569346">
          <w:marLeft w:val="0"/>
          <w:marRight w:val="0"/>
          <w:marTop w:val="0"/>
          <w:marBottom w:val="0"/>
          <w:divBdr>
            <w:top w:val="none" w:sz="0" w:space="0" w:color="auto"/>
            <w:left w:val="none" w:sz="0" w:space="0" w:color="auto"/>
            <w:bottom w:val="none" w:sz="0" w:space="0" w:color="auto"/>
            <w:right w:val="none" w:sz="0" w:space="0" w:color="auto"/>
          </w:divBdr>
          <w:divsChild>
            <w:div w:id="514348430">
              <w:marLeft w:val="0"/>
              <w:marRight w:val="0"/>
              <w:marTop w:val="0"/>
              <w:marBottom w:val="0"/>
              <w:divBdr>
                <w:top w:val="none" w:sz="0" w:space="0" w:color="auto"/>
                <w:left w:val="none" w:sz="0" w:space="0" w:color="auto"/>
                <w:bottom w:val="none" w:sz="0" w:space="0" w:color="auto"/>
                <w:right w:val="none" w:sz="0" w:space="0" w:color="auto"/>
              </w:divBdr>
              <w:divsChild>
                <w:div w:id="1328754415">
                  <w:marLeft w:val="0"/>
                  <w:marRight w:val="0"/>
                  <w:marTop w:val="0"/>
                  <w:marBottom w:val="0"/>
                  <w:divBdr>
                    <w:top w:val="none" w:sz="0" w:space="0" w:color="auto"/>
                    <w:left w:val="none" w:sz="0" w:space="0" w:color="auto"/>
                    <w:bottom w:val="none" w:sz="0" w:space="0" w:color="auto"/>
                    <w:right w:val="none" w:sz="0" w:space="0" w:color="auto"/>
                  </w:divBdr>
                  <w:divsChild>
                    <w:div w:id="2046514261">
                      <w:marLeft w:val="0"/>
                      <w:marRight w:val="0"/>
                      <w:marTop w:val="0"/>
                      <w:marBottom w:val="600"/>
                      <w:divBdr>
                        <w:top w:val="none" w:sz="0" w:space="0" w:color="auto"/>
                        <w:left w:val="none" w:sz="0" w:space="0" w:color="auto"/>
                        <w:bottom w:val="none" w:sz="0" w:space="0" w:color="auto"/>
                        <w:right w:val="none" w:sz="0" w:space="0" w:color="auto"/>
                      </w:divBdr>
                      <w:divsChild>
                        <w:div w:id="665864857">
                          <w:marLeft w:val="0"/>
                          <w:marRight w:val="0"/>
                          <w:marTop w:val="0"/>
                          <w:marBottom w:val="0"/>
                          <w:divBdr>
                            <w:top w:val="none" w:sz="0" w:space="0" w:color="auto"/>
                            <w:left w:val="none" w:sz="0" w:space="0" w:color="auto"/>
                            <w:bottom w:val="none" w:sz="0" w:space="0" w:color="auto"/>
                            <w:right w:val="none" w:sz="0" w:space="0" w:color="auto"/>
                          </w:divBdr>
                          <w:divsChild>
                            <w:div w:id="872692834">
                              <w:marLeft w:val="0"/>
                              <w:marRight w:val="0"/>
                              <w:marTop w:val="0"/>
                              <w:marBottom w:val="0"/>
                              <w:divBdr>
                                <w:top w:val="none" w:sz="0" w:space="0" w:color="auto"/>
                                <w:left w:val="none" w:sz="0" w:space="0" w:color="auto"/>
                                <w:bottom w:val="none" w:sz="0" w:space="0" w:color="auto"/>
                                <w:right w:val="none" w:sz="0" w:space="0" w:color="auto"/>
                              </w:divBdr>
                              <w:divsChild>
                                <w:div w:id="1333796364">
                                  <w:marLeft w:val="0"/>
                                  <w:marRight w:val="0"/>
                                  <w:marTop w:val="0"/>
                                  <w:marBottom w:val="0"/>
                                  <w:divBdr>
                                    <w:top w:val="none" w:sz="0" w:space="0" w:color="auto"/>
                                    <w:left w:val="none" w:sz="0" w:space="0" w:color="auto"/>
                                    <w:bottom w:val="none" w:sz="0" w:space="0" w:color="auto"/>
                                    <w:right w:val="none" w:sz="0" w:space="0" w:color="auto"/>
                                  </w:divBdr>
                                  <w:divsChild>
                                    <w:div w:id="2277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601374">
      <w:bodyDiv w:val="1"/>
      <w:marLeft w:val="0"/>
      <w:marRight w:val="0"/>
      <w:marTop w:val="0"/>
      <w:marBottom w:val="0"/>
      <w:divBdr>
        <w:top w:val="none" w:sz="0" w:space="0" w:color="auto"/>
        <w:left w:val="none" w:sz="0" w:space="0" w:color="auto"/>
        <w:bottom w:val="none" w:sz="0" w:space="0" w:color="auto"/>
        <w:right w:val="none" w:sz="0" w:space="0" w:color="auto"/>
      </w:divBdr>
    </w:div>
    <w:div w:id="1833330919">
      <w:bodyDiv w:val="1"/>
      <w:marLeft w:val="0"/>
      <w:marRight w:val="0"/>
      <w:marTop w:val="0"/>
      <w:marBottom w:val="0"/>
      <w:divBdr>
        <w:top w:val="none" w:sz="0" w:space="0" w:color="auto"/>
        <w:left w:val="none" w:sz="0" w:space="0" w:color="auto"/>
        <w:bottom w:val="none" w:sz="0" w:space="0" w:color="auto"/>
        <w:right w:val="none" w:sz="0" w:space="0" w:color="auto"/>
      </w:divBdr>
    </w:div>
    <w:div w:id="1868252989">
      <w:bodyDiv w:val="1"/>
      <w:marLeft w:val="0"/>
      <w:marRight w:val="0"/>
      <w:marTop w:val="0"/>
      <w:marBottom w:val="0"/>
      <w:divBdr>
        <w:top w:val="none" w:sz="0" w:space="0" w:color="auto"/>
        <w:left w:val="none" w:sz="0" w:space="0" w:color="auto"/>
        <w:bottom w:val="none" w:sz="0" w:space="0" w:color="auto"/>
        <w:right w:val="none" w:sz="0" w:space="0" w:color="auto"/>
      </w:divBdr>
    </w:div>
    <w:div w:id="1962877485">
      <w:bodyDiv w:val="1"/>
      <w:marLeft w:val="0"/>
      <w:marRight w:val="0"/>
      <w:marTop w:val="0"/>
      <w:marBottom w:val="0"/>
      <w:divBdr>
        <w:top w:val="none" w:sz="0" w:space="0" w:color="auto"/>
        <w:left w:val="none" w:sz="0" w:space="0" w:color="auto"/>
        <w:bottom w:val="none" w:sz="0" w:space="0" w:color="auto"/>
        <w:right w:val="none" w:sz="0" w:space="0" w:color="auto"/>
      </w:divBdr>
    </w:div>
    <w:div w:id="2048406755">
      <w:bodyDiv w:val="1"/>
      <w:marLeft w:val="0"/>
      <w:marRight w:val="0"/>
      <w:marTop w:val="0"/>
      <w:marBottom w:val="0"/>
      <w:divBdr>
        <w:top w:val="none" w:sz="0" w:space="0" w:color="auto"/>
        <w:left w:val="none" w:sz="0" w:space="0" w:color="auto"/>
        <w:bottom w:val="none" w:sz="0" w:space="0" w:color="auto"/>
        <w:right w:val="none" w:sz="0" w:space="0" w:color="auto"/>
      </w:divBdr>
    </w:div>
    <w:div w:id="2087071391">
      <w:bodyDiv w:val="1"/>
      <w:marLeft w:val="0"/>
      <w:marRight w:val="0"/>
      <w:marTop w:val="0"/>
      <w:marBottom w:val="0"/>
      <w:divBdr>
        <w:top w:val="none" w:sz="0" w:space="0" w:color="auto"/>
        <w:left w:val="none" w:sz="0" w:space="0" w:color="auto"/>
        <w:bottom w:val="none" w:sz="0" w:space="0" w:color="auto"/>
        <w:right w:val="none" w:sz="0" w:space="0" w:color="auto"/>
      </w:divBdr>
      <w:divsChild>
        <w:div w:id="445392582">
          <w:marLeft w:val="0"/>
          <w:marRight w:val="0"/>
          <w:marTop w:val="0"/>
          <w:marBottom w:val="0"/>
          <w:divBdr>
            <w:top w:val="none" w:sz="0" w:space="0" w:color="auto"/>
            <w:left w:val="none" w:sz="0" w:space="0" w:color="auto"/>
            <w:bottom w:val="none" w:sz="0" w:space="0" w:color="auto"/>
            <w:right w:val="none" w:sz="0" w:space="0" w:color="auto"/>
          </w:divBdr>
          <w:divsChild>
            <w:div w:id="1810394410">
              <w:marLeft w:val="0"/>
              <w:marRight w:val="0"/>
              <w:marTop w:val="0"/>
              <w:marBottom w:val="0"/>
              <w:divBdr>
                <w:top w:val="none" w:sz="0" w:space="0" w:color="auto"/>
                <w:left w:val="none" w:sz="0" w:space="0" w:color="auto"/>
                <w:bottom w:val="none" w:sz="0" w:space="0" w:color="auto"/>
                <w:right w:val="none" w:sz="0" w:space="0" w:color="auto"/>
              </w:divBdr>
              <w:divsChild>
                <w:div w:id="882837657">
                  <w:marLeft w:val="0"/>
                  <w:marRight w:val="0"/>
                  <w:marTop w:val="0"/>
                  <w:marBottom w:val="0"/>
                  <w:divBdr>
                    <w:top w:val="none" w:sz="0" w:space="0" w:color="auto"/>
                    <w:left w:val="none" w:sz="0" w:space="0" w:color="auto"/>
                    <w:bottom w:val="none" w:sz="0" w:space="0" w:color="auto"/>
                    <w:right w:val="none" w:sz="0" w:space="0" w:color="auto"/>
                  </w:divBdr>
                  <w:divsChild>
                    <w:div w:id="1950504527">
                      <w:marLeft w:val="0"/>
                      <w:marRight w:val="0"/>
                      <w:marTop w:val="0"/>
                      <w:marBottom w:val="0"/>
                      <w:divBdr>
                        <w:top w:val="none" w:sz="0" w:space="0" w:color="auto"/>
                        <w:left w:val="none" w:sz="0" w:space="0" w:color="auto"/>
                        <w:bottom w:val="none" w:sz="0" w:space="0" w:color="auto"/>
                        <w:right w:val="none" w:sz="0" w:space="0" w:color="auto"/>
                      </w:divBdr>
                      <w:divsChild>
                        <w:div w:id="208752902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4473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eport-it.org.uk/home"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correspondence@equalityhumanright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qualityhumanrights.com"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ailto:correspondence@equalityhumanrights.com" TargetMode="External"/><Relationship Id="rId23" Type="http://schemas.microsoft.com/office/2011/relationships/commentsExtended" Target="commentsExtended.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qualityhumanright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qualityhumanrights.com"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equalityhumanrights.com/search/site/technical%20guidance" TargetMode="External"/><Relationship Id="rId2" Type="http://schemas.openxmlformats.org/officeDocument/2006/relationships/hyperlink" Target="http://www.copfs.gov.uk/publications/prosecution-policy-and-guidance" TargetMode="External"/><Relationship Id="rId1" Type="http://schemas.openxmlformats.org/officeDocument/2006/relationships/hyperlink" Target="http://www.equalityhumanrights.com/legal-and-policy/our-legal-work/inquiries-and-assessments/inquiry-into-disability-related-harassment/hidden-in-plain-sight-the-inquiry-final-report" TargetMode="External"/><Relationship Id="rId4" Type="http://schemas.openxmlformats.org/officeDocument/2006/relationships/hyperlink" Target="http://www.asa.org.uk/Rulings/Adjudications/2012/10/Channel-Four-Television-Corporation/SHP_ADJ_19745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4913A-4CE1-4583-9CF8-8B4EBBF5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27</Pages>
  <Words>7556</Words>
  <Characters>43072</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Sarfraz Khan</dc:creator>
  <cp:lastModifiedBy>Administrator</cp:lastModifiedBy>
  <cp:revision>33</cp:revision>
  <cp:lastPrinted>2015-01-28T11:41:00Z</cp:lastPrinted>
  <dcterms:created xsi:type="dcterms:W3CDTF">2015-01-29T16:26:00Z</dcterms:created>
  <dcterms:modified xsi:type="dcterms:W3CDTF">2015-02-02T17:03:00Z</dcterms:modified>
</cp:coreProperties>
</file>